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144" w:rsidRPr="00657452" w:rsidRDefault="00077144" w:rsidP="001D5B8F">
      <w:pPr>
        <w:jc w:val="center"/>
      </w:pPr>
      <w:bookmarkStart w:id="0" w:name="AuthorName"/>
    </w:p>
    <w:p w:rsidR="00077144" w:rsidRPr="00657452" w:rsidRDefault="00077144" w:rsidP="001D5B8F">
      <w:pPr>
        <w:jc w:val="center"/>
      </w:pPr>
    </w:p>
    <w:p w:rsidR="00077144" w:rsidRPr="00657452" w:rsidRDefault="00077144" w:rsidP="001D5B8F">
      <w:pPr>
        <w:jc w:val="center"/>
      </w:pPr>
    </w:p>
    <w:p w:rsidR="00077144" w:rsidRPr="00657452" w:rsidRDefault="00077144" w:rsidP="001D5B8F">
      <w:pPr>
        <w:jc w:val="center"/>
      </w:pPr>
    </w:p>
    <w:p w:rsidR="00077144" w:rsidRPr="00657452" w:rsidRDefault="00CC323D" w:rsidP="007F02A9">
      <w:pPr>
        <w:ind w:right="1170"/>
        <w:rPr>
          <w:b/>
          <w:iCs/>
          <w:sz w:val="32"/>
          <w:szCs w:val="32"/>
        </w:rPr>
      </w:pPr>
      <w:r w:rsidRPr="00657452">
        <w:rPr>
          <w:b/>
          <w:iCs/>
          <w:sz w:val="32"/>
          <w:szCs w:val="32"/>
        </w:rPr>
        <w:t>Business Requirements Document</w:t>
      </w:r>
    </w:p>
    <w:p w:rsidR="005620E6" w:rsidRPr="00657452" w:rsidRDefault="00CC323D" w:rsidP="007F02A9">
      <w:pPr>
        <w:ind w:right="1170"/>
        <w:rPr>
          <w:b/>
          <w:iCs/>
          <w:sz w:val="32"/>
          <w:szCs w:val="32"/>
        </w:rPr>
      </w:pPr>
      <w:r w:rsidRPr="00657452">
        <w:rPr>
          <w:b/>
          <w:iCs/>
          <w:sz w:val="32"/>
          <w:szCs w:val="32"/>
        </w:rPr>
        <w:t xml:space="preserve">Project: </w:t>
      </w:r>
      <w:r w:rsidR="00E77AC8" w:rsidRPr="00657452">
        <w:rPr>
          <w:b/>
          <w:iCs/>
          <w:sz w:val="32"/>
          <w:szCs w:val="32"/>
        </w:rPr>
        <w:t xml:space="preserve">eVal </w:t>
      </w:r>
      <w:r w:rsidR="008E001E" w:rsidRPr="00657452">
        <w:rPr>
          <w:b/>
          <w:iCs/>
          <w:sz w:val="32"/>
          <w:szCs w:val="32"/>
        </w:rPr>
        <w:t xml:space="preserve">Enhancements </w:t>
      </w:r>
    </w:p>
    <w:p w:rsidR="005620E6" w:rsidRPr="00657452" w:rsidRDefault="005620E6" w:rsidP="007F02A9">
      <w:pPr>
        <w:ind w:right="1170"/>
        <w:rPr>
          <w:b/>
          <w:iCs/>
          <w:sz w:val="32"/>
          <w:szCs w:val="32"/>
        </w:rPr>
      </w:pPr>
    </w:p>
    <w:p w:rsidR="00077144" w:rsidRPr="00657452" w:rsidRDefault="00CC323D" w:rsidP="007F02A9">
      <w:pPr>
        <w:ind w:right="1170"/>
        <w:rPr>
          <w:b/>
          <w:iCs/>
          <w:sz w:val="32"/>
          <w:szCs w:val="32"/>
        </w:rPr>
      </w:pPr>
      <w:r w:rsidRPr="00657452">
        <w:rPr>
          <w:b/>
          <w:iCs/>
          <w:sz w:val="32"/>
          <w:szCs w:val="32"/>
        </w:rPr>
        <w:t>BRD Title:</w:t>
      </w:r>
      <w:r w:rsidR="003A7E6E" w:rsidRPr="00657452">
        <w:rPr>
          <w:b/>
          <w:iCs/>
          <w:sz w:val="32"/>
          <w:szCs w:val="32"/>
        </w:rPr>
        <w:t xml:space="preserve"> </w:t>
      </w:r>
      <w:r w:rsidR="00F7130A">
        <w:rPr>
          <w:b/>
          <w:iCs/>
          <w:sz w:val="32"/>
          <w:szCs w:val="32"/>
        </w:rPr>
        <w:t>eVal</w:t>
      </w:r>
      <w:r w:rsidR="00743767" w:rsidRPr="00657452">
        <w:rPr>
          <w:b/>
          <w:iCs/>
          <w:sz w:val="32"/>
          <w:szCs w:val="32"/>
        </w:rPr>
        <w:t xml:space="preserve"> D</w:t>
      </w:r>
      <w:r w:rsidR="00B36604" w:rsidRPr="00657452">
        <w:rPr>
          <w:b/>
          <w:iCs/>
          <w:sz w:val="32"/>
          <w:szCs w:val="32"/>
        </w:rPr>
        <w:t>ata Purging</w:t>
      </w:r>
    </w:p>
    <w:p w:rsidR="00CC323D" w:rsidRPr="00657452" w:rsidRDefault="003A7E6E" w:rsidP="007F02A9">
      <w:pPr>
        <w:ind w:right="1170"/>
        <w:rPr>
          <w:b/>
          <w:iCs/>
          <w:sz w:val="32"/>
          <w:szCs w:val="32"/>
        </w:rPr>
      </w:pPr>
      <w:r w:rsidRPr="00657452">
        <w:rPr>
          <w:b/>
          <w:iCs/>
          <w:sz w:val="32"/>
          <w:szCs w:val="32"/>
        </w:rPr>
        <w:t>BRD</w:t>
      </w:r>
      <w:r w:rsidR="00CC323D" w:rsidRPr="00657452">
        <w:rPr>
          <w:b/>
          <w:iCs/>
          <w:sz w:val="32"/>
          <w:szCs w:val="32"/>
        </w:rPr>
        <w:t>:</w:t>
      </w:r>
      <w:r w:rsidRPr="00657452">
        <w:rPr>
          <w:b/>
          <w:iCs/>
          <w:sz w:val="32"/>
          <w:szCs w:val="32"/>
        </w:rPr>
        <w:t xml:space="preserve"> #</w:t>
      </w:r>
      <w:r w:rsidR="00B36604" w:rsidRPr="00657452">
        <w:rPr>
          <w:b/>
          <w:iCs/>
          <w:sz w:val="32"/>
          <w:szCs w:val="32"/>
        </w:rPr>
        <w:t>9</w:t>
      </w:r>
    </w:p>
    <w:p w:rsidR="00B15952" w:rsidRDefault="00B15952" w:rsidP="007F02A9">
      <w:pPr>
        <w:ind w:right="1170"/>
        <w:rPr>
          <w:b/>
          <w:iCs/>
          <w:sz w:val="32"/>
          <w:szCs w:val="32"/>
        </w:rPr>
      </w:pPr>
    </w:p>
    <w:p w:rsidR="009E4F28" w:rsidRPr="00967B70" w:rsidRDefault="009E4F28" w:rsidP="009E4F28">
      <w:pPr>
        <w:ind w:right="1170"/>
        <w:rPr>
          <w:b/>
          <w:iCs/>
          <w:sz w:val="32"/>
          <w:szCs w:val="32"/>
        </w:rPr>
      </w:pPr>
      <w:r w:rsidRPr="00967B70">
        <w:rPr>
          <w:b/>
          <w:iCs/>
          <w:sz w:val="32"/>
          <w:szCs w:val="32"/>
        </w:rPr>
        <w:t xml:space="preserve">Development required by: </w:t>
      </w:r>
    </w:p>
    <w:p w:rsidR="009E4F28" w:rsidRPr="00967B70" w:rsidRDefault="009E4F28" w:rsidP="009E4F28">
      <w:pPr>
        <w:ind w:right="1170"/>
        <w:rPr>
          <w:b/>
          <w:i/>
          <w:iCs/>
          <w:sz w:val="32"/>
          <w:szCs w:val="32"/>
        </w:rPr>
      </w:pPr>
      <w:r>
        <w:rPr>
          <w:b/>
          <w:i/>
          <w:iCs/>
          <w:sz w:val="32"/>
          <w:szCs w:val="32"/>
        </w:rPr>
        <w:t xml:space="preserve">Washington </w:t>
      </w:r>
      <w:r w:rsidRPr="00967B70">
        <w:rPr>
          <w:b/>
          <w:i/>
          <w:iCs/>
          <w:sz w:val="32"/>
          <w:szCs w:val="32"/>
        </w:rPr>
        <w:t xml:space="preserve">State’s eVal </w:t>
      </w:r>
      <w:r>
        <w:rPr>
          <w:b/>
          <w:i/>
          <w:iCs/>
          <w:sz w:val="32"/>
          <w:szCs w:val="32"/>
        </w:rPr>
        <w:t>T</w:t>
      </w:r>
      <w:r w:rsidRPr="00967B70">
        <w:rPr>
          <w:b/>
          <w:i/>
          <w:iCs/>
          <w:sz w:val="32"/>
          <w:szCs w:val="32"/>
        </w:rPr>
        <w:t>eam</w:t>
      </w:r>
    </w:p>
    <w:p w:rsidR="009E4F28" w:rsidRPr="00CC323D" w:rsidRDefault="009E4F28" w:rsidP="007F02A9">
      <w:pPr>
        <w:ind w:right="1170"/>
        <w:rPr>
          <w:b/>
          <w:iCs/>
          <w:sz w:val="32"/>
          <w:szCs w:val="32"/>
        </w:rPr>
      </w:pPr>
    </w:p>
    <w:p w:rsidR="00077144" w:rsidRDefault="00077144" w:rsidP="001D5B8F">
      <w:pPr>
        <w:rPr>
          <w:lang w:val="en-GB"/>
        </w:rPr>
      </w:pPr>
    </w:p>
    <w:bookmarkEnd w:id="0"/>
    <w:p w:rsidR="00B15952" w:rsidRDefault="00B15952" w:rsidP="00B15952">
      <w:pPr>
        <w:ind w:right="1170"/>
        <w:rPr>
          <w:rFonts w:cs="Arial"/>
          <w:sz w:val="16"/>
          <w:szCs w:val="16"/>
        </w:rPr>
      </w:pPr>
    </w:p>
    <w:p w:rsidR="00F378BE" w:rsidRDefault="00F378BE" w:rsidP="00B15952">
      <w:pPr>
        <w:ind w:right="1170"/>
        <w:rPr>
          <w:rFonts w:cs="Arial"/>
          <w:sz w:val="16"/>
          <w:szCs w:val="16"/>
        </w:rPr>
      </w:pPr>
    </w:p>
    <w:p w:rsidR="00657452" w:rsidRDefault="00657452">
      <w:pPr>
        <w:rPr>
          <w:rFonts w:cs="Arial"/>
          <w:sz w:val="16"/>
          <w:szCs w:val="16"/>
        </w:rPr>
      </w:pPr>
      <w:r>
        <w:rPr>
          <w:rFonts w:cs="Arial"/>
          <w:sz w:val="16"/>
          <w:szCs w:val="16"/>
        </w:rPr>
        <w:br w:type="page"/>
      </w:r>
    </w:p>
    <w:p w:rsidR="00657452" w:rsidRDefault="00657452" w:rsidP="00657452"/>
    <w:p w:rsidR="00657452" w:rsidRDefault="00657452" w:rsidP="00657452"/>
    <w:p w:rsidR="00657452" w:rsidRDefault="00657452" w:rsidP="00657452"/>
    <w:p w:rsidR="00657452" w:rsidRDefault="00657452" w:rsidP="00657452">
      <w:r w:rsidRPr="00490998">
        <w:rPr>
          <w:rFonts w:cs="Arial"/>
          <w:b/>
          <w:bCs/>
          <w:kern w:val="32"/>
          <w:sz w:val="32"/>
          <w:szCs w:val="32"/>
          <w:lang w:val="en-GB"/>
        </w:rPr>
        <w:t>BACKGROUND</w:t>
      </w:r>
    </w:p>
    <w:p w:rsidR="00657452" w:rsidRDefault="00657452" w:rsidP="00657452"/>
    <w:p w:rsidR="00391EA3" w:rsidRDefault="00391EA3" w:rsidP="00391EA3">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391EA3" w:rsidRDefault="00391EA3" w:rsidP="00391EA3"/>
    <w:p w:rsidR="00391EA3" w:rsidRDefault="00391EA3" w:rsidP="00391EA3">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391EA3" w:rsidRDefault="00391EA3" w:rsidP="00391EA3"/>
    <w:p w:rsidR="00391EA3" w:rsidRPr="004E75FD" w:rsidRDefault="00391EA3" w:rsidP="00391EA3">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657452" w:rsidRDefault="00657452" w:rsidP="00657452"/>
    <w:p w:rsidR="00657452" w:rsidRDefault="00657452" w:rsidP="00657452"/>
    <w:p w:rsidR="00C10F49" w:rsidRDefault="00C10F49" w:rsidP="00C10F49">
      <w:pPr>
        <w:ind w:right="1170"/>
        <w:rPr>
          <w:rFonts w:cs="Arial"/>
          <w:sz w:val="16"/>
          <w:szCs w:val="16"/>
        </w:rPr>
      </w:pPr>
      <w:bookmarkStart w:id="1" w:name="_GoBack"/>
      <w:bookmarkEnd w:id="1"/>
    </w:p>
    <w:p w:rsidR="00C10F49" w:rsidRDefault="00C10F49" w:rsidP="00C10F49">
      <w:pPr>
        <w:ind w:right="1170"/>
        <w:rPr>
          <w:rFonts w:cs="Arial"/>
          <w:sz w:val="16"/>
          <w:szCs w:val="16"/>
        </w:rPr>
      </w:pPr>
    </w:p>
    <w:p w:rsidR="00C10F49" w:rsidRDefault="00C10F49" w:rsidP="00C10F49">
      <w:pPr>
        <w:ind w:right="1170"/>
        <w:rPr>
          <w:rFonts w:cs="Arial"/>
          <w:sz w:val="16"/>
          <w:szCs w:val="16"/>
        </w:rPr>
      </w:pPr>
    </w:p>
    <w:p w:rsidR="00C10F49" w:rsidRDefault="00C10F49" w:rsidP="00C10F49">
      <w:pPr>
        <w:ind w:right="1170"/>
        <w:rPr>
          <w:rFonts w:cs="Arial"/>
          <w:sz w:val="16"/>
          <w:szCs w:val="16"/>
        </w:rPr>
      </w:pPr>
    </w:p>
    <w:p w:rsidR="00C10F49" w:rsidRDefault="00C10F49" w:rsidP="00C10F49">
      <w:pPr>
        <w:ind w:right="1170"/>
        <w:rPr>
          <w:rFonts w:cs="Arial"/>
          <w:sz w:val="16"/>
          <w:szCs w:val="16"/>
        </w:rPr>
      </w:pPr>
    </w:p>
    <w:tbl>
      <w:tblPr>
        <w:tblW w:w="101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471"/>
        <w:gridCol w:w="1573"/>
        <w:gridCol w:w="1470"/>
        <w:gridCol w:w="5602"/>
      </w:tblGrid>
      <w:tr w:rsidR="00C10F49" w:rsidTr="00CB09F1">
        <w:trPr>
          <w:trHeight w:val="398"/>
          <w:tblHeader/>
        </w:trPr>
        <w:tc>
          <w:tcPr>
            <w:tcW w:w="1471" w:type="dxa"/>
            <w:tcBorders>
              <w:top w:val="single" w:sz="6" w:space="0" w:color="auto"/>
              <w:left w:val="single" w:sz="6" w:space="0" w:color="auto"/>
              <w:bottom w:val="single" w:sz="6" w:space="0" w:color="auto"/>
              <w:right w:val="single" w:sz="6" w:space="0" w:color="auto"/>
            </w:tcBorders>
            <w:shd w:val="clear" w:color="auto" w:fill="000000"/>
            <w:hideMark/>
          </w:tcPr>
          <w:p w:rsidR="00C10F49" w:rsidRDefault="00C10F49" w:rsidP="00480149">
            <w:pPr>
              <w:pStyle w:val="TableHeading"/>
              <w:jc w:val="center"/>
              <w:rPr>
                <w:bCs/>
                <w:sz w:val="16"/>
                <w:szCs w:val="16"/>
              </w:rPr>
            </w:pPr>
            <w:r>
              <w:rPr>
                <w:bCs/>
                <w:sz w:val="16"/>
                <w:szCs w:val="16"/>
              </w:rPr>
              <w:t>Version No.</w:t>
            </w:r>
          </w:p>
        </w:tc>
        <w:tc>
          <w:tcPr>
            <w:tcW w:w="1573" w:type="dxa"/>
            <w:tcBorders>
              <w:top w:val="single" w:sz="6" w:space="0" w:color="auto"/>
              <w:left w:val="single" w:sz="6" w:space="0" w:color="auto"/>
              <w:bottom w:val="single" w:sz="6" w:space="0" w:color="auto"/>
              <w:right w:val="single" w:sz="6" w:space="0" w:color="auto"/>
            </w:tcBorders>
            <w:shd w:val="clear" w:color="auto" w:fill="000000"/>
            <w:hideMark/>
          </w:tcPr>
          <w:p w:rsidR="00C10F49" w:rsidRDefault="00C10F49" w:rsidP="00480149">
            <w:pPr>
              <w:pStyle w:val="TableHeading"/>
              <w:jc w:val="center"/>
              <w:rPr>
                <w:bCs/>
                <w:sz w:val="16"/>
                <w:szCs w:val="16"/>
              </w:rPr>
            </w:pPr>
            <w:r>
              <w:rPr>
                <w:bCs/>
                <w:sz w:val="16"/>
                <w:szCs w:val="16"/>
              </w:rPr>
              <w:t>Date</w:t>
            </w:r>
          </w:p>
        </w:tc>
        <w:tc>
          <w:tcPr>
            <w:tcW w:w="1470" w:type="dxa"/>
            <w:tcBorders>
              <w:top w:val="single" w:sz="6" w:space="0" w:color="auto"/>
              <w:left w:val="single" w:sz="6" w:space="0" w:color="auto"/>
              <w:bottom w:val="single" w:sz="6" w:space="0" w:color="auto"/>
              <w:right w:val="single" w:sz="6" w:space="0" w:color="auto"/>
            </w:tcBorders>
            <w:shd w:val="clear" w:color="auto" w:fill="000000"/>
            <w:hideMark/>
          </w:tcPr>
          <w:p w:rsidR="00C10F49" w:rsidRDefault="00C10F49" w:rsidP="00480149">
            <w:pPr>
              <w:pStyle w:val="TableHeading"/>
              <w:jc w:val="center"/>
              <w:rPr>
                <w:bCs/>
                <w:sz w:val="16"/>
                <w:szCs w:val="16"/>
              </w:rPr>
            </w:pPr>
            <w:r>
              <w:rPr>
                <w:bCs/>
                <w:sz w:val="16"/>
                <w:szCs w:val="16"/>
              </w:rPr>
              <w:t xml:space="preserve">Name </w:t>
            </w:r>
          </w:p>
        </w:tc>
        <w:tc>
          <w:tcPr>
            <w:tcW w:w="5602" w:type="dxa"/>
            <w:tcBorders>
              <w:top w:val="single" w:sz="6" w:space="0" w:color="auto"/>
              <w:left w:val="single" w:sz="6" w:space="0" w:color="auto"/>
              <w:bottom w:val="single" w:sz="6" w:space="0" w:color="auto"/>
              <w:right w:val="single" w:sz="6" w:space="0" w:color="auto"/>
            </w:tcBorders>
            <w:shd w:val="clear" w:color="auto" w:fill="000000"/>
            <w:hideMark/>
          </w:tcPr>
          <w:p w:rsidR="00C10F49" w:rsidRDefault="00C10F49" w:rsidP="00480149">
            <w:pPr>
              <w:pStyle w:val="TableHeading"/>
              <w:jc w:val="center"/>
              <w:rPr>
                <w:bCs/>
                <w:sz w:val="16"/>
                <w:szCs w:val="16"/>
              </w:rPr>
            </w:pPr>
            <w:r>
              <w:rPr>
                <w:bCs/>
                <w:sz w:val="16"/>
                <w:szCs w:val="16"/>
              </w:rPr>
              <w:t>Description of Change</w:t>
            </w:r>
          </w:p>
        </w:tc>
      </w:tr>
      <w:tr w:rsidR="00C10F49" w:rsidTr="00CB09F1">
        <w:trPr>
          <w:trHeight w:val="297"/>
        </w:trPr>
        <w:tc>
          <w:tcPr>
            <w:tcW w:w="1471" w:type="dxa"/>
            <w:tcBorders>
              <w:top w:val="single" w:sz="6" w:space="0" w:color="auto"/>
              <w:left w:val="single" w:sz="12" w:space="0" w:color="auto"/>
              <w:bottom w:val="single" w:sz="6" w:space="0" w:color="auto"/>
              <w:right w:val="single" w:sz="6" w:space="0" w:color="auto"/>
            </w:tcBorders>
            <w:hideMark/>
          </w:tcPr>
          <w:p w:rsidR="00C10F49" w:rsidRDefault="00C10F49" w:rsidP="00480149">
            <w:pPr>
              <w:pStyle w:val="TableCell"/>
              <w:jc w:val="center"/>
              <w:rPr>
                <w:sz w:val="16"/>
                <w:szCs w:val="16"/>
              </w:rPr>
            </w:pPr>
            <w:r>
              <w:rPr>
                <w:sz w:val="16"/>
                <w:szCs w:val="16"/>
              </w:rPr>
              <w:t>1</w:t>
            </w:r>
          </w:p>
        </w:tc>
        <w:tc>
          <w:tcPr>
            <w:tcW w:w="1573" w:type="dxa"/>
            <w:tcBorders>
              <w:top w:val="single" w:sz="6" w:space="0" w:color="auto"/>
              <w:left w:val="single" w:sz="6" w:space="0" w:color="auto"/>
              <w:bottom w:val="single" w:sz="6" w:space="0" w:color="auto"/>
              <w:right w:val="single" w:sz="6" w:space="0" w:color="auto"/>
            </w:tcBorders>
            <w:hideMark/>
          </w:tcPr>
          <w:p w:rsidR="00C10F49" w:rsidRDefault="00C10F49" w:rsidP="00480149">
            <w:pPr>
              <w:pStyle w:val="TableCell"/>
              <w:jc w:val="center"/>
              <w:rPr>
                <w:sz w:val="16"/>
                <w:szCs w:val="16"/>
              </w:rPr>
            </w:pPr>
            <w:r>
              <w:rPr>
                <w:sz w:val="16"/>
                <w:szCs w:val="16"/>
              </w:rPr>
              <w:t>10/31/14</w:t>
            </w:r>
          </w:p>
        </w:tc>
        <w:tc>
          <w:tcPr>
            <w:tcW w:w="1470" w:type="dxa"/>
            <w:tcBorders>
              <w:top w:val="single" w:sz="6" w:space="0" w:color="auto"/>
              <w:left w:val="single" w:sz="6" w:space="0" w:color="auto"/>
              <w:bottom w:val="single" w:sz="6" w:space="0" w:color="auto"/>
              <w:right w:val="single" w:sz="6" w:space="0" w:color="auto"/>
            </w:tcBorders>
            <w:hideMark/>
          </w:tcPr>
          <w:p w:rsidR="00C10F49" w:rsidRDefault="00C10F49" w:rsidP="00480149">
            <w:pPr>
              <w:pStyle w:val="TableCell"/>
              <w:jc w:val="center"/>
              <w:rPr>
                <w:sz w:val="16"/>
                <w:szCs w:val="16"/>
              </w:rPr>
            </w:pPr>
            <w:r>
              <w:rPr>
                <w:sz w:val="16"/>
                <w:szCs w:val="16"/>
              </w:rPr>
              <w:t>Donna Schmidt</w:t>
            </w:r>
          </w:p>
        </w:tc>
        <w:tc>
          <w:tcPr>
            <w:tcW w:w="5602" w:type="dxa"/>
            <w:tcBorders>
              <w:top w:val="single" w:sz="6" w:space="0" w:color="auto"/>
              <w:left w:val="single" w:sz="6" w:space="0" w:color="auto"/>
              <w:bottom w:val="single" w:sz="6" w:space="0" w:color="auto"/>
              <w:right w:val="single" w:sz="12" w:space="0" w:color="auto"/>
            </w:tcBorders>
            <w:hideMark/>
          </w:tcPr>
          <w:p w:rsidR="00C10F49" w:rsidRDefault="00C10F49" w:rsidP="00480149">
            <w:pPr>
              <w:pStyle w:val="TableCell"/>
              <w:rPr>
                <w:sz w:val="16"/>
                <w:szCs w:val="16"/>
              </w:rPr>
            </w:pPr>
            <w:r>
              <w:rPr>
                <w:sz w:val="16"/>
                <w:szCs w:val="16"/>
              </w:rPr>
              <w:t>Baseline; submitted to for review  to eVal, DOTs and HR teams</w:t>
            </w:r>
          </w:p>
        </w:tc>
      </w:tr>
      <w:tr w:rsidR="00CB09F1" w:rsidRPr="00037425" w:rsidTr="00CB09F1">
        <w:tblPrEx>
          <w:tblLook w:val="0000"/>
        </w:tblPrEx>
        <w:trPr>
          <w:trHeight w:val="349"/>
        </w:trPr>
        <w:tc>
          <w:tcPr>
            <w:tcW w:w="1471" w:type="dxa"/>
          </w:tcPr>
          <w:p w:rsidR="00CB09F1" w:rsidRDefault="00CB09F1" w:rsidP="00480149">
            <w:pPr>
              <w:pStyle w:val="TableCell"/>
              <w:jc w:val="center"/>
              <w:rPr>
                <w:sz w:val="16"/>
                <w:szCs w:val="16"/>
              </w:rPr>
            </w:pPr>
            <w:r>
              <w:rPr>
                <w:sz w:val="16"/>
                <w:szCs w:val="16"/>
              </w:rPr>
              <w:t>2</w:t>
            </w:r>
          </w:p>
        </w:tc>
        <w:tc>
          <w:tcPr>
            <w:tcW w:w="1573" w:type="dxa"/>
          </w:tcPr>
          <w:p w:rsidR="00CB09F1" w:rsidRDefault="00CB09F1" w:rsidP="00480149">
            <w:pPr>
              <w:pStyle w:val="TableCell"/>
              <w:jc w:val="center"/>
              <w:rPr>
                <w:sz w:val="16"/>
                <w:szCs w:val="16"/>
              </w:rPr>
            </w:pPr>
            <w:r>
              <w:rPr>
                <w:sz w:val="16"/>
                <w:szCs w:val="16"/>
              </w:rPr>
              <w:t>11/19/14</w:t>
            </w:r>
          </w:p>
        </w:tc>
        <w:tc>
          <w:tcPr>
            <w:tcW w:w="1470" w:type="dxa"/>
          </w:tcPr>
          <w:p w:rsidR="00CB09F1" w:rsidRDefault="00CB09F1" w:rsidP="00480149">
            <w:pPr>
              <w:pStyle w:val="TableCell"/>
              <w:rPr>
                <w:sz w:val="16"/>
                <w:szCs w:val="16"/>
              </w:rPr>
            </w:pPr>
            <w:r>
              <w:rPr>
                <w:sz w:val="16"/>
                <w:szCs w:val="16"/>
              </w:rPr>
              <w:t>Donna Schmidt</w:t>
            </w:r>
          </w:p>
        </w:tc>
        <w:tc>
          <w:tcPr>
            <w:tcW w:w="5602" w:type="dxa"/>
          </w:tcPr>
          <w:p w:rsidR="00CB09F1" w:rsidRDefault="00CB09F1" w:rsidP="00480149">
            <w:pPr>
              <w:pStyle w:val="TableCell"/>
              <w:rPr>
                <w:sz w:val="16"/>
                <w:szCs w:val="16"/>
              </w:rPr>
            </w:pPr>
            <w:r>
              <w:rPr>
                <w:sz w:val="16"/>
                <w:szCs w:val="16"/>
              </w:rPr>
              <w:t>Misc. word smithing per stakeholder review (no material  changes); updated Review/Approval table to reflect current status</w:t>
            </w:r>
          </w:p>
        </w:tc>
      </w:tr>
    </w:tbl>
    <w:p w:rsidR="00C10F49" w:rsidRDefault="00C10F49" w:rsidP="00C10F49">
      <w:pPr>
        <w:pStyle w:val="Body"/>
      </w:pPr>
    </w:p>
    <w:p w:rsidR="00C10F49" w:rsidRDefault="00C10F49" w:rsidP="00C10F49">
      <w:pPr>
        <w:rPr>
          <w:lang w:val="en-GB"/>
        </w:rPr>
      </w:pPr>
    </w:p>
    <w:p w:rsidR="00C10F49" w:rsidRDefault="00C10F49" w:rsidP="00C10F49">
      <w:pPr>
        <w:rPr>
          <w:lang w:val="en-GB"/>
        </w:rPr>
      </w:pPr>
    </w:p>
    <w:p w:rsidR="00C10F49" w:rsidRDefault="00C10F49">
      <w:pPr>
        <w:rPr>
          <w:rFonts w:cs="Arial"/>
          <w:sz w:val="16"/>
          <w:szCs w:val="16"/>
        </w:rPr>
      </w:pPr>
      <w:r>
        <w:rPr>
          <w:rFonts w:cs="Arial"/>
          <w:sz w:val="16"/>
          <w:szCs w:val="16"/>
        </w:rPr>
        <w:br w:type="page"/>
      </w:r>
    </w:p>
    <w:p w:rsidR="00B15952" w:rsidRDefault="00B15952" w:rsidP="00B15952">
      <w:pPr>
        <w:ind w:right="1170"/>
        <w:rPr>
          <w:rFonts w:cs="Arial"/>
          <w:sz w:val="16"/>
          <w:szCs w:val="16"/>
        </w:rPr>
      </w:pPr>
    </w:p>
    <w:p w:rsidR="007F02A9" w:rsidRDefault="007F02A9" w:rsidP="00125811">
      <w:pPr>
        <w:pStyle w:val="Heading1"/>
        <w:rPr>
          <w:rFonts w:cs="Times New Roman"/>
          <w:kern w:val="0"/>
          <w:sz w:val="20"/>
          <w:szCs w:val="24"/>
          <w:lang w:val="en-GB"/>
        </w:rPr>
      </w:pPr>
    </w:p>
    <w:p w:rsidR="007A3966" w:rsidRDefault="007A3966" w:rsidP="007A3966">
      <w:pPr>
        <w:pStyle w:val="Body"/>
      </w:pPr>
    </w:p>
    <w:p w:rsidR="00125811" w:rsidRDefault="003D3B85" w:rsidP="00125811">
      <w:pPr>
        <w:pStyle w:val="Heading1"/>
        <w:numPr>
          <w:ilvl w:val="0"/>
          <w:numId w:val="3"/>
        </w:numPr>
      </w:pPr>
      <w:bookmarkStart w:id="2" w:name="_Toc401140727"/>
      <w:r>
        <w:rPr>
          <w:lang w:val="en-GB"/>
        </w:rPr>
        <w:t>High Level Requirement Description</w:t>
      </w:r>
      <w:bookmarkEnd w:id="2"/>
      <w:r>
        <w:rPr>
          <w:lang w:val="en-GB"/>
        </w:rPr>
        <w:t xml:space="preserve"> </w:t>
      </w:r>
    </w:p>
    <w:p w:rsidR="00EF3A5E" w:rsidRPr="00FB4817" w:rsidRDefault="00480149" w:rsidP="001F1BA5">
      <w:pPr>
        <w:ind w:left="360"/>
        <w:rPr>
          <w:rFonts w:cs="Arial"/>
        </w:rPr>
      </w:pPr>
      <w:r>
        <w:rPr>
          <w:rFonts w:cs="Arial"/>
        </w:rPr>
        <w:t xml:space="preserve">This requirement document requests that the District have a switch by which, at their discretion,  they can  purge all data that exists in eVal for the previous year.  </w:t>
      </w:r>
    </w:p>
    <w:p w:rsidR="00252872" w:rsidRDefault="00252872" w:rsidP="00E50C90">
      <w:pPr>
        <w:pStyle w:val="Heading1"/>
        <w:numPr>
          <w:ilvl w:val="0"/>
          <w:numId w:val="3"/>
        </w:numPr>
        <w:rPr>
          <w:lang w:val="en-GB"/>
        </w:rPr>
      </w:pPr>
      <w:bookmarkStart w:id="3" w:name="_Toc401140728"/>
      <w:r>
        <w:rPr>
          <w:lang w:val="en-GB"/>
        </w:rPr>
        <w:t>Business Objective</w:t>
      </w:r>
      <w:bookmarkEnd w:id="3"/>
    </w:p>
    <w:p w:rsidR="00B64F6C" w:rsidRPr="00E50C90" w:rsidRDefault="00A86BC0" w:rsidP="001F1BA5">
      <w:pPr>
        <w:ind w:left="360"/>
        <w:rPr>
          <w:lang w:val="en-GB"/>
        </w:rPr>
      </w:pPr>
      <w:r>
        <w:rPr>
          <w:lang w:val="en-GB"/>
        </w:rPr>
        <w:t xml:space="preserve">The objective is for any data related to the District’s teachers that is stored in the eVal system to be compliant with District policy and CBA language for retention and destruction. </w:t>
      </w:r>
    </w:p>
    <w:p w:rsidR="00252872" w:rsidRDefault="00DA081A" w:rsidP="00B64F6C">
      <w:pPr>
        <w:pStyle w:val="Heading1"/>
        <w:numPr>
          <w:ilvl w:val="0"/>
          <w:numId w:val="3"/>
        </w:numPr>
        <w:rPr>
          <w:lang w:val="en-GB"/>
        </w:rPr>
      </w:pPr>
      <w:bookmarkStart w:id="4" w:name="_Toc100563404"/>
      <w:bookmarkStart w:id="5" w:name="_Toc100563406"/>
      <w:bookmarkStart w:id="6" w:name="_Toc401140729"/>
      <w:bookmarkEnd w:id="4"/>
      <w:bookmarkEnd w:id="5"/>
      <w:r>
        <w:rPr>
          <w:lang w:val="en-GB"/>
        </w:rPr>
        <w:t xml:space="preserve">Business </w:t>
      </w:r>
      <w:r w:rsidR="00252872">
        <w:rPr>
          <w:lang w:val="en-GB"/>
        </w:rPr>
        <w:t>p</w:t>
      </w:r>
      <w:r>
        <w:rPr>
          <w:lang w:val="en-GB"/>
        </w:rPr>
        <w:t>rocesses</w:t>
      </w:r>
      <w:r w:rsidR="00252872">
        <w:rPr>
          <w:lang w:val="en-GB"/>
        </w:rPr>
        <w:t xml:space="preserve"> impacted by the change</w:t>
      </w:r>
      <w:bookmarkEnd w:id="6"/>
    </w:p>
    <w:p w:rsidR="00A274C0" w:rsidRPr="00F244EC" w:rsidRDefault="00075E5B" w:rsidP="00B17716">
      <w:pPr>
        <w:pStyle w:val="GuidanceText"/>
        <w:ind w:left="360"/>
        <w:rPr>
          <w:i w:val="0"/>
          <w:color w:val="000000"/>
        </w:rPr>
      </w:pPr>
      <w:r>
        <w:rPr>
          <w:i w:val="0"/>
          <w:color w:val="000000"/>
        </w:rPr>
        <w:t>In the current state, observation data is stored by the Schools; consequently, it is the responsibility of each evaluator to ensure that this data is destroyed per CBA rules and  District policy.  In the future state,  this information will be stored within eVal</w:t>
      </w:r>
      <w:r w:rsidR="00480149">
        <w:rPr>
          <w:i w:val="0"/>
          <w:color w:val="000000"/>
        </w:rPr>
        <w:t xml:space="preserve">; therefore, an  enterprise approach is required. </w:t>
      </w:r>
    </w:p>
    <w:p w:rsidR="00B64F6C" w:rsidRPr="00E50C90" w:rsidRDefault="00DA081A" w:rsidP="00B64F6C">
      <w:pPr>
        <w:pStyle w:val="Heading1"/>
        <w:numPr>
          <w:ilvl w:val="0"/>
          <w:numId w:val="3"/>
        </w:numPr>
        <w:rPr>
          <w:lang w:val="en-GB"/>
        </w:rPr>
      </w:pPr>
      <w:bookmarkStart w:id="7" w:name="_Toc100563408"/>
      <w:bookmarkStart w:id="8" w:name="_Toc401140730"/>
      <w:bookmarkEnd w:id="7"/>
      <w:r>
        <w:rPr>
          <w:lang w:val="en-GB"/>
        </w:rPr>
        <w:t>Requirement Details</w:t>
      </w:r>
      <w:bookmarkEnd w:id="8"/>
    </w:p>
    <w:tbl>
      <w:tblPr>
        <w:tblpPr w:leftFromText="180" w:rightFromText="180" w:vertAnchor="text" w:horzAnchor="margin" w:tblpY="723"/>
        <w:tblW w:w="10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3103"/>
        <w:gridCol w:w="6077"/>
      </w:tblGrid>
      <w:tr w:rsidR="003C5A7D" w:rsidTr="009F6014">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9" w:name="_Toc75136613"/>
            <w:bookmarkStart w:id="10" w:name="_Toc75677719"/>
            <w:bookmarkStart w:id="11" w:name="_Toc76183422"/>
            <w:bookmarkStart w:id="12" w:name="_Toc106442830"/>
            <w:r>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300224">
            <w:pPr>
              <w:spacing w:line="276" w:lineRule="auto"/>
              <w:rPr>
                <w:rFonts w:cs="Arial"/>
                <w:color w:val="FFFFFF"/>
              </w:rPr>
            </w:pPr>
            <w:r>
              <w:rPr>
                <w:rFonts w:cs="Arial"/>
                <w:color w:val="FFFFFF"/>
              </w:rPr>
              <w:t>Requirement</w:t>
            </w:r>
          </w:p>
        </w:tc>
        <w:tc>
          <w:tcPr>
            <w:tcW w:w="607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9F6014">
        <w:tc>
          <w:tcPr>
            <w:tcW w:w="1188" w:type="dxa"/>
            <w:tcMar>
              <w:top w:w="0" w:type="dxa"/>
              <w:left w:w="108" w:type="dxa"/>
              <w:bottom w:w="0" w:type="dxa"/>
              <w:right w:w="108" w:type="dxa"/>
            </w:tcMar>
            <w:vAlign w:val="center"/>
          </w:tcPr>
          <w:p w:rsidR="003C5A7D" w:rsidRDefault="00E6122C" w:rsidP="003C5A7D">
            <w:pPr>
              <w:jc w:val="center"/>
              <w:rPr>
                <w:rFonts w:ascii="Calibri" w:hAnsi="Calibri" w:cs="Arial"/>
                <w:szCs w:val="20"/>
              </w:rPr>
            </w:pPr>
            <w:r>
              <w:rPr>
                <w:rFonts w:ascii="Calibri" w:hAnsi="Calibri" w:cs="Arial"/>
                <w:szCs w:val="20"/>
              </w:rPr>
              <w:t>9.1</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480149" w:rsidP="00300224">
            <w:pPr>
              <w:spacing w:line="276" w:lineRule="auto"/>
            </w:pPr>
            <w:r>
              <w:t>The ability for the District to purge all District eVal data for the previous year</w:t>
            </w:r>
          </w:p>
        </w:tc>
        <w:tc>
          <w:tcPr>
            <w:tcW w:w="6077" w:type="dxa"/>
            <w:tcMar>
              <w:top w:w="0" w:type="dxa"/>
              <w:left w:w="108" w:type="dxa"/>
              <w:bottom w:w="0" w:type="dxa"/>
              <w:right w:w="108" w:type="dxa"/>
            </w:tcMar>
          </w:tcPr>
          <w:p w:rsidR="009F6014" w:rsidRDefault="00480149" w:rsidP="00480149">
            <w:pPr>
              <w:spacing w:line="276" w:lineRule="auto"/>
              <w:rPr>
                <w:rFonts w:cs="Arial"/>
                <w:color w:val="000000"/>
              </w:rPr>
            </w:pPr>
            <w:bookmarkStart w:id="13" w:name="_BR16"/>
            <w:bookmarkEnd w:id="13"/>
            <w:r>
              <w:rPr>
                <w:rFonts w:cs="Arial"/>
                <w:color w:val="000000"/>
              </w:rPr>
              <w:t>At a defined date before a new school year begins, a person with appropriate authority at the District will purge all District data from the eVal tool.  (This will not include audit data on when  this switch was used; that data will  need to persist in the tool).</w:t>
            </w:r>
          </w:p>
          <w:p w:rsidR="00480149" w:rsidRDefault="00480149" w:rsidP="00480149">
            <w:pPr>
              <w:spacing w:line="276" w:lineRule="auto"/>
              <w:rPr>
                <w:rFonts w:cs="Arial"/>
                <w:color w:val="000000"/>
              </w:rPr>
            </w:pPr>
          </w:p>
          <w:p w:rsidR="00480149" w:rsidRPr="0037499E" w:rsidRDefault="00480149" w:rsidP="00477E17">
            <w:pPr>
              <w:spacing w:line="276" w:lineRule="auto"/>
              <w:rPr>
                <w:rFonts w:cs="Arial"/>
                <w:color w:val="000000"/>
              </w:rPr>
            </w:pPr>
            <w:r>
              <w:rPr>
                <w:rFonts w:cs="Arial"/>
                <w:color w:val="000000"/>
              </w:rPr>
              <w:t xml:space="preserve">If feasible, it may be best for the switch to have two parts, one for purging </w:t>
            </w:r>
            <w:r w:rsidR="00477E17">
              <w:rPr>
                <w:rFonts w:cs="Arial"/>
                <w:color w:val="000000"/>
              </w:rPr>
              <w:t xml:space="preserve">the </w:t>
            </w:r>
            <w:r>
              <w:rPr>
                <w:rFonts w:cs="Arial"/>
                <w:color w:val="000000"/>
              </w:rPr>
              <w:t xml:space="preserve">data and another for purging the PDF files.  </w:t>
            </w:r>
          </w:p>
        </w:tc>
      </w:tr>
      <w:tr w:rsidR="003C5A7D" w:rsidRPr="001D088E" w:rsidTr="009F6014">
        <w:tc>
          <w:tcPr>
            <w:tcW w:w="1188" w:type="dxa"/>
            <w:tcMar>
              <w:top w:w="0" w:type="dxa"/>
              <w:left w:w="108" w:type="dxa"/>
              <w:bottom w:w="0" w:type="dxa"/>
              <w:right w:w="108" w:type="dxa"/>
            </w:tcMar>
            <w:vAlign w:val="center"/>
          </w:tcPr>
          <w:p w:rsidR="00B04C41" w:rsidRDefault="00E6122C" w:rsidP="00B04C41">
            <w:pPr>
              <w:jc w:val="center"/>
              <w:rPr>
                <w:rFonts w:ascii="Calibri" w:hAnsi="Calibri" w:cs="Arial"/>
                <w:szCs w:val="20"/>
              </w:rPr>
            </w:pPr>
            <w:r>
              <w:rPr>
                <w:rFonts w:ascii="Calibri" w:hAnsi="Calibri" w:cs="Arial"/>
                <w:szCs w:val="20"/>
              </w:rPr>
              <w:t>9.2</w:t>
            </w:r>
          </w:p>
          <w:p w:rsidR="003C5A7D" w:rsidRPr="001D088E" w:rsidRDefault="003C5A7D" w:rsidP="003C5A7D">
            <w:pPr>
              <w:spacing w:line="276" w:lineRule="auto"/>
              <w:jc w:val="center"/>
              <w:rPr>
                <w:rFonts w:cs="Arial"/>
              </w:rPr>
            </w:pPr>
          </w:p>
        </w:tc>
        <w:tc>
          <w:tcPr>
            <w:tcW w:w="3103" w:type="dxa"/>
            <w:tcMar>
              <w:top w:w="0" w:type="dxa"/>
              <w:left w:w="108" w:type="dxa"/>
              <w:bottom w:w="0" w:type="dxa"/>
              <w:right w:w="108" w:type="dxa"/>
            </w:tcMar>
            <w:vAlign w:val="center"/>
          </w:tcPr>
          <w:p w:rsidR="003C5A7D" w:rsidRPr="001D088E" w:rsidRDefault="00D6504E" w:rsidP="00477E17">
            <w:pPr>
              <w:spacing w:line="276" w:lineRule="auto"/>
              <w:rPr>
                <w:rFonts w:cs="Arial"/>
              </w:rPr>
            </w:pPr>
            <w:r>
              <w:t>Sufficient safeguards must be in place to prevent the data from being purged accidentally.</w:t>
            </w:r>
          </w:p>
        </w:tc>
        <w:tc>
          <w:tcPr>
            <w:tcW w:w="6077" w:type="dxa"/>
            <w:tcMar>
              <w:top w:w="0" w:type="dxa"/>
              <w:left w:w="108" w:type="dxa"/>
              <w:bottom w:w="0" w:type="dxa"/>
              <w:right w:w="108" w:type="dxa"/>
            </w:tcMar>
          </w:tcPr>
          <w:p w:rsidR="003C5A7D" w:rsidRPr="007E1CB7" w:rsidRDefault="00D6504E" w:rsidP="007E40EB">
            <w:pPr>
              <w:spacing w:line="276" w:lineRule="auto"/>
              <w:rPr>
                <w:rFonts w:cs="Arial"/>
                <w:color w:val="000000"/>
              </w:rPr>
            </w:pPr>
            <w:r>
              <w:rPr>
                <w:rFonts w:cs="Arial"/>
                <w:color w:val="000000"/>
              </w:rPr>
              <w:t>The District and eVal team can discuss this further in design</w:t>
            </w:r>
            <w:r w:rsidR="000E1C7D">
              <w:rPr>
                <w:rFonts w:cs="Arial"/>
                <w:color w:val="000000"/>
              </w:rPr>
              <w:t xml:space="preserve">.  </w:t>
            </w:r>
            <w:r w:rsidR="007E40EB">
              <w:rPr>
                <w:rFonts w:cs="Arial"/>
                <w:color w:val="000000"/>
              </w:rPr>
              <w:t>T</w:t>
            </w:r>
            <w:r w:rsidR="000E1C7D">
              <w:rPr>
                <w:rFonts w:cs="Arial"/>
                <w:color w:val="000000"/>
              </w:rPr>
              <w:t xml:space="preserve">he risk that the data  is purged at the wrong time </w:t>
            </w:r>
            <w:r w:rsidR="007E40EB">
              <w:rPr>
                <w:rFonts w:cs="Arial"/>
                <w:color w:val="000000"/>
              </w:rPr>
              <w:t xml:space="preserve">must be </w:t>
            </w:r>
            <w:r w:rsidR="000E1C7D">
              <w:rPr>
                <w:rFonts w:cs="Arial"/>
                <w:color w:val="000000"/>
              </w:rPr>
              <w:t xml:space="preserve">minimized or made impossible.  As this function will  only be invoked one time  per year, the District may request the ability to partner with the eVal  team for each event (i.e., perhaps the switch is disabled until the point in time that the eVal team receives an approval form  from the District requesting the switch be made available to a certain person within a certain time frame).   </w:t>
            </w:r>
          </w:p>
        </w:tc>
      </w:tr>
      <w:tr w:rsidR="003C5A7D" w:rsidRPr="001D088E" w:rsidTr="009F6014">
        <w:tc>
          <w:tcPr>
            <w:tcW w:w="1188" w:type="dxa"/>
            <w:tcMar>
              <w:top w:w="0" w:type="dxa"/>
              <w:left w:w="108" w:type="dxa"/>
              <w:bottom w:w="0" w:type="dxa"/>
              <w:right w:w="108" w:type="dxa"/>
            </w:tcMar>
            <w:vAlign w:val="center"/>
          </w:tcPr>
          <w:p w:rsidR="003C5A7D" w:rsidRPr="001D088E" w:rsidRDefault="000E1C7D" w:rsidP="003C5A7D">
            <w:pPr>
              <w:spacing w:line="276" w:lineRule="auto"/>
              <w:jc w:val="center"/>
            </w:pPr>
            <w:r>
              <w:t>9.3</w:t>
            </w:r>
          </w:p>
        </w:tc>
        <w:tc>
          <w:tcPr>
            <w:tcW w:w="3103" w:type="dxa"/>
            <w:tcMar>
              <w:top w:w="0" w:type="dxa"/>
              <w:left w:w="108" w:type="dxa"/>
              <w:bottom w:w="0" w:type="dxa"/>
              <w:right w:w="108" w:type="dxa"/>
            </w:tcMar>
            <w:vAlign w:val="center"/>
          </w:tcPr>
          <w:p w:rsidR="003C5A7D" w:rsidRPr="001D088E" w:rsidRDefault="000E1C7D" w:rsidP="000E1C7D">
            <w:pPr>
              <w:spacing w:line="276" w:lineRule="auto"/>
            </w:pPr>
            <w:r>
              <w:t>Audit reports should be available (including past years’ history) showing the date each year that data was purged and the District person who logged into eVal and invoked the functionality.</w:t>
            </w:r>
          </w:p>
        </w:tc>
        <w:tc>
          <w:tcPr>
            <w:tcW w:w="6077" w:type="dxa"/>
            <w:tcMar>
              <w:top w:w="0" w:type="dxa"/>
              <w:left w:w="108" w:type="dxa"/>
              <w:bottom w:w="0" w:type="dxa"/>
              <w:right w:w="108" w:type="dxa"/>
            </w:tcMar>
          </w:tcPr>
          <w:p w:rsidR="003C5A7D" w:rsidRPr="001D088E" w:rsidRDefault="003C5A7D" w:rsidP="003C5A7D">
            <w:pPr>
              <w:spacing w:line="276" w:lineRule="auto"/>
              <w:rPr>
                <w:rFonts w:cs="Arial"/>
                <w:color w:val="000000"/>
              </w:rPr>
            </w:pPr>
          </w:p>
        </w:tc>
      </w:tr>
      <w:tr w:rsidR="003C5A7D" w:rsidRPr="001D088E" w:rsidTr="009F6014">
        <w:tc>
          <w:tcPr>
            <w:tcW w:w="1188" w:type="dxa"/>
            <w:tcMar>
              <w:top w:w="0" w:type="dxa"/>
              <w:left w:w="108" w:type="dxa"/>
              <w:bottom w:w="0" w:type="dxa"/>
              <w:right w:w="108" w:type="dxa"/>
            </w:tcMar>
            <w:vAlign w:val="center"/>
          </w:tcPr>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C5A7D" w:rsidP="00300224">
            <w:pPr>
              <w:spacing w:line="276" w:lineRule="auto"/>
            </w:pPr>
          </w:p>
        </w:tc>
        <w:tc>
          <w:tcPr>
            <w:tcW w:w="6077" w:type="dxa"/>
            <w:tcMar>
              <w:top w:w="0" w:type="dxa"/>
              <w:left w:w="108" w:type="dxa"/>
              <w:bottom w:w="0" w:type="dxa"/>
              <w:right w:w="108" w:type="dxa"/>
            </w:tcMar>
          </w:tcPr>
          <w:p w:rsidR="003C5A7D" w:rsidRPr="00886421" w:rsidRDefault="003C5A7D" w:rsidP="003C5A7D">
            <w:pPr>
              <w:spacing w:line="276" w:lineRule="auto"/>
              <w:rPr>
                <w:rFonts w:cs="Arial"/>
                <w:color w:val="000000"/>
              </w:rPr>
            </w:pPr>
          </w:p>
        </w:tc>
      </w:tr>
    </w:tbl>
    <w:p w:rsidR="00763BEA" w:rsidRDefault="00763BEA" w:rsidP="006A1887">
      <w:pPr>
        <w:rPr>
          <w:b/>
          <w:u w:val="single"/>
        </w:rPr>
      </w:pPr>
      <w:bookmarkStart w:id="14" w:name="_Toc100563439"/>
      <w:bookmarkEnd w:id="9"/>
      <w:bookmarkEnd w:id="10"/>
      <w:bookmarkEnd w:id="11"/>
      <w:bookmarkEnd w:id="12"/>
      <w:bookmarkEnd w:id="14"/>
    </w:p>
    <w:p w:rsidR="00BE4B37" w:rsidRDefault="00BE4B37" w:rsidP="006A1887">
      <w:pPr>
        <w:rPr>
          <w:b/>
          <w:u w:val="single"/>
        </w:rPr>
      </w:pPr>
    </w:p>
    <w:p w:rsidR="001B71C6" w:rsidRDefault="001B71C6" w:rsidP="006A1887"/>
    <w:p w:rsidR="009679DA" w:rsidRPr="006A1887" w:rsidRDefault="009679DA" w:rsidP="006A1887"/>
    <w:p w:rsidR="00252872" w:rsidRDefault="00DA081A" w:rsidP="00252872">
      <w:pPr>
        <w:pStyle w:val="Heading1"/>
        <w:numPr>
          <w:ilvl w:val="0"/>
          <w:numId w:val="3"/>
        </w:numPr>
        <w:rPr>
          <w:lang w:val="en-GB"/>
        </w:rPr>
      </w:pPr>
      <w:bookmarkStart w:id="15" w:name="_Toc401140732"/>
      <w:r>
        <w:rPr>
          <w:lang w:val="en-GB"/>
        </w:rPr>
        <w:t>Out-of-Scope</w:t>
      </w:r>
      <w:bookmarkEnd w:id="15"/>
    </w:p>
    <w:p w:rsidR="00221419" w:rsidRDefault="00221419" w:rsidP="00221419">
      <w:pPr>
        <w:rPr>
          <w:lang w:val="en-GB"/>
        </w:rPr>
      </w:pPr>
    </w:p>
    <w:p w:rsidR="00221419" w:rsidRDefault="00221419" w:rsidP="00221419">
      <w:pPr>
        <w:rPr>
          <w:lang w:val="en-GB"/>
        </w:rPr>
      </w:pPr>
    </w:p>
    <w:p w:rsidR="00221419" w:rsidRPr="00221419" w:rsidRDefault="00221419" w:rsidP="00221419">
      <w:pPr>
        <w:rPr>
          <w:lang w:val="en-GB"/>
        </w:rPr>
      </w:pPr>
    </w:p>
    <w:p w:rsidR="00252872" w:rsidRPr="00E50C90" w:rsidRDefault="00BA58D9" w:rsidP="00252872">
      <w:pPr>
        <w:pStyle w:val="Heading1"/>
        <w:numPr>
          <w:ilvl w:val="0"/>
          <w:numId w:val="3"/>
        </w:numPr>
        <w:rPr>
          <w:lang w:val="en-GB"/>
        </w:rPr>
      </w:pPr>
      <w:bookmarkStart w:id="16" w:name="_Toc401140733"/>
      <w:r>
        <w:rPr>
          <w:lang w:val="en-GB"/>
        </w:rPr>
        <w:t xml:space="preserve">Review and </w:t>
      </w:r>
      <w:bookmarkEnd w:id="16"/>
      <w:r w:rsidR="00892FBA">
        <w:rPr>
          <w:lang w:val="en-GB"/>
        </w:rPr>
        <w:t>Approval</w:t>
      </w:r>
    </w:p>
    <w:p w:rsidR="00892FBA" w:rsidRDefault="00892FBA" w:rsidP="00892FBA">
      <w:pPr>
        <w:pStyle w:val="ListParagraph"/>
        <w:numPr>
          <w:ilvl w:val="0"/>
          <w:numId w:val="3"/>
        </w:num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418"/>
        <w:gridCol w:w="3356"/>
        <w:gridCol w:w="2430"/>
        <w:gridCol w:w="1662"/>
      </w:tblGrid>
      <w:tr w:rsidR="00892FBA" w:rsidTr="00892FBA">
        <w:trPr>
          <w:tblHeader/>
        </w:trPr>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892FBA" w:rsidRDefault="00892FBA">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892FBA" w:rsidRDefault="00892FBA">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892FBA" w:rsidRDefault="00892FBA">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892FBA" w:rsidRDefault="00892FBA">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892FBA" w:rsidRDefault="00892FBA">
            <w:pPr>
              <w:pStyle w:val="TableHeading"/>
              <w:rPr>
                <w:sz w:val="16"/>
                <w:szCs w:val="16"/>
              </w:rPr>
            </w:pPr>
            <w:r>
              <w:rPr>
                <w:sz w:val="16"/>
                <w:szCs w:val="16"/>
              </w:rPr>
              <w:t>Date review/approval received</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11/5/14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11/19/14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11/14/14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11/14/14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11/14/14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11/6/14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11/6/14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11/14/14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11/7/14</w:t>
            </w:r>
          </w:p>
        </w:tc>
      </w:tr>
      <w:tr w:rsidR="00892FBA" w:rsidTr="00892FBA">
        <w:tc>
          <w:tcPr>
            <w:tcW w:w="58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892FBA" w:rsidRDefault="00892FBA">
            <w:pPr>
              <w:pStyle w:val="TableCell"/>
              <w:rPr>
                <w:sz w:val="16"/>
                <w:szCs w:val="16"/>
              </w:rPr>
            </w:pPr>
            <w:r>
              <w:rPr>
                <w:sz w:val="16"/>
                <w:szCs w:val="16"/>
              </w:rPr>
              <w:t>11/7/14</w:t>
            </w:r>
          </w:p>
        </w:tc>
      </w:tr>
    </w:tbl>
    <w:p w:rsidR="00892FBA" w:rsidRDefault="00892FBA" w:rsidP="00892FBA">
      <w:pPr>
        <w:rPr>
          <w:lang w:val="en-GB"/>
        </w:rPr>
      </w:pPr>
    </w:p>
    <w:p w:rsidR="00193100" w:rsidRPr="00193100" w:rsidRDefault="00193100" w:rsidP="001077F5">
      <w:pPr>
        <w:rPr>
          <w:lang w:val="en-GB"/>
        </w:rPr>
      </w:pPr>
    </w:p>
    <w:sectPr w:rsidR="00193100" w:rsidRPr="00193100" w:rsidSect="0007703B">
      <w:headerReference w:type="default" r:id="rId11"/>
      <w:footerReference w:type="default" r:id="rId12"/>
      <w:pgSz w:w="12240" w:h="15840"/>
      <w:pgMar w:top="1440" w:right="1080" w:bottom="1440" w:left="1080" w:header="720" w:footer="720" w:gutter="245"/>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C7D" w:rsidRDefault="000E1C7D">
      <w:r>
        <w:separator/>
      </w:r>
    </w:p>
  </w:endnote>
  <w:endnote w:type="continuationSeparator" w:id="0">
    <w:p w:rsidR="000E1C7D" w:rsidRDefault="000E1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C7D" w:rsidRDefault="000E1C7D" w:rsidP="00C10F49">
    <w:pPr>
      <w:pStyle w:val="Footer"/>
      <w:tabs>
        <w:tab w:val="clear" w:pos="8640"/>
        <w:tab w:val="right" w:pos="9720"/>
      </w:tabs>
    </w:pPr>
    <w:fldSimple w:instr=" FILENAME   \* MERGEFORMAT ">
      <w:r>
        <w:rPr>
          <w:noProof/>
        </w:rPr>
        <w:t>eVal BRD-No_9_eVal Data Destruction v1.docx</w:t>
      </w:r>
    </w:fldSimple>
    <w:r>
      <w:tab/>
    </w:r>
    <w:r>
      <w:tab/>
      <w:t xml:space="preserve"> Page </w:t>
    </w:r>
    <w:sdt>
      <w:sdtPr>
        <w:rPr>
          <w:noProof/>
        </w:rPr>
        <w:id w:val="1563987487"/>
        <w:docPartObj>
          <w:docPartGallery w:val="Page Numbers (Bottom of Page)"/>
          <w:docPartUnique/>
        </w:docPartObj>
      </w:sdtPr>
      <w:sdtContent>
        <w:fldSimple w:instr=" PAGE   \* MERGEFORMAT ">
          <w:r w:rsidR="007E40EB">
            <w:rPr>
              <w:noProof/>
            </w:rPr>
            <w:t>1</w:t>
          </w:r>
        </w:fldSimple>
        <w:r>
          <w:rPr>
            <w:noProof/>
          </w:rPr>
          <w:t xml:space="preserve"> of </w:t>
        </w:r>
        <w:fldSimple w:instr=" NUMPAGES   \* MERGEFORMAT ">
          <w:r w:rsidR="007E40EB">
            <w:rPr>
              <w:noProof/>
            </w:rPr>
            <w:t>4</w:t>
          </w:r>
        </w:fldSimple>
      </w:sdtContent>
    </w:sdt>
  </w:p>
  <w:p w:rsidR="000E1C7D" w:rsidRDefault="000E1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C7D" w:rsidRDefault="000E1C7D">
      <w:r>
        <w:separator/>
      </w:r>
    </w:p>
  </w:footnote>
  <w:footnote w:type="continuationSeparator" w:id="0">
    <w:p w:rsidR="000E1C7D" w:rsidRDefault="000E1C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C7D" w:rsidRDefault="000E1C7D" w:rsidP="007F02A9">
    <w:pPr>
      <w:pStyle w:val="Header"/>
    </w:pPr>
    <w:r w:rsidRPr="00914081">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0E1C7D" w:rsidRDefault="000E1C7D" w:rsidP="007F02A9">
    <w:pPr>
      <w:pStyle w:val="Header"/>
    </w:pPr>
  </w:p>
  <w:p w:rsidR="000E1C7D" w:rsidRPr="007F02A9" w:rsidRDefault="000E1C7D" w:rsidP="007F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4">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1"/>
  </w:num>
  <w:num w:numId="3">
    <w:abstractNumId w:val="16"/>
  </w:num>
  <w:num w:numId="4">
    <w:abstractNumId w:val="20"/>
  </w:num>
  <w:num w:numId="5">
    <w:abstractNumId w:val="4"/>
  </w:num>
  <w:num w:numId="6">
    <w:abstractNumId w:val="5"/>
  </w:num>
  <w:num w:numId="7">
    <w:abstractNumId w:val="24"/>
  </w:num>
  <w:num w:numId="8">
    <w:abstractNumId w:val="34"/>
  </w:num>
  <w:num w:numId="9">
    <w:abstractNumId w:val="26"/>
  </w:num>
  <w:num w:numId="10">
    <w:abstractNumId w:val="28"/>
  </w:num>
  <w:num w:numId="11">
    <w:abstractNumId w:val="17"/>
  </w:num>
  <w:num w:numId="12">
    <w:abstractNumId w:val="2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9"/>
  </w:num>
  <w:num w:numId="20">
    <w:abstractNumId w:val="3"/>
  </w:num>
  <w:num w:numId="21">
    <w:abstractNumId w:val="11"/>
  </w:num>
  <w:num w:numId="22">
    <w:abstractNumId w:val="36"/>
  </w:num>
  <w:num w:numId="23">
    <w:abstractNumId w:val="1"/>
  </w:num>
  <w:num w:numId="24">
    <w:abstractNumId w:val="8"/>
  </w:num>
  <w:num w:numId="25">
    <w:abstractNumId w:val="32"/>
  </w:num>
  <w:num w:numId="26">
    <w:abstractNumId w:val="9"/>
  </w:num>
  <w:num w:numId="27">
    <w:abstractNumId w:val="30"/>
  </w:num>
  <w:num w:numId="28">
    <w:abstractNumId w:val="33"/>
  </w:num>
  <w:num w:numId="29">
    <w:abstractNumId w:val="14"/>
  </w:num>
  <w:num w:numId="30">
    <w:abstractNumId w:val="13"/>
  </w:num>
  <w:num w:numId="31">
    <w:abstractNumId w:val="7"/>
  </w:num>
  <w:num w:numId="32">
    <w:abstractNumId w:val="27"/>
  </w:num>
  <w:num w:numId="33">
    <w:abstractNumId w:val="22"/>
  </w:num>
  <w:num w:numId="34">
    <w:abstractNumId w:val="18"/>
  </w:num>
  <w:num w:numId="35">
    <w:abstractNumId w:val="10"/>
  </w:num>
  <w:num w:numId="36">
    <w:abstractNumId w:val="19"/>
  </w:num>
  <w:num w:numId="37">
    <w:abstractNumId w:val="15"/>
  </w:num>
  <w:num w:numId="38">
    <w:abstractNumId w:val="12"/>
  </w:num>
  <w:num w:numId="39">
    <w:abstractNumId w:val="31"/>
  </w:num>
  <w:num w:numId="40">
    <w:abstractNumId w:val="25"/>
  </w:num>
  <w:num w:numId="41">
    <w:abstractNumId w:val="2"/>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rsids>
    <w:rsidRoot w:val="00B64F6C"/>
    <w:rsid w:val="0000608F"/>
    <w:rsid w:val="000137E0"/>
    <w:rsid w:val="000142B6"/>
    <w:rsid w:val="00014C26"/>
    <w:rsid w:val="000162BF"/>
    <w:rsid w:val="0001737E"/>
    <w:rsid w:val="00021133"/>
    <w:rsid w:val="00032E52"/>
    <w:rsid w:val="000345E8"/>
    <w:rsid w:val="00040B3D"/>
    <w:rsid w:val="00040DD8"/>
    <w:rsid w:val="000539FE"/>
    <w:rsid w:val="0005790D"/>
    <w:rsid w:val="00060766"/>
    <w:rsid w:val="000646A1"/>
    <w:rsid w:val="00075E5B"/>
    <w:rsid w:val="0007703B"/>
    <w:rsid w:val="00077144"/>
    <w:rsid w:val="0008554B"/>
    <w:rsid w:val="000907BB"/>
    <w:rsid w:val="0009418E"/>
    <w:rsid w:val="00095FF0"/>
    <w:rsid w:val="00096936"/>
    <w:rsid w:val="000A1E9E"/>
    <w:rsid w:val="000A4AB9"/>
    <w:rsid w:val="000B524B"/>
    <w:rsid w:val="000D35C5"/>
    <w:rsid w:val="000E1C7D"/>
    <w:rsid w:val="000E245D"/>
    <w:rsid w:val="000E57A9"/>
    <w:rsid w:val="000E5904"/>
    <w:rsid w:val="001003ED"/>
    <w:rsid w:val="00106517"/>
    <w:rsid w:val="001072C9"/>
    <w:rsid w:val="001077F5"/>
    <w:rsid w:val="0011022F"/>
    <w:rsid w:val="00117FBD"/>
    <w:rsid w:val="00125811"/>
    <w:rsid w:val="00130003"/>
    <w:rsid w:val="00141919"/>
    <w:rsid w:val="00144DD7"/>
    <w:rsid w:val="00154321"/>
    <w:rsid w:val="00155FEB"/>
    <w:rsid w:val="00161707"/>
    <w:rsid w:val="00171ED4"/>
    <w:rsid w:val="00184714"/>
    <w:rsid w:val="00186C86"/>
    <w:rsid w:val="00190A5C"/>
    <w:rsid w:val="00191F18"/>
    <w:rsid w:val="00193100"/>
    <w:rsid w:val="001A2D48"/>
    <w:rsid w:val="001B63C1"/>
    <w:rsid w:val="001B71C6"/>
    <w:rsid w:val="001B795F"/>
    <w:rsid w:val="001C3815"/>
    <w:rsid w:val="001D202B"/>
    <w:rsid w:val="001D5B8F"/>
    <w:rsid w:val="001D76D1"/>
    <w:rsid w:val="001E3D42"/>
    <w:rsid w:val="001E698E"/>
    <w:rsid w:val="001F1BA5"/>
    <w:rsid w:val="001F1DC2"/>
    <w:rsid w:val="00206A62"/>
    <w:rsid w:val="002124DF"/>
    <w:rsid w:val="00216038"/>
    <w:rsid w:val="00216C92"/>
    <w:rsid w:val="00217600"/>
    <w:rsid w:val="00220A3F"/>
    <w:rsid w:val="00221093"/>
    <w:rsid w:val="00221419"/>
    <w:rsid w:val="00224CBA"/>
    <w:rsid w:val="002317F8"/>
    <w:rsid w:val="002419AA"/>
    <w:rsid w:val="00252872"/>
    <w:rsid w:val="0025362B"/>
    <w:rsid w:val="002539AB"/>
    <w:rsid w:val="0026110A"/>
    <w:rsid w:val="002613C1"/>
    <w:rsid w:val="00263C74"/>
    <w:rsid w:val="00265CA6"/>
    <w:rsid w:val="0027111E"/>
    <w:rsid w:val="00276606"/>
    <w:rsid w:val="00276AF8"/>
    <w:rsid w:val="00281907"/>
    <w:rsid w:val="00281DB8"/>
    <w:rsid w:val="00295777"/>
    <w:rsid w:val="00297848"/>
    <w:rsid w:val="002B187C"/>
    <w:rsid w:val="002D239C"/>
    <w:rsid w:val="002D6814"/>
    <w:rsid w:val="002D68EA"/>
    <w:rsid w:val="002E0AED"/>
    <w:rsid w:val="002F1D55"/>
    <w:rsid w:val="002F1DF0"/>
    <w:rsid w:val="002F39EE"/>
    <w:rsid w:val="00300224"/>
    <w:rsid w:val="00321235"/>
    <w:rsid w:val="00335D2B"/>
    <w:rsid w:val="00340A60"/>
    <w:rsid w:val="00350859"/>
    <w:rsid w:val="003630E6"/>
    <w:rsid w:val="00364444"/>
    <w:rsid w:val="00364DF0"/>
    <w:rsid w:val="0037499E"/>
    <w:rsid w:val="00376D55"/>
    <w:rsid w:val="00377046"/>
    <w:rsid w:val="00377E0E"/>
    <w:rsid w:val="00391EA3"/>
    <w:rsid w:val="003947A5"/>
    <w:rsid w:val="003A2C69"/>
    <w:rsid w:val="003A3FCA"/>
    <w:rsid w:val="003A511E"/>
    <w:rsid w:val="003A7ACA"/>
    <w:rsid w:val="003A7E6E"/>
    <w:rsid w:val="003B162F"/>
    <w:rsid w:val="003B338E"/>
    <w:rsid w:val="003B3731"/>
    <w:rsid w:val="003C0928"/>
    <w:rsid w:val="003C1B7E"/>
    <w:rsid w:val="003C5A7D"/>
    <w:rsid w:val="003C712F"/>
    <w:rsid w:val="003D3B85"/>
    <w:rsid w:val="003D6588"/>
    <w:rsid w:val="003F6D9F"/>
    <w:rsid w:val="004067E2"/>
    <w:rsid w:val="0041152F"/>
    <w:rsid w:val="00416D46"/>
    <w:rsid w:val="004265AC"/>
    <w:rsid w:val="004319CA"/>
    <w:rsid w:val="004434D0"/>
    <w:rsid w:val="00454A47"/>
    <w:rsid w:val="004741F9"/>
    <w:rsid w:val="00477395"/>
    <w:rsid w:val="004776CA"/>
    <w:rsid w:val="00477E17"/>
    <w:rsid w:val="00480144"/>
    <w:rsid w:val="00480149"/>
    <w:rsid w:val="004B0110"/>
    <w:rsid w:val="004B7BDA"/>
    <w:rsid w:val="004D1968"/>
    <w:rsid w:val="004D74A6"/>
    <w:rsid w:val="004E12CC"/>
    <w:rsid w:val="004E4BBA"/>
    <w:rsid w:val="004F7E1C"/>
    <w:rsid w:val="00501101"/>
    <w:rsid w:val="00502E43"/>
    <w:rsid w:val="00504479"/>
    <w:rsid w:val="00505E22"/>
    <w:rsid w:val="0052090D"/>
    <w:rsid w:val="00520CD7"/>
    <w:rsid w:val="005241EC"/>
    <w:rsid w:val="00527C0D"/>
    <w:rsid w:val="00534F7F"/>
    <w:rsid w:val="00554686"/>
    <w:rsid w:val="005606BA"/>
    <w:rsid w:val="005620E6"/>
    <w:rsid w:val="00564EF1"/>
    <w:rsid w:val="00572F2D"/>
    <w:rsid w:val="005849C0"/>
    <w:rsid w:val="00590A80"/>
    <w:rsid w:val="00590CC4"/>
    <w:rsid w:val="005A7619"/>
    <w:rsid w:val="005B14C4"/>
    <w:rsid w:val="005B2EDD"/>
    <w:rsid w:val="005B311A"/>
    <w:rsid w:val="005C32BD"/>
    <w:rsid w:val="005C6559"/>
    <w:rsid w:val="005D262F"/>
    <w:rsid w:val="005E2AF7"/>
    <w:rsid w:val="005E3C1A"/>
    <w:rsid w:val="005E5669"/>
    <w:rsid w:val="005F20B9"/>
    <w:rsid w:val="005F22E3"/>
    <w:rsid w:val="005F6C27"/>
    <w:rsid w:val="005F7B95"/>
    <w:rsid w:val="00611EF9"/>
    <w:rsid w:val="006131A3"/>
    <w:rsid w:val="00626E96"/>
    <w:rsid w:val="00635713"/>
    <w:rsid w:val="006418DA"/>
    <w:rsid w:val="00652428"/>
    <w:rsid w:val="00655104"/>
    <w:rsid w:val="00657452"/>
    <w:rsid w:val="00670C74"/>
    <w:rsid w:val="00675C57"/>
    <w:rsid w:val="00677FDD"/>
    <w:rsid w:val="006814E5"/>
    <w:rsid w:val="00685614"/>
    <w:rsid w:val="00687779"/>
    <w:rsid w:val="00692A27"/>
    <w:rsid w:val="0069330C"/>
    <w:rsid w:val="00693832"/>
    <w:rsid w:val="006A1887"/>
    <w:rsid w:val="006A4035"/>
    <w:rsid w:val="006A4C93"/>
    <w:rsid w:val="006A6245"/>
    <w:rsid w:val="006B48F8"/>
    <w:rsid w:val="006C4D4D"/>
    <w:rsid w:val="006C68B3"/>
    <w:rsid w:val="006C6D5C"/>
    <w:rsid w:val="006E589B"/>
    <w:rsid w:val="006F0720"/>
    <w:rsid w:val="006F3CE4"/>
    <w:rsid w:val="006F49B3"/>
    <w:rsid w:val="00700BC2"/>
    <w:rsid w:val="007011A3"/>
    <w:rsid w:val="00702418"/>
    <w:rsid w:val="0072693A"/>
    <w:rsid w:val="00734521"/>
    <w:rsid w:val="00740A30"/>
    <w:rsid w:val="00740D96"/>
    <w:rsid w:val="00743479"/>
    <w:rsid w:val="00743767"/>
    <w:rsid w:val="00746054"/>
    <w:rsid w:val="00746B5E"/>
    <w:rsid w:val="00754597"/>
    <w:rsid w:val="007561DB"/>
    <w:rsid w:val="007571B2"/>
    <w:rsid w:val="0076083C"/>
    <w:rsid w:val="00763BEA"/>
    <w:rsid w:val="007968D0"/>
    <w:rsid w:val="007A3966"/>
    <w:rsid w:val="007B0166"/>
    <w:rsid w:val="007B10E9"/>
    <w:rsid w:val="007B3576"/>
    <w:rsid w:val="007B4C81"/>
    <w:rsid w:val="007C17E9"/>
    <w:rsid w:val="007C1AD0"/>
    <w:rsid w:val="007C706C"/>
    <w:rsid w:val="007D261C"/>
    <w:rsid w:val="007E1CB7"/>
    <w:rsid w:val="007E28B3"/>
    <w:rsid w:val="007E2CF3"/>
    <w:rsid w:val="007E40EB"/>
    <w:rsid w:val="007E4961"/>
    <w:rsid w:val="007E702D"/>
    <w:rsid w:val="007F02A9"/>
    <w:rsid w:val="007F25BB"/>
    <w:rsid w:val="00802412"/>
    <w:rsid w:val="008104F8"/>
    <w:rsid w:val="008118A6"/>
    <w:rsid w:val="008120B4"/>
    <w:rsid w:val="00812E1B"/>
    <w:rsid w:val="008156EC"/>
    <w:rsid w:val="0081699C"/>
    <w:rsid w:val="008174D1"/>
    <w:rsid w:val="008411C8"/>
    <w:rsid w:val="0085009B"/>
    <w:rsid w:val="008512B0"/>
    <w:rsid w:val="00855E61"/>
    <w:rsid w:val="00867462"/>
    <w:rsid w:val="0087273C"/>
    <w:rsid w:val="00884058"/>
    <w:rsid w:val="008915EE"/>
    <w:rsid w:val="00892C22"/>
    <w:rsid w:val="00892FBA"/>
    <w:rsid w:val="008B48DF"/>
    <w:rsid w:val="008C426D"/>
    <w:rsid w:val="008D4AB7"/>
    <w:rsid w:val="008D75E0"/>
    <w:rsid w:val="008D7694"/>
    <w:rsid w:val="008E001E"/>
    <w:rsid w:val="008E31F6"/>
    <w:rsid w:val="008E7D48"/>
    <w:rsid w:val="008F0839"/>
    <w:rsid w:val="008F7988"/>
    <w:rsid w:val="00902CE3"/>
    <w:rsid w:val="00911B40"/>
    <w:rsid w:val="00914081"/>
    <w:rsid w:val="0091439A"/>
    <w:rsid w:val="00932CB0"/>
    <w:rsid w:val="00956DBE"/>
    <w:rsid w:val="00956E72"/>
    <w:rsid w:val="009647CE"/>
    <w:rsid w:val="009679DA"/>
    <w:rsid w:val="0097074D"/>
    <w:rsid w:val="0097265F"/>
    <w:rsid w:val="00991209"/>
    <w:rsid w:val="009A3743"/>
    <w:rsid w:val="009A3DE8"/>
    <w:rsid w:val="009A48CC"/>
    <w:rsid w:val="009B1919"/>
    <w:rsid w:val="009B2182"/>
    <w:rsid w:val="009B2667"/>
    <w:rsid w:val="009C3DBF"/>
    <w:rsid w:val="009E30F0"/>
    <w:rsid w:val="009E4F28"/>
    <w:rsid w:val="009E7E79"/>
    <w:rsid w:val="009F0334"/>
    <w:rsid w:val="009F0EC6"/>
    <w:rsid w:val="009F208E"/>
    <w:rsid w:val="009F6014"/>
    <w:rsid w:val="00A03968"/>
    <w:rsid w:val="00A07711"/>
    <w:rsid w:val="00A113F8"/>
    <w:rsid w:val="00A11432"/>
    <w:rsid w:val="00A22EA0"/>
    <w:rsid w:val="00A249AB"/>
    <w:rsid w:val="00A274C0"/>
    <w:rsid w:val="00A40D93"/>
    <w:rsid w:val="00A422AE"/>
    <w:rsid w:val="00A435EA"/>
    <w:rsid w:val="00A44428"/>
    <w:rsid w:val="00A44835"/>
    <w:rsid w:val="00A456A0"/>
    <w:rsid w:val="00A479F8"/>
    <w:rsid w:val="00A51A31"/>
    <w:rsid w:val="00A64112"/>
    <w:rsid w:val="00A86897"/>
    <w:rsid w:val="00A86BC0"/>
    <w:rsid w:val="00A95A20"/>
    <w:rsid w:val="00AA3E49"/>
    <w:rsid w:val="00AA6C60"/>
    <w:rsid w:val="00AB2D0A"/>
    <w:rsid w:val="00AC19D9"/>
    <w:rsid w:val="00AC65D6"/>
    <w:rsid w:val="00AC6EDE"/>
    <w:rsid w:val="00AD4826"/>
    <w:rsid w:val="00AE284D"/>
    <w:rsid w:val="00AF089F"/>
    <w:rsid w:val="00B04C41"/>
    <w:rsid w:val="00B12335"/>
    <w:rsid w:val="00B15952"/>
    <w:rsid w:val="00B17716"/>
    <w:rsid w:val="00B36604"/>
    <w:rsid w:val="00B44652"/>
    <w:rsid w:val="00B4743A"/>
    <w:rsid w:val="00B57334"/>
    <w:rsid w:val="00B62478"/>
    <w:rsid w:val="00B62769"/>
    <w:rsid w:val="00B64F6C"/>
    <w:rsid w:val="00B65EF5"/>
    <w:rsid w:val="00B66038"/>
    <w:rsid w:val="00B71A13"/>
    <w:rsid w:val="00B73957"/>
    <w:rsid w:val="00B75EDB"/>
    <w:rsid w:val="00B76975"/>
    <w:rsid w:val="00B836F6"/>
    <w:rsid w:val="00B86F02"/>
    <w:rsid w:val="00B9050D"/>
    <w:rsid w:val="00BA58D9"/>
    <w:rsid w:val="00BB246B"/>
    <w:rsid w:val="00BB3A4E"/>
    <w:rsid w:val="00BC06B9"/>
    <w:rsid w:val="00BC1623"/>
    <w:rsid w:val="00BC3149"/>
    <w:rsid w:val="00BC5209"/>
    <w:rsid w:val="00BE1B30"/>
    <w:rsid w:val="00BE3718"/>
    <w:rsid w:val="00BE455D"/>
    <w:rsid w:val="00BE4B37"/>
    <w:rsid w:val="00BF5637"/>
    <w:rsid w:val="00C04247"/>
    <w:rsid w:val="00C10F49"/>
    <w:rsid w:val="00C157F3"/>
    <w:rsid w:val="00C26E36"/>
    <w:rsid w:val="00C3102B"/>
    <w:rsid w:val="00C318F5"/>
    <w:rsid w:val="00C35861"/>
    <w:rsid w:val="00C35E67"/>
    <w:rsid w:val="00C431EE"/>
    <w:rsid w:val="00C4328D"/>
    <w:rsid w:val="00C477AE"/>
    <w:rsid w:val="00C50995"/>
    <w:rsid w:val="00C55462"/>
    <w:rsid w:val="00C62DFB"/>
    <w:rsid w:val="00C6722D"/>
    <w:rsid w:val="00C70224"/>
    <w:rsid w:val="00C70684"/>
    <w:rsid w:val="00C706C9"/>
    <w:rsid w:val="00C7180D"/>
    <w:rsid w:val="00C72F7A"/>
    <w:rsid w:val="00C73BB6"/>
    <w:rsid w:val="00C760C6"/>
    <w:rsid w:val="00C877AA"/>
    <w:rsid w:val="00C87C0B"/>
    <w:rsid w:val="00C90220"/>
    <w:rsid w:val="00C95A7E"/>
    <w:rsid w:val="00CB09F1"/>
    <w:rsid w:val="00CB6E64"/>
    <w:rsid w:val="00CC323D"/>
    <w:rsid w:val="00CE4B80"/>
    <w:rsid w:val="00D10D93"/>
    <w:rsid w:val="00D245BC"/>
    <w:rsid w:val="00D27C96"/>
    <w:rsid w:val="00D33950"/>
    <w:rsid w:val="00D4124F"/>
    <w:rsid w:val="00D44879"/>
    <w:rsid w:val="00D54753"/>
    <w:rsid w:val="00D63F2E"/>
    <w:rsid w:val="00D6504E"/>
    <w:rsid w:val="00D65EA4"/>
    <w:rsid w:val="00D712A5"/>
    <w:rsid w:val="00D761E8"/>
    <w:rsid w:val="00D841F3"/>
    <w:rsid w:val="00D864D6"/>
    <w:rsid w:val="00D93A74"/>
    <w:rsid w:val="00D9685B"/>
    <w:rsid w:val="00DA081A"/>
    <w:rsid w:val="00DA083D"/>
    <w:rsid w:val="00DA5BE0"/>
    <w:rsid w:val="00DB1D16"/>
    <w:rsid w:val="00DC392B"/>
    <w:rsid w:val="00DD54E8"/>
    <w:rsid w:val="00DF6855"/>
    <w:rsid w:val="00E06372"/>
    <w:rsid w:val="00E25B82"/>
    <w:rsid w:val="00E26A55"/>
    <w:rsid w:val="00E301A6"/>
    <w:rsid w:val="00E32FCE"/>
    <w:rsid w:val="00E33F3B"/>
    <w:rsid w:val="00E3500C"/>
    <w:rsid w:val="00E416D5"/>
    <w:rsid w:val="00E41729"/>
    <w:rsid w:val="00E41D88"/>
    <w:rsid w:val="00E50C90"/>
    <w:rsid w:val="00E55636"/>
    <w:rsid w:val="00E6122C"/>
    <w:rsid w:val="00E62372"/>
    <w:rsid w:val="00E64CA1"/>
    <w:rsid w:val="00E6536B"/>
    <w:rsid w:val="00E66BAC"/>
    <w:rsid w:val="00E6760C"/>
    <w:rsid w:val="00E77AC8"/>
    <w:rsid w:val="00E81146"/>
    <w:rsid w:val="00E843E2"/>
    <w:rsid w:val="00E875C0"/>
    <w:rsid w:val="00E87FE2"/>
    <w:rsid w:val="00EA298C"/>
    <w:rsid w:val="00EA6619"/>
    <w:rsid w:val="00EB1122"/>
    <w:rsid w:val="00EB4242"/>
    <w:rsid w:val="00EB78F2"/>
    <w:rsid w:val="00EC48B2"/>
    <w:rsid w:val="00EC7E3B"/>
    <w:rsid w:val="00ED4040"/>
    <w:rsid w:val="00ED4BA9"/>
    <w:rsid w:val="00ED6B6A"/>
    <w:rsid w:val="00ED7684"/>
    <w:rsid w:val="00EE16D0"/>
    <w:rsid w:val="00EF0696"/>
    <w:rsid w:val="00EF17E5"/>
    <w:rsid w:val="00EF3A5E"/>
    <w:rsid w:val="00F00E74"/>
    <w:rsid w:val="00F036C9"/>
    <w:rsid w:val="00F11394"/>
    <w:rsid w:val="00F11602"/>
    <w:rsid w:val="00F1648B"/>
    <w:rsid w:val="00F244EC"/>
    <w:rsid w:val="00F276F9"/>
    <w:rsid w:val="00F30159"/>
    <w:rsid w:val="00F33373"/>
    <w:rsid w:val="00F35692"/>
    <w:rsid w:val="00F378BE"/>
    <w:rsid w:val="00F4336A"/>
    <w:rsid w:val="00F46B06"/>
    <w:rsid w:val="00F562B8"/>
    <w:rsid w:val="00F706BB"/>
    <w:rsid w:val="00F7130A"/>
    <w:rsid w:val="00F7149B"/>
    <w:rsid w:val="00F747A4"/>
    <w:rsid w:val="00F81038"/>
    <w:rsid w:val="00F8490A"/>
    <w:rsid w:val="00FA1ABB"/>
    <w:rsid w:val="00FB0C6F"/>
    <w:rsid w:val="00FB4817"/>
    <w:rsid w:val="00FC7936"/>
    <w:rsid w:val="00FD56E7"/>
    <w:rsid w:val="00FD6C43"/>
    <w:rsid w:val="00FD7432"/>
    <w:rsid w:val="00FE1234"/>
    <w:rsid w:val="00FE4D8F"/>
    <w:rsid w:val="00FE712B"/>
    <w:rsid w:val="00FE7AAC"/>
    <w:rsid w:val="00FF28B7"/>
    <w:rsid w:val="00FF573B"/>
    <w:rsid w:val="00FF6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FD6C43"/>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s>
</file>

<file path=word/webSettings.xml><?xml version="1.0" encoding="utf-8"?>
<w:webSettings xmlns:r="http://schemas.openxmlformats.org/officeDocument/2006/relationships" xmlns:w="http://schemas.openxmlformats.org/wordprocessingml/2006/main">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17461428">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4.xml><?xml version="1.0" encoding="utf-8"?>
<ds:datastoreItem xmlns:ds="http://schemas.openxmlformats.org/officeDocument/2006/customXml" ds:itemID="{6E4EFBFC-5ACC-453D-A1C9-1A02B2FE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43</TotalTime>
  <Pages>4</Pages>
  <Words>775</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5144</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6</cp:revision>
  <cp:lastPrinted>2004-07-04T17:47:00Z</cp:lastPrinted>
  <dcterms:created xsi:type="dcterms:W3CDTF">2014-11-18T00:01:00Z</dcterms:created>
  <dcterms:modified xsi:type="dcterms:W3CDTF">2014-11-20T20:46:00Z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