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Plan de Verificación y Despliegue PC → Jetson Orin Nano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Pipeline NAS multi-objetivo con cuantización (NSGA-II) sobre MVTec-AD</w:t>
      </w:r>
    </w:p>
    <w:p>
      <w:pPr>
        <w:spacing w:after="240"/>
        <w:jc w:val="center"/>
      </w:pPr>
      <w:r>
        <w:rPr>
          <w:color w:val="888888"/>
          <w:sz w:val="20"/>
          <w:szCs w:val="20"/>
        </w:rPr>
        <w:t xml:space="preserve">Verificación de consistencia · Correcciones aplicadas · Validación en PC · Despliegue embebido · Decisiones Q1 — 11 de junio de 2026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rPr>
          <w:b/>
          <w:bCs/>
        </w:rPr>
        <w:t xml:space="preserve">Respuesta directa a tu pregunta: </w:t>
      </w:r>
      <w:r>
        <w:t xml:space="preserve">sí, puedes validar todo el pipeline en el PC primero (RTX 3050, Windows) y después pasar a la Jetson Orin Nano. La RTX 3050 es Ampere (SM 8.6), igual que la GPU de la Orin Nano (SM 8.7), y soporta TensorRT con FP16 e INT8, de modo que cada etapa que falta (main_deploy, main_tracking, main_report) puede ejecutarse y depurarse completa en PC.</w:t>
      </w:r>
    </w:p>
    <w:p>
      <w:pPr>
        <w:spacing w:after="120"/>
      </w:pPr>
      <w:r>
        <w:t xml:space="preserve">La única restricción es de validez de las mediciones, no de funcionalidad: la latencia, la energía y la RAM medidas en PC </w:t>
      </w:r>
      <w:r>
        <w:rPr>
          <w:b/>
          <w:bCs/>
        </w:rPr>
        <w:t xml:space="preserve">no son publicables como métricas embebidas</w:t>
      </w:r>
      <w:r>
        <w:t xml:space="preserve">; sirven para verificar que el código funciona y que los rankings son razonables. En la Jetson se repite exactamente el mismo flujo y esas son las cifras del artículo. Además, los motores TensorRT (.engine) no son portables entre dispositivos: el ONNX se genera una vez y los motores se compilan en cada máquina.</w:t>
      </w:r>
    </w:p>
    <w:p>
      <w:pPr>
        <w:spacing w:after="120"/>
      </w:pPr>
      <w:r>
        <w:t xml:space="preserve">Durante el análisis encontré 11 hallazgos de consistencia. Dos son críticos y afectan directamente la publicabilidad de los resultados ya obtenidos: (H1) los seis scripts main buscaban la carpeta “configs/” (inexistente) en lugar de “config/” — ya corregido, por lo que todas tus ejecuciones usaron los valores por defecto internos y los YAML nunca se cargaron; y (H2) la energía se registró como 9999.0 (valor de penalización) en toda la búsqueda, de modo que el cuarto objetivo estuvo degenerado y la optimización fue, en la práctica, de 3 objetivos. Ambos tienen corrección concreta en la Sección 3 y un plan de re-ejecución en la Sección 7.</w:t>
      </w:r>
    </w:p>
    <w:p>
      <w:pPr>
        <w:spacing w:after="120"/>
      </w:pPr>
    </w:p>
    <w:p>
      <w:pPr>
        <w:pStyle w:val="Heading1"/>
      </w:pPr>
      <w:r>
        <w:t xml:space="preserve">2. Estado actual del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60"/>
        <w:gridCol w:w="48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 en el repositorio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main_prepare.py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Completada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data/splits/ (15 categorías + _cross_category), dataset_summary.json, system_info.json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main_search.py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Completada (con hallazgos)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 generaciones × 32 individuos, pareto_front.csv, best_candidates.json; history.csv vacío; energy_mj = 9999 en todos los individuos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main_retrain.py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Completada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checkpoints (rank000–rank004), AUROC test 0.900–0.914 (bottle), model_ranked.csv, final_metrics.csv; 8 809 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 main_deploy.py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 (se valida primero en PC, Sección 5)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 main_tracking.py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 (mock/video en PC; cámara real en Jetson)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 main_report.py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 (ejecutable en cualquier momento; ignora etapas faltantes)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Plataforma actual: Windows, Intel 6C/12T, RTX 3050 8 GB (SM 8.6), CUDA 12.4, Python 3.13.7. Objetivo de despliegue: Jetson Orin Nano Developer Kit 8 GB.</w:t>
      </w:r>
    </w:p>
    <w:p>
      <w:pPr>
        <w:spacing w:after="120"/>
      </w:pPr>
    </w:p>
    <w:p>
      <w:pPr>
        <w:pStyle w:val="Heading1"/>
      </w:pPr>
      <w:r>
        <w:t xml:space="preserve">3. Verificación de consistencia</w:t>
      </w:r>
    </w:p>
    <w:p>
      <w:pPr>
        <w:pStyle w:val="Heading2"/>
      </w:pPr>
      <w:r>
        <w:t xml:space="preserve">3.1 Cadena de entradas/salidas entre etapas (verificada en el código)</w:t>
      </w:r>
    </w:p>
    <w:p>
      <w:pPr>
        <w:spacing w:after="120"/>
      </w:pPr>
      <w:r>
        <w:t xml:space="preserve">Revisé los contratos de E/S de los seis scripts main y los módulos src/ correspondientes. La cadena es correcta y cada salida es la entrada de la etapa siguiente: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Entradas (verificadas)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Salidas (verificadas)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main_prepare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mvtec_anomaly_detection.tar.xz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data/splits/&lt;cat&gt;.json, data/processed/, results/dataset_*.json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main_search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data/splits/&lt;cat&gt;.json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results/search/: best_candidates.json, pareto_front.csv, population_gen_*.csv, final_population.npz, history.csv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main_retrain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best_candidates.json + splits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checkpoints/final_models/rank*.pt, results/retrain/: model_ranked.csv, final_metrics.csv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main_deploy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model_ranked.csv + rank*.pt + splits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deployment/models/*.onnx|*.engine, results/deploy/: runtime_metrics.csv, final_embedded_rank.csv, deploy_summary.json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main_tracking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final_embedded_rank.csv + *.engine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results/tracking/: tracking_summary.json, CSVs por escenario, video anotado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main_report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results/{search,retrain,deploy,tracking}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results/report/: figuras PNG, latex_tables.tex, final_summary.pdf, report_summary.json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main_tracking selecciona el motor leyendo final_embedded_rank.csv (columna engine_path), por lo que no depende del valor desactualizado de tracking.yaml. main_report lee cada etapa de forma tolerante (skip si falta el CSV). La cadena lógica es consistente.</w:t>
      </w:r>
    </w:p>
    <w:p>
      <w:pPr>
        <w:pStyle w:val="Heading2"/>
      </w:pPr>
      <w:r>
        <w:t xml:space="preserve">3.2 Hallazgos y correcciones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40"/>
        <w:gridCol w:w="4300"/>
        <w:gridCol w:w="3560"/>
      </w:tblGrid>
      <w:tr>
        <w:trPr>
          <w:tblHeader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Corrección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H1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Crítica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Los 6 main buscaban PROJECT_ROOT/configs/*.yaml; la carpeta real es config/. Como el código hacía fallback silencioso a los defaults del dataclass, NINGÚN YAML se cargó nunca (evidencia: población 32 vs 40 del YAML; retrain_config.json muestra puros defaults). Además, los YAML antiguos tenían esquema anidado que no coincide con los dataclasses planos: aunque se cargaran, las claves caerían en “extra” y se ignorarían.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APLICADO ✔ Los 6 main apuntan ahora a config/ y emiten WARNING si el YAML no existe. YAMLs planos regenerados y validados clave a clave contra los dataclasses (search, retrain, tracking nuevos; deploy y report ya eran compatibles). Los antiguos quedaron en config/legacy/.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H2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Crítica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energy_mj = 9999.0 (penalti de FitnessConfig) en los 640 individuos: el medidor de energía cayó en backend noop porque NVML no estaba disponible. El 4.º objetivo fue constante → la búsqueda fue efectivamente de 3 objetivos y el punto de referencia del hipervolumen (20 mJ) queda violado.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APLICADO ✔ main_search ahora sondea el backend de energía al arrancar y ABORTA si es 'noop' (anulable con --allow-noop-energy); fitness.py registra un ERROR la primera vez que la energía cae en penalti. Pendiente en tu PC: pip install nvidia-ml-py (paso A1/A2). En Jetson se usa tegrastats.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H3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peak_ram_mb ≈ 1 730–1 885 MB: es el RSS de todo el proceso Python en PC, casi constante entre candidatos → objetivo poco informativo y fuera del punto de referencia HV (1 024 MB).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APLICADO ✔ fitness.py ahora usa la memoria atribuible al modelo: max(device_peak_mb del asignador CUDA, crecimiento de RSS del host), con el valor absoluto solo como último recurso. Recalibrar el punto de referencia HV en la re-búsqueda.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H4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results/search/history.csv tiene 0 bytes: el HistoryWriter abría el archivo en modo 'w' (truncado) en el constructor; una sesión reanudada con 0 generaciones restantes lo vació sin escribir nada.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APLICADO ✔ HistoryWriter con apertura perezosa en modo append: solo abre al primer write y nunca trunca. La historia perdida es reconstruible desde population_gen_001..020.csv (32 filas c/u).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H5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main_deploy usaba un input_shape global (224) para todos los candidatos, pero rank000 declara input_size=256 en su genoma; y main_retrain entrenaba al input_size del genoma pero evaluaba val/test al default 224 (extra_metrics.image_size=224).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APLICADO ✔ main_deploy deriva el input_shape por candidato desde arch_spec.input_size (batch/canales siguen viniendo de config). main_retrain ahora pasa image_size=input_size del genoma a validate y compute_test_metrics — entrenamiento y evaluación quedan a la misma resolución.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H6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config/retrain.yaml no existía (main_retrain lo espera); retrain corrió 100% con defaults.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APLICADO ✔ config/retrain.yaml creado (esquema plano, valores = defaults actuales documentados).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H7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search.yaml describía un espacio (resnet18/34, efficientnet, mobilenet + decoder unet/fpn) distinto al implementado en src/nas/search_space.py (familias autoencoder, unet, feature_recon, patch_cnn, student_teacher + genes por etapa). El YAML era decorativo y engañoso.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APLICADO ✔ search.yaml regenerado plano y fiel a SearchConfig; el antiguo está en config/legacy/. Documentar en el paper el espacio efectivo (familia, depth, channels, kernel, block_type, attention, bits W/A por capa, symmetric, per_channel).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H8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Baja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tracking.yaml apuntaba a models/trt_engines/model_int8.engine; la salida real de deploy es deployment/models/*.engine. Funcionaba porque main_tracking lee final_embedded_rank.csv, pero el default confundía.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APLICADO ✔ config/tracking.yaml regenerado plano y coherente con TrackingConfig (selección de motor vía final_embedded_rank.csv por defecto).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H9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Baja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device.yaml declara JetPack 5.1.2 e input 256; hoy lo vigente para Orin Nano es JetPack 6.2.2 (estable) o 7.x, y el pipeline usa 224.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Actualizar device.yaml tras flashear y fijar la versión real (paso B1). Documentar versiones exactas en el paper (D8).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H10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Baja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val_auroc = NaN en retrain: el split de validación solo tiene imágenes normales (AUROC indefinido); la selección de checkpoint operó por val_loss.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Comportamiento esperado en MVTec-AD; documentarlo explícitamente en el protocolo experimental.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H11</w:t>
            </w:r>
          </w:p>
        </w:tc>
        <w:tc>
          <w:tcPr>
            <w:tcW w:type="dxa" w:w="9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Metodológica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cuantización de la búsqueda es simulada (fake-quant mixta 4/6/8 bits por capa), pero el despliegue real TensorRT es FP16/INT8 global. Existe una brecha de fidelidad búsqueda↔despliegue que un revisor Q1 va a señalar.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Medir y reportar la brecha: AUROC fake-quant vs AUROC on-device INT8 (deploy ya define auroc_drop_threshold = 0.02). Presentar la cuantización mixta como fidelidad de búsqueda y TRT-INT8 como fidelidad de despliegue (D5).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Conclusión de consistencia: </w:t>
      </w:r>
      <w:r>
        <w:t xml:space="preserve">la arquitectura del pipeline es sólida (contratos coherentes, encadenamiento correcto, fallbacks bien diseñados, cámara mock para pruebas sin hardware). Los problemas están en la configuración nunca cargada (H1) y en dos de los cuatro objetivos degenerados durante la búsqueda (H2, H3). Los AUROC obtenidos (0.90–0.914) son válidos; lo que debe repetirse con medición corregida es la parte multi-objetivo.</w:t>
      </w:r>
    </w:p>
    <w:p>
      <w:r>
        <w:br w:type="page"/>
      </w:r>
    </w:p>
    <w:p>
      <w:pPr>
        <w:pStyle w:val="Heading1"/>
      </w:pPr>
      <w:r>
        <w:t xml:space="preserve">4. Estrategia de validación: qué vale en PC y qué exige Jetson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160"/>
        <w:gridCol w:w="2900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PC (RTX 3050)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Jetson Orin Nano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Funcionamiento de cada script (deploy, tracking, report)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Válido — es el lugar correcto para depurar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confirmación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AUROC / AUPRC on-device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Válido (la precisión no depende del hardware, sí de la precisión numérica del motor)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Válido (debe coincidir ±ruido con PC en la misma precisión)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Exportación ONNX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Válida y portable — generar aquí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Reutilizar los .onnx del PC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Motores TensorRT (.engine)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para validar el flujo; NO portables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Recompilar en el dispositivo (obligatorio)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Latencia (ms), energía (mJ/inf), RAM pico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humo/sanidad; no publicable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Métrica del artículo (tegrastats + clocks fijados)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Ranking embebido final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Aproximado (sirve para detectar errores)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Definitivo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Estabilidad térmica, cold-start, modos de potencia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aplica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Exclusivo de Jetson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Tracking con cámara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Mock / archivo de video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Cámara CSI/USB real (objetivo específico 3)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Justificación metodológica (para el paper): </w:t>
      </w:r>
      <w:r>
        <w:t xml:space="preserve">este esquema de dos plataformas no es un atajo, es el diseño correcto: el PC actúa como plataforma de desarrollo/búsqueda y la Jetson como plataforma de medición. Así lo exigen tus objetivos específicos 1 (marco reproducible con métricas en escenarios de despliegue representativos) y 3 (validación en plataforma robótica embebida). En el artículo se declara explícitamente qué métrica se midió en qué plataforma.</w:t>
      </w:r>
    </w:p>
    <w:p>
      <w:pPr>
        <w:spacing w:after="120"/>
      </w:pPr>
    </w:p>
    <w:p>
      <w:pPr>
        <w:pStyle w:val="Heading1"/>
      </w:pPr>
      <w:r>
        <w:t xml:space="preserve">5. Fase A — Validación completa en PC (paso a paso)</w:t>
      </w:r>
    </w:p>
    <w:p>
      <w:pPr>
        <w:pStyle w:val="Heading2"/>
      </w:pPr>
      <w:r>
        <w:t xml:space="preserve">A0. Correcciones de código — YA APLICADAS (solo verificar)</w:t>
      </w:r>
    </w:p>
    <w:p>
      <w:pPr>
        <w:spacing w:after="120"/>
      </w:pPr>
      <w:r>
        <w:t xml:space="preserve">Las correcciones de los hallazgos H1–H8 ya están aplicadas directamente en los scripts y configs del proyecto: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6 main_*.py apuntan a config/ y avisan con WARNING si el YAML no existe (H1).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config/search.yaml, retrain.yaml y tracking.yaml regenerados con esquema plano validado contra los dataclasses; deploy.yaml y report.yaml ya eran compatibles; los obsoletos están en config/legacy/ con un README (H1, H6, H7, H8).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main_search aborta si el backend de energía es 'noop' (flag --allow-noop-energy para anular) y fitness.py marca la medición como fallida en vez de silenciarla (H2).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fitness.py mide RAM atribuible al modelo (pico CUDA / delta RSS) en lugar del RSS absoluto (H3).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HistoryWriter con apertura perezosa en append: history.csv ya no puede quedar en 0 bytes (H4).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Resolución por candidato de extremo a extremo: retrain evalúa val/test al input_size del genoma y deploy exporta/mide a esa misma resolución (H5).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Limpieza de runs antiguos: cada main borra los artefactos de su etapa al iniciar un run fresco, con el flag --keep-old para conservarlos. Reglas: search no limpia si resume_from está activo; retrain solo limpia con --no-skip-existing (si reutilizas checkpoints, se conservan); deploy siempre limpia sus CSV/JSON de métricas y solo borra .onnx/.engine si skip_existing_engine está desactivado; prepare solo borra los manifiestos de splits junto con --force.</w:t>
      </w:r>
    </w:p>
    <w:p>
      <w:pPr>
        <w:spacing w:after="120"/>
      </w:pPr>
      <w:r>
        <w:t xml:space="preserve">Paso A0.1 — Verificación (5 min): lanza una corrida corta y confirma en el log que (a) los valores efectivos provienen del YAML (p. ej., cambia population_size a 8 en config/search.yaml y verifica que el log dice 8) y (b) aparece la línea de cleanup o su motivo de omisión: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python main_search.py --n-generations 1 --population-size 8</w:t>
      </w:r>
    </w:p>
    <w:p>
      <w:pPr>
        <w:spacing w:after="100"/>
      </w:pPr>
    </w:p>
    <w:p>
      <w:pPr>
        <w:pStyle w:val="Heading2"/>
      </w:pPr>
      <w:r>
        <w:t xml:space="preserve">A1. Entorno de PC (1 sesión)</w:t>
      </w:r>
    </w:p>
    <w:p>
      <w:pPr>
        <w:spacing w:after="120"/>
      </w:pPr>
      <w:r>
        <w:t xml:space="preserve">Crea/actualiza el entorno e instala las dependencias de despliegue. TensorRT se instala por pip en Windows y soporta Python 3.13 (wheels cp38–cp313); usa la variante CUDA 12 para alinear con tu torch cu124: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pip install nvidia-ml-py            # corrige H2 (energia NVML en PC)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pip install onnx onnxruntime-gpu onnxsim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pip install tensorrt-cu12           # TensorRT 10.x para CUDA 12, Windows x64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python -c "import tensorrt as trt; print(trt.__version__)"</w:t>
      </w:r>
    </w:p>
    <w:p>
      <w:pPr>
        <w:spacing w:after="100"/>
      </w:pPr>
    </w:p>
    <w:p>
      <w:pPr>
        <w:spacing w:after="120"/>
      </w:pPr>
      <w:r>
        <w:t xml:space="preserve">Paso A1.2 — Congela el entorno (insumo de reproducibilidad para el paper, D8):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pip freeze &gt; requirements_pc.txt</w:t>
      </w:r>
    </w:p>
    <w:p>
      <w:pPr>
        <w:spacing w:after="100"/>
      </w:pPr>
    </w:p>
    <w:p>
      <w:pPr>
        <w:pStyle w:val="Heading2"/>
      </w:pPr>
      <w:r>
        <w:t xml:space="preserve">A2. Smoke test de los medidores (10 min) — verifica H2 resuelto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python -c "import torch; from src.profiling.energy_meter import measure_energy;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m=torch.nn.Conv2d(3,16,3).cuda(); x=torch.randn(1,3,224,224).cuda();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r=measure_energy(lambda: m(x), n_iters=200, device='cuda'); print(r)"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Criterio de aceptación: </w:t>
      </w:r>
      <w:r>
        <w:t xml:space="preserve">el dict devuelto debe traer source=“nvml” (no “noop”) y energy_mj con un valor plausible (&gt;0 y &lt;1000). Si sale noop, NVML no está inicializando: revisa la instalación de nvidia-ml-py y el driver.</w:t>
      </w:r>
    </w:p>
    <w:p>
      <w:pPr>
        <w:pStyle w:val="Heading2"/>
      </w:pPr>
      <w:r>
        <w:t xml:space="preserve">A3. Validación del evaluador de fitness (15 min)</w:t>
      </w:r>
    </w:p>
    <w:p>
      <w:pPr>
        <w:spacing w:after="120"/>
      </w:pPr>
      <w:r>
        <w:t xml:space="preserve">Ya tienes scratch_eval.py para esto. Ejecútalo y verifica que NINGÚN objetivo regrese su valor de penalización: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python scratch_eval.py</w:t>
      </w:r>
    </w:p>
    <w:p>
      <w:pPr>
        <w:spacing w:after="100"/>
      </w:pPr>
    </w:p>
    <w:p>
      <w:pPr>
        <w:spacing w:after="120"/>
      </w:pPr>
      <w:r>
        <w:rPr>
          <w:b/>
          <w:bCs/>
        </w:rPr>
        <w:t xml:space="preserve">Criterio de aceptación: </w:t>
      </w:r>
      <w:r>
        <w:t xml:space="preserve">auroc en (0,1), latency_ms &lt; 100, energy_mj ≠ 9999, y peak_ram_mb con variación entre candidatos si repites con otras semillas. Esto deja listo el terreno para la re-búsqueda de la Sección 7.</w:t>
      </w:r>
    </w:p>
    <w:p>
      <w:pPr>
        <w:pStyle w:val="Heading2"/>
      </w:pPr>
      <w:r>
        <w:t xml:space="preserve">A4. main_deploy en PC (1–2 h de cómputo)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python main_deploy.py --config config/deploy.yaml --category bottle ^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--max-candidates 5 --precisions fp16,int8 ^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--input-shape 1,3,224,224 --n-warmup 50 --n-iters 500 --device cuda</w:t>
      </w:r>
    </w:p>
    <w:p>
      <w:pPr>
        <w:spacing w:after="100"/>
      </w:pPr>
    </w:p>
    <w:p>
      <w:pPr>
        <w:spacing w:after="120"/>
      </w:pPr>
      <w:r>
        <w:t xml:space="preserve">Qué hace: lee model_ranked.csv, reconstruye cada arquitectura, carga el checkpoint, exporta ONNX, compila motor TensorRT por precisión, ejecuta benchmark (latencia p50/p95/p99, throughput, RAM, energía NVML) y calcula AUROC on-device sobre el split de test.</w:t>
      </w:r>
    </w:p>
    <w:p>
      <w:pPr>
        <w:spacing w:after="120"/>
      </w:pPr>
      <w:r>
        <w:t xml:space="preserve">Verificaciones al terminar: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deployment/models/ contiene 5 .onnx y hasta 10 .engine (5 candidatos × {fp16, int8}).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results/deploy/runtime_metrics.csv: una fila por (candidato, precisión) con status=ok.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results/deploy/final_embedded_rank.csv y deploy_summary.json existen.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Validación numérica clave: </w:t>
      </w:r>
      <w:r>
        <w:t xml:space="preserve">on_device_auroc(fp16) ≈ test_auroc de retrain (Δ &lt; 0.01) y on_device_auroc(int8) con caída ≤ 0.02 (umbral ya configurado). Si int8 cae más, registra el caso: es exactamente la evidencia de sensibilidad a cuantización que pide tu objetivo específico 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columna de energía debe venir de NVML (en PC) — nunca 9999.</w:t>
      </w:r>
    </w:p>
    <w:p>
      <w:pPr>
        <w:pStyle w:val="Heading2"/>
      </w:pPr>
      <w:r>
        <w:t xml:space="preserve">A5. main_tracking en PC, sin cámara (30–60 min)</w:t>
      </w:r>
    </w:p>
    <w:p>
      <w:pPr>
        <w:spacing w:after="120"/>
      </w:pPr>
      <w:r>
        <w:t xml:space="preserve">Primero con cámara simulada (patrón en movimiento) y luego, si tienes videos de prueba, con archivo: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python main_tracking.py --source mock --max-frames 300 ^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--scenarios nominal,occlusion,low_light --device cuda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python main_tracking.py --source video_file --video-dir data\videos ^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--max-frames 600 --scenarios nominal</w:t>
      </w:r>
    </w:p>
    <w:p>
      <w:pPr>
        <w:spacing w:after="100"/>
      </w:pPr>
    </w:p>
    <w:p>
      <w:pPr>
        <w:spacing w:after="120"/>
      </w:pPr>
      <w:r>
        <w:t xml:space="preserve">Verificaciones: results/tracking/tracking_summary.json + CSVs por escenario; el motor usado debe ser el nº 1 de final_embedded_rank.csv; FPS efectivo y latencia E2E registrados por frame; el video anotado (si record_video) muestra heatmap, cajas y estado del tracker.</w:t>
      </w:r>
    </w:p>
    <w:p>
      <w:pPr>
        <w:pStyle w:val="Heading2"/>
      </w:pPr>
      <w:r>
        <w:t xml:space="preserve">A6. main_report en PC (10 min)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python main_report.py --config config/report.yaml</w:t>
      </w:r>
    </w:p>
    <w:p>
      <w:pPr>
        <w:spacing w:after="100"/>
      </w:pPr>
    </w:p>
    <w:p>
      <w:pPr>
        <w:spacing w:after="120"/>
      </w:pPr>
      <w:r>
        <w:t xml:space="preserve">Verifica results/report/: pareto_front.png, convergence.png, boxplots.png, latex_tables.tex y final_summary.pdf. Revisa que las tablas LaTeX compilen (son las del paper). Nota: convergence.png saldrá pobre mientras history.csv siga vacío (H4) — se completa tras la re-búsqueda.</w:t>
      </w:r>
    </w:p>
    <w:p>
      <w:pPr>
        <w:pStyle w:val="Heading2"/>
      </w:pPr>
      <w:r>
        <w:t xml:space="preserve">A7. Criterios de salida de la Fase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546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Pasa si…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Configs cargando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log imprime los valores del YAML editado, no defaults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Energía real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source=nvml en A2, A3 y en runtime_metrics.csv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Deploy completo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10/10 artefactos con status=ok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Fidelidad numérica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Δ AUROC (retrain vs on-device fp16) &lt; 0.01; int8 ≤ 0.02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Tracking funcional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escenarios completados con mock, sin excepciones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Report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 y .tex generados y legibles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Fase B — Despliegue en Jetson Orin Nano (paso a paso)</w:t>
      </w:r>
    </w:p>
    <w:p>
      <w:pPr>
        <w:pStyle w:val="Heading2"/>
      </w:pPr>
      <w:r>
        <w:t xml:space="preserve">B1. Preparación del dispositivo (1 día)</w:t>
      </w:r>
    </w:p>
    <w:p>
      <w:pPr>
        <w:spacing w:after="120"/>
      </w:pPr>
      <w:r>
        <w:rPr>
          <w:b/>
          <w:bCs/>
        </w:rPr>
        <w:t xml:space="preserve">Decisión de versión: </w:t>
      </w:r>
      <w:r>
        <w:t xml:space="preserve">flashea JetPack 6.2.2 (L4T R36.4.x, TensorRT 10.3, soporta el modo MAXN SUPER de 25 W del Orin Nano). Es la rama estable y la más citada en literatura reciente; JetPack 7.2 ya soporta Orin Nano pero es muy nuevo para anclar un artículo. Lo importante para Q1 es fijar UNA versión y reportarla; tu device.yaml decía 5.1.2 y debe actualizarse (H9).</w:t>
      </w:r>
    </w:p>
    <w:p>
      <w:pPr>
        <w:spacing w:after="120"/>
      </w:pPr>
      <w:r>
        <w:t xml:space="preserve">Pasos: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Flashear con SDK Manager (Ubuntu host) o imagen SD oficial; instalar en NVMe si está disponible.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Verificar: cat /etc/nv_tegra_release y dpkg -l | grep -i tensorrt.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Fijar rendimiento reproducible (protocolo de medición del paper):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sudo nvpmodel -q                 # listar modos disponibles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sudo nvpmodel -m 0               # MAXN (o MAXN SUPER 25W en JP&gt;=6.2)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sudo jetson_clocks               # bloquear relojes al maximo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sudo systemctl disable nvzramconfig &amp;&amp; sudo fallocate -l 8G /swapfile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sudo chmod 600 /swapfile &amp;&amp; sudo mkswap /swapfile &amp;&amp; sudo swapon /swapfile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 sensores de energía: ejecutar tegrastats y verificar que aparecen los rieles VDD_IN / VDD_CPU_GPU_CV — son la fuente del backend “tegrastats” de tu energy_meter.</w:t>
      </w:r>
    </w:p>
    <w:p>
      <w:pPr>
        <w:pStyle w:val="Heading2"/>
      </w:pPr>
      <w:r>
        <w:t xml:space="preserve">B2. Transferencia de artefactos (no copiar .engine)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Copiar a la Jetson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 copiar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Código completo del proyecto (src/, main_*.py, config/ corregida)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Motores .engine compilados en PC (no portables entre GPUs/versiones TRT)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deployment/models/*.onnx (generados en A4 — portables)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Entorno virtual del PC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checkpoints/final_models/*.pt (respaldo para re-export si hiciera falta)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results/ de PC (mantener separados; el paper usa los de Jetson)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data/splits/*.json + imágenes de test de la(s) categoría(s) evaluada(s)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Dataset completo si el almacenamiento es limitado</w:t>
            </w:r>
          </w:p>
        </w:tc>
      </w:tr>
    </w:tbl>
    <w:p>
      <w:pPr>
        <w:spacing w:after="120"/>
      </w:pP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rsync -avz --exclude 'results' --exclude '.venv' --exclude '*.engine' ^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/ruta/proyecto/  jetson@&lt;IP&gt;:/home/jetson/proyecto/</w:t>
      </w:r>
    </w:p>
    <w:p>
      <w:pPr>
        <w:spacing w:after="100"/>
      </w:pPr>
    </w:p>
    <w:p>
      <w:pPr>
        <w:pStyle w:val="Heading2"/>
      </w:pPr>
      <w:r>
        <w:t xml:space="preserve">B3. Entorno en la Jetson (medio día)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TensorRT y sus bindings Python ya vienen con JetPack (no instalar por pip).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PyTorch: instalar el wheel oficial de NVIDIA para JetPack 6.x (pypi de NVIDIA jp6/cu126) — es necesario porque main_deploy importa torch para reconstruir modelos y mover tensores.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Resto: pip install numpy pyyaml onnx pillow scikit-learn psutil opencv-python (o usar el OpenCV de JetPack).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Congelar el entorno: pip freeze &gt; requirements_jetson.txt (tabla de entorno del paper, D8).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Smoke test del medidor embebido: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python3 -c "from src.profiling.energy_meter import measure_energy;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import torch; m=torch.nn.Conv2d(3,16,3).cuda(); x=torch.randn(1,3,224,224).cuda();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print(measure_energy(lambda: m(x), n_iters=100, device='cuda'))"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# Criterio: source = 'tegrastats' (o 'sysfs'), nunca 'noop'</w:t>
      </w:r>
    </w:p>
    <w:p>
      <w:pPr>
        <w:spacing w:after="100"/>
      </w:pPr>
    </w:p>
    <w:p>
      <w:pPr>
        <w:pStyle w:val="Heading2"/>
      </w:pPr>
      <w:r>
        <w:t xml:space="preserve">B4. main_deploy en la Jetson — la medición del artículo</w:t>
      </w:r>
    </w:p>
    <w:p>
      <w:pPr>
        <w:spacing w:after="120"/>
      </w:pPr>
      <w:r>
        <w:t xml:space="preserve">Los .onnx copiados se reutilizan; los motores se compilan localmente (los .engine no existen en la Jetson, así que el flag skip_existing solo saltará la re-exportación ONNX). Ejecuta una corrida por modo de potencia, separando resultados: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sudo nvpmodel -m 0 &amp;&amp; sudo jetson_clocks     # 15W MAXN (o 25W SUPER)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python3 main_deploy.py --config config/deploy.yaml --category bottle ^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--precisions fp16,int8 --n-warmup 50 --n-iters 500 ^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--results-dir results/deploy_maxn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sudo nvpmodel -m 1 &amp;&amp; sudo jetson_clocks     # modo 7W/10W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python3 main_deploy.py --config config/deploy.yaml --category bottle ^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--precisions fp16,int8 --n-warmup 50 --n-iters 500 ^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--results-dir results/deploy_low_power</w:t>
      </w:r>
    </w:p>
    <w:p>
      <w:pPr>
        <w:spacing w:after="100"/>
      </w:pPr>
    </w:p>
    <w:p>
      <w:pPr>
        <w:spacing w:after="120"/>
      </w:pPr>
      <w:r>
        <w:t xml:space="preserve">Verificaciones: energía con source tegrastats; AUROC on-device idéntico (±0.005) al medido en PC para la misma precisión — si difiere más, hay un problema de calibración INT8 y debe regenerarse la caché de calibración en el dispositivo; latencias p95 estables (sin deriva térmica durante los 500 iters).</w:t>
      </w:r>
    </w:p>
    <w:p>
      <w:pPr>
        <w:pStyle w:val="Heading2"/>
      </w:pPr>
      <w:r>
        <w:t xml:space="preserve">B5. Estabilidad operacional (objetivos 1 y 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Prueba sostenida: 10 000+ inferencias (~10 min) con el mejor motor INT8 monitoreando en paralelo tegrastats --interval 500 &gt; tegra_log.txt; verificar latencia p95 sin tendencia creciente y temperatura &lt; 85 °C.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Cold-start: 5 recargas del motor midiendo tiempo de carga + primera inferencia (ya implementado en runtime_benchmark.measure_cold_start).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Repetir la corrida completa 3 veces (3 arranques distintos) y reportar desviación entre corridas — esta es la evidencia de “estabilidad operacional” de tu objetivo específico 1.</w:t>
      </w:r>
    </w:p>
    <w:p>
      <w:pPr>
        <w:pStyle w:val="Heading2"/>
      </w:pPr>
      <w:r>
        <w:t xml:space="preserve">B6. main_tracking con cámara real (objetivo específico 3)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# Camara CSI (o --source usb para webcam USB)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python3 main_tracking.py --config config/tracking.yaml --source csi ^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--scenarios nominal,occlusion,low_light,motion_blur --max-frames 1800</w:t>
      </w:r>
    </w:p>
    <w:p>
      <w:pPr>
        <w:spacing w:after="100"/>
      </w:pPr>
    </w:p>
    <w:p>
      <w:pPr>
        <w:spacing w:after="120"/>
      </w:pPr>
      <w:r>
        <w:t xml:space="preserve">Verificaciones: FPS ≥ objetivo del lazo (30 o el presupuesto que definas), latencia E2E por frame, métricas del tracker (persistencia, ID switches, re-adquisición) por escenario, y comportamiento del lazo PID con el publisher mock o serial. Graba los videos anotados: son material suplementario excelente para el artículo.</w:t>
      </w:r>
    </w:p>
    <w:p>
      <w:pPr>
        <w:pStyle w:val="Heading2"/>
      </w:pPr>
      <w:r>
        <w:t xml:space="preserve">B7. Reporte consolidado final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python3 main_report.py --config config/report.yaml</w:t>
      </w:r>
    </w:p>
    <w:p>
      <w:pPr>
        <w:spacing w:after="100"/>
      </w:pPr>
    </w:p>
    <w:p>
      <w:pPr>
        <w:spacing w:after="120"/>
      </w:pPr>
      <w:r>
        <w:t xml:space="preserve">Con search + retrain + deploy (Jetson) + tracking completos, este reporte contiene las tablas y figuras candidatas del paper.</w:t>
      </w:r>
    </w:p>
    <w:p>
      <w:pPr>
        <w:pStyle w:val="Heading2"/>
      </w:pPr>
      <w:r>
        <w:t xml:space="preserve">B8. Criterios de salida de la Fase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5460"/>
      </w:tblGrid>
      <w:tr>
        <w:trPr>
          <w:tblHeader/>
        </w:trP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Pasa si…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Energía embebida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source=tegrastats en todas las filas de runtime_metrics.csv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Paridad numérica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AUROC Jetson ≈ AUROC PC (misma precisión, Δ ≤ 0.005)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Presupuestos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Mejor INT8: latencia y RAM dentro de los budgets que declares (p. ej. &lt;20 ms, &lt;512 MB)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Estabilidad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corridas independientes con CV de latencia p95 &lt; 5 %; sin throttling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Tracking real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Sesión con cámara completada en todos los escenarios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Trazabilidad</w:t>
            </w:r>
          </w:p>
        </w:tc>
        <w:tc>
          <w:tcPr>
            <w:tcW w:type="dxa" w:w="5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requirements_jetson.txt + versiones JetPack/TRT/torch registradas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Decisiones que tomo orientadas a revista Q1</w:t>
      </w:r>
    </w:p>
    <w:p>
      <w:pPr>
        <w:spacing w:after="120"/>
      </w:pPr>
      <w:r>
        <w:t xml:space="preserve">Estas son las decisiones metodológicas que adopto en este plan y su justificación. Las tres primeras condicionan la publicabilidad; las demás elevan la calidad de la evidencia.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100"/>
        <w:gridCol w:w="4700"/>
      </w:tblGrid>
      <w:tr>
        <w:trPr>
          <w:tblHeader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Justificación frente a revisores Q1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Re-ejecutar main_search tras corregir H1–H4 (energía NVML real, RAM incremental, history persistente, configs cargando), manteniendo los AUROC de retrain actuales como estudio piloto.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 energía constante=9999 la afirmación de “optimización de 4 objetivos” es indefendible. La corrida actual queda como piloto/depuración; la corrida del paper debe tener los 4 objetivos vivos y el hipervolumen bien definido.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D2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Escalar a ≥5 categorías de MVTec-AD (mín. 3 objetos + 2 texturas; ideal las 15) y ≥3 semillas por configuración, reportando media ± desviación y test de Wilcoxon.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Una sola categoría (bottle) y una semilla es la objeción nº 1 esperable. MVTec-AD se reporta estándar como promedio sobre las 15 categorías; multi-semilla sustenta el análisis de robustez del objetivo específico 2.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Ablation central: búsqueda conjunta (arquitectura+cuantización) vs secuencial (NAS primero, cuantizar después) con el mismo presupuesto de evaluaciones.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claim diferenciador de tu tesis es la optimización conjunta. Sin la comparación secuencial no hay evidencia de que “conjunta &gt; secuencial”.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D4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Baselines externos en la MISMA Jetson: PatchCore, EfficientAD y FastFlow (vía anomalib) exportados a INT8/FP16.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Sitúa el frente de Pareto frente al estado del arte en detección de anomalías eficiente; sin baselines, el paper solo se compara consigo mismo.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D5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Cuantificar la brecha simulado↔real: AUROC con fake-quant (búsqueda) vs AUROC TRT-INT8 on-device, por candidato.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Convierte la debilidad H11 en contribución: análisis de sensibilidad al error de cuantización entre fidelidades, alineado con el objetivo específico 2.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D6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Reconstruir convergencia e hipervolumen desde population_gen_*.csv con punto de referencia recalibrado, y reportar criterios de parada (plateau HV, estabilidad Jaccard del frente).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análisis de convergencia es requisito explícito de tu objetivo 2 y estándar en papers de optimización evolutiva multi-objetivo.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D7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Barrido de modos de potencia en Jetson (7W / 15W / 25W SUPER) por cada solución del frente.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Pocos trabajos NAS reportan el frente bajo distintos presupuestos energéticos del mismo SoC; es un diferenciador barato de obtener con tu pipeline.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D8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Protocolo de reproducibilidad: fijar y publicar versiones (JetPack, TensorRT, torch, CUDA), semillas, nvpmodel+jetson_clocks, n_warmup/n_iters, y los requirements de ambas plataformas; liberar código y splits.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Materializa el objetivo específico 1 (marco experimental reproducible) y es criterio creciente de aceptación en venues Q1.</w:t>
            </w:r>
          </w:p>
        </w:tc>
      </w:tr>
      <w:t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D9</w:t>
            </w:r>
          </w:p>
        </w:tc>
        <w:tc>
          <w:tcPr>
            <w:tcW w:type="dxa" w:w="4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Revistas objetivo sugeridas (en orden de ajuste temático): IEEE Trans. on Industrial Informatics, IEEE Internet of Things Journal, Engineering Applications of AI, Expert Systems with Applications, Journal of Real-Time Image Processing.</w:t>
            </w:r>
          </w:p>
        </w:tc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Todas Q1 (JCR/SJR) con tradición en NAS eficiente, edge AI e inspección industrial; el ajuste tema-revista reduce el riesgo de desk-reject.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Orden recomendado de aquí en adelante: </w:t>
      </w:r>
      <w:r>
        <w:t xml:space="preserve">(1) Fase A completa en PC esta semana — incluye correcciones H1–H4; (2) re-búsqueda corregida en PC sobre bottle para validar los 4 objetivos vivos (D1); (3) Fase B en Jetson con los candidatos actuales para tener el flujo embebido cerrado de extremo a extremo; (4) escalar a multi-categoría/multi-semilla (D2) y baselines (D4) — esta es la campaña experimental del artículo; (5) tracking final en Jetson y redacción.</w:t>
      </w:r>
    </w:p>
    <w:p>
      <w:pPr>
        <w:spacing w:after="120"/>
      </w:pPr>
    </w:p>
    <w:p>
      <w:pPr>
        <w:pStyle w:val="Heading1"/>
      </w:pPr>
      <w:r>
        <w:t xml:space="preserve">8. Mapeo a los objetivos doctorales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Objetivo específico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 que produce este plan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Marco experimental reproducible para QNN embebidas (funcional, latencia, energía, memoria, costo, estabilidad)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Fases A y B con protocolo fijado (D8): mismas métricas en dos plataformas, medidores con fuente declarada (nvml/tegrastats), criterios de aceptación A7/B8, estabilidad B5, requirements y versiones congeladas.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Esquema jerárquico de optimización multi-objetivo (arquitectura + representación numérica + cuantización) con análisis de convergencia, robustez y sensibilidad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Re-búsqueda D1 con 4 objetivos vivos, convergencia/hipervolumen D6, multi-semilla D2, ablation conjunta-vs-secuencial D3 y sensibilidad al error de cuantización D5.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Integración y validación en tarea de seguimiento visual sobre plataforma robótica embebida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Fase B6: main_tracking con cámara real en Jetson, escenarios dinámicos (oclusión, baja luz, motion blur), métricas de tracking + latencia + energía + estabilidad, lazo de control PID.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Documento generado a partir del análisis estático del código (6 scripts main, 27 módulos src/), de los artefactos de resultados existentes y de la verificación de versiones vigentes de TensorRT y JetPack (junio de 2026).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5F" w:sz="4" w:space="1"/>
      </w:pBdr>
    </w:pPr>
    <w:r>
      <w:rPr>
        <w:color w:val="777777"/>
        <w:sz w:val="16"/>
        <w:szCs w:val="16"/>
      </w:rPr>
      <w:t xml:space="preserve">Proyecto MVTec-AD · QNAS multi-objetivo · Plan PC → Jetson Orin Nano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 w:before="0"/>
    </w:pPr>
    <w:rPr>
      <w:rFonts w:ascii="Arial" w:cs="Arial" w:eastAsia="Arial" w:hAnsi="Arial"/>
      <w:b/>
      <w:bCs/>
      <w:color w:val="1F4E5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E7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2026-06-11T18:57:38.214Z</dcterms:created>
  <dcterms:modified xsi:type="dcterms:W3CDTF">2026-06-11T18:57:38.227Z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