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23"/>
        <w:gridCol w:w="1856"/>
        <w:gridCol w:w="1856"/>
        <w:gridCol w:w="1856"/>
      </w:tblGrid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2" w:space="0" w:color="000000"/>
              <w:top w:val="single" w:sz="24" w:space="0" w:color="FF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20"/>
                <w:szCs w:val="20"/>
                <w:color w:val="000000"/>
              </w:rPr>
              <w:t xml:space="preserve">Table 1. Baseline characteristics of 686 patients enrolled in the German Breast Cancer Study Group between 1984 and 1989. Patients were randomized to hormone treatment or placebo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2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Treated</w:t>
            </w:r>
          </w:p>
        </w:tc>
      </w:tr>
      <w:tr>
        <w:trPr>
          <w:cantSplit/>
          <w:trHeight w:val="558" w:hRule="auto"/>
        </w:trPr>
        <w:tc>
          <w:tcPr>
            <w:tcBorders>
              <w:bottom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686</w:t>
            </w:r>
          </w:p>
        </w:tc>
        <w:tc>
          <w:tcPr>
            <w:tcBorders>
              <w:bottom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440</w:t>
            </w:r>
          </w:p>
        </w:tc>
        <w:tc>
          <w:tcPr>
            <w:tcBorders>
              <w:bottom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246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Age, years (mean (SD))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53.1 (10.1)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51.1 (10.0)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56.6 (9.4)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Postmenopausal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396 (57.7)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209 (47.5)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187 (76.0)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Tumor size, mm (mean (SD)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29.3 (14.3)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29.6 (14.4)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28.8 (14.1)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Tumor grade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   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81 (11.8)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48 (10.9)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33 (13.4)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   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444 (64.7)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281 (63.9)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163 (66.3)</w:t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   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161 (23.5)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111 (25.2)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50 (20.3)</w:t>
            </w:r>
          </w:p>
        </w:tc>
      </w:tr>
      <w:tr>
        <w:trPr>
          <w:cantSplit/>
          <w:trHeight w:val="599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Positive lymph nodes, (n)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5.0 (5.5)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4.9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5.1 (5.3)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Progesterone receptors, fmol/L (median [IQR])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32.5 [7.0, 131.8]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32.0 [7.0, 130.0]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35.0 [7.2, 133.0]</w:t>
            </w:r>
          </w:p>
        </w:tc>
      </w:tr>
      <w:tr>
        <w:trPr>
          <w:cantSplit/>
          <w:trHeight w:val="602" w:hRule="auto"/>
        </w:trPr>
        <w:tc>
          <w:tcPr>
            <w:tcBorders>
              <w:bottom w:val="single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Estrogen receptors, fmol/L (median [IQR])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36.0 [8.0, 114.0]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32.0 [8.0, 92.2]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46.0 [9.0, 182.5]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20"/>
                <w:szCs w:val="20"/>
                <w:color w:val="000000"/>
              </w:rPr>
              <w:t xml:space="preserve">Numbers are No. (%) unless otherwise noted. SD = standard deviation, fmol/L = femtomole per liter, IQR = interquartile range</w:t>
            </w:r>
          </w:p>
        </w:tc>
      </w:tr>
    </w:tbl>
    <w:sectPr xmlns:w="http://schemas.openxmlformats.org/wordprocessingml/2006/main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micper</cp:lastModifiedBy>
  <cp:revision>9</cp:revision>
  <dcterms:created xsi:type="dcterms:W3CDTF">2017-02-28T11:18:00Z</dcterms:created>
  <dcterms:modified xsi:type="dcterms:W3CDTF">2021-11-23T09:42:53Z</dcterms:modified>
  <cp:category/>
</cp:coreProperties>
</file>