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Calibration,</w:t>
      </w:r>
      <w:r>
        <w:t xml:space="preserve"> </w:t>
      </w:r>
      <w:r>
        <w:t xml:space="preserve">Uncertainty</w:t>
      </w:r>
      <w:r>
        <w:t xml:space="preserve"> </w:t>
      </w:r>
      <w:r>
        <w:t xml:space="preserve">Communication,</w:t>
      </w:r>
      <w:r>
        <w:t xml:space="preserve"> </w:t>
      </w:r>
      <w:r>
        <w:t xml:space="preserve">and</w:t>
      </w:r>
      <w:r>
        <w:t xml:space="preserve"> </w:t>
      </w:r>
      <w:r>
        <w:t xml:space="preserve">Deployment</w:t>
      </w:r>
      <w:r>
        <w:t xml:space="preserve"> </w:t>
      </w:r>
      <w:r>
        <w:t xml:space="preserve">Readiness</w:t>
      </w:r>
      <w:r>
        <w:br/>
      </w:r>
      <w:r>
        <w:t xml:space="preserve">in</w:t>
      </w:r>
      <w:r>
        <w:t xml:space="preserve"> </w:t>
      </w:r>
      <w:r>
        <w:t xml:space="preserve">CKD</w:t>
      </w:r>
      <w:r>
        <w:t xml:space="preserve"> </w:t>
      </w:r>
      <w:r>
        <w:t xml:space="preserve">Risk</w:t>
      </w:r>
      <w:r>
        <w:t xml:space="preserve"> </w:t>
      </w:r>
      <w:r>
        <w:t xml:space="preserve">Prediction:</w:t>
      </w:r>
      <w:r>
        <w:t xml:space="preserve"> </w:t>
      </w:r>
      <w:r>
        <w:t xml:space="preserve">A</w:t>
      </w:r>
      <w:r>
        <w:t xml:space="preserve"> </w:t>
      </w:r>
      <w:r>
        <w:t xml:space="preserve">Framework</w:t>
      </w:r>
      <w:r>
        <w:t xml:space="preserve"> </w:t>
      </w:r>
      <w:r>
        <w:t xml:space="preserve">Evaluation</w:t>
      </w:r>
      <w:r>
        <w:t xml:space="preserve"> </w:t>
      </w:r>
      <w:r>
        <w:t xml:space="preserve">Study</w:t>
      </w:r>
    </w:p>
    <w:p>
      <w:pPr>
        <w:pStyle w:val="Author"/>
      </w:pPr>
      <w:r>
        <w:t xml:space="preserve">Michael</w:t>
      </w:r>
      <w:r>
        <w:t xml:space="preserve"> </w:t>
      </w:r>
      <w:r>
        <w:t xml:space="preserve">Eniolade</w:t>
      </w:r>
      <w:r>
        <w:br/>
      </w:r>
      <w:r>
        <w:t xml:space="preserve">University</w:t>
      </w:r>
      <w:r>
        <w:t xml:space="preserve"> </w:t>
      </w:r>
      <w:r>
        <w:t xml:space="preserve">of</w:t>
      </w:r>
      <w:r>
        <w:t xml:space="preserve"> </w:t>
      </w:r>
      <w:r>
        <w:t xml:space="preserve">the</w:t>
      </w:r>
      <w:r>
        <w:t xml:space="preserve"> </w:t>
      </w:r>
      <w:r>
        <w:t xml:space="preserve">Cumberlands</w:t>
      </w:r>
    </w:p>
    <w:p>
      <w:pPr>
        <w:pStyle w:val="Abstract"/>
      </w:pPr>
      <w:r>
        <w:rPr>
          <w:bCs/>
          <w:b/>
        </w:rPr>
        <w:t xml:space="preserve">Background.</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chronic</w:t>
      </w:r>
      <w:r>
        <w:t xml:space="preserve"> </w:t>
      </w:r>
      <w:r>
        <w:t xml:space="preserve">kidney</w:t>
      </w:r>
      <w:r>
        <w:t xml:space="preserve"> </w:t>
      </w:r>
      <w:r>
        <w:t xml:space="preserve">disease</w:t>
      </w:r>
      <w:r>
        <w:t xml:space="preserve"> </w:t>
      </w:r>
      <w:r>
        <w:t xml:space="preserve">risk</w:t>
      </w:r>
      <w:r>
        <w:t xml:space="preserve"> </w:t>
      </w:r>
      <w:r>
        <w:t xml:space="preserve">prediction</w:t>
      </w:r>
      <w:r>
        <w:t xml:space="preserve"> </w:t>
      </w:r>
      <w:r>
        <w:t xml:space="preserve">regularly</w:t>
      </w:r>
      <w:r>
        <w:t xml:space="preserve"> </w:t>
      </w:r>
      <w:r>
        <w:t xml:space="preserve">report</w:t>
      </w:r>
      <w:r>
        <w:t xml:space="preserve"> </w:t>
      </w:r>
      <w:r>
        <w:t xml:space="preserve">strong</w:t>
      </w:r>
      <w:r>
        <w:t xml:space="preserve"> </w:t>
      </w:r>
      <w:r>
        <w:t xml:space="preserve">discrimination</w:t>
      </w:r>
      <w:r>
        <w:t xml:space="preserve"> </w:t>
      </w:r>
      <w:r>
        <w:t xml:space="preserve">but</w:t>
      </w:r>
      <w:r>
        <w:t xml:space="preserve"> </w:t>
      </w:r>
      <w:r>
        <w:t xml:space="preserve">seldom</w:t>
      </w:r>
      <w:r>
        <w:t xml:space="preserve"> </w:t>
      </w:r>
      <w:r>
        <w:t xml:space="preserve">undergo</w:t>
      </w:r>
      <w:r>
        <w:t xml:space="preserve"> </w:t>
      </w:r>
      <w:r>
        <w:t xml:space="preserve">calibration</w:t>
      </w:r>
      <w:r>
        <w:t xml:space="preserve"> </w:t>
      </w:r>
      <w:r>
        <w:t xml:space="preserve">assessment</w:t>
      </w:r>
      <w:r>
        <w:t xml:space="preserve"> </w:t>
      </w:r>
      <w:r>
        <w:t xml:space="preserve">or</w:t>
      </w:r>
      <w:r>
        <w:t xml:space="preserve"> </w:t>
      </w:r>
      <w:r>
        <w:t xml:space="preserve">uncertainty</w:t>
      </w:r>
      <w:r>
        <w:t xml:space="preserve"> </w:t>
      </w:r>
      <w:r>
        <w:t xml:space="preserve">quantification</w:t>
      </w:r>
      <w:r>
        <w:t xml:space="preserve"> </w:t>
      </w:r>
      <w:r>
        <w:t xml:space="preserve">before</w:t>
      </w:r>
      <w:r>
        <w:t xml:space="preserve"> </w:t>
      </w:r>
      <w:r>
        <w:t xml:space="preserve">deployment</w:t>
      </w:r>
      <w:r>
        <w:t xml:space="preserve"> </w:t>
      </w:r>
      <w:r>
        <w:t xml:space="preserve">consideration.</w:t>
      </w:r>
      <w:r>
        <w:t xml:space="preserve"> </w:t>
      </w:r>
      <w:r>
        <w:t xml:space="preserve">No</w:t>
      </w:r>
      <w:r>
        <w:t xml:space="preserve"> </w:t>
      </w:r>
      <w:r>
        <w:t xml:space="preserve">published</w:t>
      </w:r>
      <w:r>
        <w:t xml:space="preserve"> </w:t>
      </w:r>
      <w:r>
        <w:t xml:space="preserve">study</w:t>
      </w:r>
      <w:r>
        <w:t xml:space="preserve"> </w:t>
      </w:r>
      <w:r>
        <w:t xml:space="preserve">has</w:t>
      </w:r>
      <w:r>
        <w:t xml:space="preserve"> </w:t>
      </w:r>
      <w:r>
        <w:t xml:space="preserve">jointly</w:t>
      </w:r>
      <w:r>
        <w:t xml:space="preserve"> </w:t>
      </w:r>
      <w:r>
        <w:t xml:space="preserve">evaluated</w:t>
      </w:r>
      <w:r>
        <w:t xml:space="preserve"> </w:t>
      </w:r>
      <w:r>
        <w:t xml:space="preserve">all</w:t>
      </w:r>
      <w:r>
        <w:t xml:space="preserve"> </w:t>
      </w:r>
      <w:r>
        <w:t xml:space="preserve">three</w:t>
      </w:r>
      <w:r>
        <w:t xml:space="preserve"> </w:t>
      </w:r>
      <w:r>
        <w:t xml:space="preserve">dimensions—calibration,</w:t>
      </w:r>
      <w:r>
        <w:t xml:space="preserve"> </w:t>
      </w:r>
      <w:r>
        <w:t xml:space="preserve">uncertainty,</w:t>
      </w:r>
      <w:r>
        <w:t xml:space="preserve"> </w:t>
      </w:r>
      <w:r>
        <w:t xml:space="preserve">and</w:t>
      </w:r>
      <w:r>
        <w:t xml:space="preserve"> </w:t>
      </w:r>
      <w:r>
        <w:t xml:space="preserve">structured</w:t>
      </w:r>
      <w:r>
        <w:t xml:space="preserve"> </w:t>
      </w:r>
      <w:r>
        <w:t xml:space="preserve">deployment</w:t>
      </w:r>
      <w:r>
        <w:t xml:space="preserve"> </w:t>
      </w:r>
      <w:r>
        <w:t xml:space="preserve">readiness—on</w:t>
      </w:r>
      <w:r>
        <w:t xml:space="preserve"> </w:t>
      </w:r>
      <w:r>
        <w:t xml:space="preserve">a</w:t>
      </w:r>
      <w:r>
        <w:t xml:space="preserve"> </w:t>
      </w:r>
      <w:r>
        <w:t xml:space="preserve">common</w:t>
      </w:r>
      <w:r>
        <w:t xml:space="preserve"> </w:t>
      </w:r>
      <w:r>
        <w:t xml:space="preserve">model</w:t>
      </w:r>
      <w:r>
        <w:t xml:space="preserve"> </w:t>
      </w:r>
      <w:r>
        <w:t xml:space="preserve">suite</w:t>
      </w:r>
      <w:r>
        <w:t xml:space="preserve"> </w:t>
      </w:r>
      <w:r>
        <w:t xml:space="preserve">with</w:t>
      </w:r>
      <w:r>
        <w:t xml:space="preserve"> </w:t>
      </w:r>
      <w:r>
        <w:t xml:space="preserve">external</w:t>
      </w:r>
      <w:r>
        <w:t xml:space="preserve"> </w:t>
      </w:r>
      <w:r>
        <w:t xml:space="preserve">clinical</w:t>
      </w:r>
      <w:r>
        <w:t xml:space="preserve"> </w:t>
      </w:r>
      <w:r>
        <w:t xml:space="preserve">validation.</w:t>
      </w:r>
    </w:p>
    <w:p>
      <w:pPr>
        <w:pStyle w:val="Abstract"/>
      </w:pPr>
      <w:r>
        <w:rPr>
          <w:bCs/>
          <w:b/>
        </w:rPr>
        <w:t xml:space="preserve">Objective.</w:t>
      </w:r>
      <w:r>
        <w:t xml:space="preserve"> </w:t>
      </w:r>
      <w:r>
        <w:t xml:space="preserve">To</w:t>
      </w:r>
      <w:r>
        <w:t xml:space="preserve"> </w:t>
      </w:r>
      <w:r>
        <w:t xml:space="preserve">evaluate</w:t>
      </w:r>
      <w:r>
        <w:t xml:space="preserve"> </w:t>
      </w:r>
      <w:r>
        <w:t xml:space="preserve">five</w:t>
      </w:r>
      <w:r>
        <w:t xml:space="preserve"> </w:t>
      </w:r>
      <w:r>
        <w:t xml:space="preserve">classifiers</w:t>
      </w:r>
      <w:r>
        <w:t xml:space="preserve"> </w:t>
      </w:r>
      <w:r>
        <w:t xml:space="preserve">across</w:t>
      </w:r>
      <w:r>
        <w:t xml:space="preserve"> </w:t>
      </w:r>
      <w:r>
        <w:t xml:space="preserve">calibration</w:t>
      </w:r>
      <w:r>
        <w:t xml:space="preserve"> </w:t>
      </w:r>
      <w:r>
        <w:t xml:space="preserve">quality,</w:t>
      </w:r>
      <w:r>
        <w:t xml:space="preserve"> </w:t>
      </w:r>
      <w:r>
        <w:t xml:space="preserve">conformal</w:t>
      </w:r>
      <w:r>
        <w:t xml:space="preserve"> </w:t>
      </w:r>
      <w:r>
        <w:t xml:space="preserve">prediction</w:t>
      </w:r>
      <w:r>
        <w:t xml:space="preserve"> </w:t>
      </w:r>
      <w:r>
        <w:t xml:space="preserve">coverage,</w:t>
      </w:r>
      <w:r>
        <w:t xml:space="preserve"> </w:t>
      </w:r>
      <w:r>
        <w:t xml:space="preserve">and</w:t>
      </w:r>
      <w:r>
        <w:t xml:space="preserve"> </w:t>
      </w:r>
      <w:r>
        <w:t xml:space="preserve">an</w:t>
      </w:r>
      <w:r>
        <w:t xml:space="preserve"> </w:t>
      </w:r>
      <w:r>
        <w:t xml:space="preserve">eight-criterion</w:t>
      </w:r>
      <w:r>
        <w:t xml:space="preserve"> </w:t>
      </w:r>
      <w:r>
        <w:t xml:space="preserve">deployment</w:t>
      </w:r>
      <w:r>
        <w:t xml:space="preserve"> </w:t>
      </w:r>
      <w:r>
        <w:t xml:space="preserve">readiness</w:t>
      </w:r>
      <w:r>
        <w:t xml:space="preserve"> </w:t>
      </w:r>
      <w:r>
        <w:t xml:space="preserve">framework</w:t>
      </w:r>
      <w:r>
        <w:t xml:space="preserve"> </w:t>
      </w:r>
      <w:r>
        <w:t xml:space="preserve">on</w:t>
      </w:r>
      <w:r>
        <w:t xml:space="preserve"> </w:t>
      </w:r>
      <w:r>
        <w:t xml:space="preserve">both</w:t>
      </w:r>
      <w:r>
        <w:t xml:space="preserve"> </w:t>
      </w:r>
      <w:r>
        <w:t xml:space="preserve">internal</w:t>
      </w:r>
      <w:r>
        <w:t xml:space="preserve"> </w:t>
      </w:r>
      <w:r>
        <w:t xml:space="preserve">and</w:t>
      </w:r>
      <w:r>
        <w:t xml:space="preserve"> </w:t>
      </w:r>
      <w:r>
        <w:t xml:space="preserve">external</w:t>
      </w:r>
      <w:r>
        <w:t xml:space="preserve"> </w:t>
      </w:r>
      <w:r>
        <w:t xml:space="preserve">data.</w:t>
      </w:r>
    </w:p>
    <w:p>
      <w:pPr>
        <w:pStyle w:val="Abstract"/>
      </w:pPr>
      <w:r>
        <w:rPr>
          <w:bCs/>
          <w:b/>
        </w:rPr>
        <w:t xml:space="preserve">Methods.</w:t>
      </w:r>
      <w:r>
        <w:t xml:space="preserve"> </w:t>
      </w:r>
      <w:r>
        <w:t xml:space="preserve">Five</w:t>
      </w:r>
      <w:r>
        <w:t xml:space="preserve"> </w:t>
      </w:r>
      <w:r>
        <w:t xml:space="preserve">classifiers</w:t>
      </w:r>
      <w:r>
        <w:t xml:space="preserve"> </w:t>
      </w:r>
      <w:r>
        <w:t xml:space="preserve">(logistic</w:t>
      </w:r>
      <w:r>
        <w:t xml:space="preserve"> </w:t>
      </w:r>
      <w:r>
        <w:t xml:space="preserve">regression,</w:t>
      </w:r>
      <w:r>
        <w:t xml:space="preserve"> </w:t>
      </w:r>
      <w:r>
        <w:t xml:space="preserve">random</w:t>
      </w:r>
      <w:r>
        <w:t xml:space="preserve"> </w:t>
      </w:r>
      <w:r>
        <w:t xml:space="preserve">forest,</w:t>
      </w:r>
      <w:r>
        <w:t xml:space="preserve"> </w:t>
      </w:r>
      <w:r>
        <w:t xml:space="preserve">XGBoost,</w:t>
      </w:r>
      <w:r>
        <w:t xml:space="preserve"> </w:t>
      </w:r>
      <w:r>
        <w:t xml:space="preserve">support</w:t>
      </w:r>
      <w:r>
        <w:t xml:space="preserve"> </w:t>
      </w:r>
      <w:r>
        <w:t xml:space="preserve">vector</w:t>
      </w:r>
      <w:r>
        <w:t xml:space="preserve"> </w:t>
      </w:r>
      <w:r>
        <w:t xml:space="preserve">machine</w:t>
      </w:r>
      <w:r>
        <w:t xml:space="preserve"> </w:t>
      </w:r>
      <w:r>
        <w:t xml:space="preserve">with</w:t>
      </w:r>
      <w:r>
        <w:t xml:space="preserve"> </w:t>
      </w:r>
      <w:r>
        <w:t xml:space="preserve">Platt</w:t>
      </w:r>
      <w:r>
        <w:t xml:space="preserve"> </w:t>
      </w:r>
      <w:r>
        <w:t xml:space="preserve">scaling,</w:t>
      </w:r>
      <w:r>
        <w:t xml:space="preserve"> </w:t>
      </w:r>
      <w:r>
        <w:t xml:space="preserve">Gaussian</w:t>
      </w:r>
      <w:r>
        <w:t xml:space="preserve"> </w:t>
      </w:r>
      <w:r>
        <w:t xml:space="preserve">naive</w:t>
      </w:r>
      <w:r>
        <w:t xml:space="preserve"> </w:t>
      </w:r>
      <w:r>
        <w:t xml:space="preserve">Bayes)</w:t>
      </w:r>
      <w:r>
        <w:t xml:space="preserve"> </w:t>
      </w:r>
      <w:r>
        <w:t xml:space="preserve">were</w:t>
      </w:r>
      <w:r>
        <w:t xml:space="preserve"> </w:t>
      </w:r>
      <w:r>
        <w:t xml:space="preserve">trained</w:t>
      </w:r>
      <w:r>
        <w:t xml:space="preserve"> </w:t>
      </w:r>
      <w:r>
        <w:t xml:space="preserve">on</w:t>
      </w:r>
      <w:r>
        <w:t xml:space="preserve"> </w:t>
      </w:r>
      <w:r>
        <w:t xml:space="preserve">the</w:t>
      </w:r>
      <w:r>
        <w:t xml:space="preserve"> </w:t>
      </w:r>
      <w:r>
        <w:t xml:space="preserve">UCI</w:t>
      </w:r>
      <w:r>
        <w:t xml:space="preserve"> </w:t>
      </w:r>
      <w:r>
        <w:t xml:space="preserve">CKD</w:t>
      </w:r>
      <w:r>
        <w:t xml:space="preserve"> </w:t>
      </w:r>
      <w:r>
        <w:t xml:space="preserve">dataset</w:t>
      </w:r>
      <w:r>
        <w:t xml:space="preserve"> </w:t>
      </w:r>
      <w:r>
        <w:t xml:space="preserve">(400</w:t>
      </w:r>
      <w:r>
        <w:t xml:space="preserve"> </w:t>
      </w:r>
      <w:r>
        <w:t xml:space="preserve">patients,</w:t>
      </w:r>
      <w:r>
        <w:t xml:space="preserve"> </w:t>
      </w:r>
      <w:r>
        <w:t xml:space="preserve">62.5%</w:t>
      </w:r>
      <w:r>
        <w:t xml:space="preserve"> </w:t>
      </w:r>
      <w:r>
        <w:t xml:space="preserve">CKD).</w:t>
      </w:r>
      <w:r>
        <w:t xml:space="preserve"> </w:t>
      </w:r>
      <w:r>
        <w:t xml:space="preserve">External</w:t>
      </w:r>
      <w:r>
        <w:t xml:space="preserve"> </w:t>
      </w:r>
      <w:r>
        <w:t xml:space="preserve">validation</w:t>
      </w:r>
      <w:r>
        <w:t xml:space="preserve"> </w:t>
      </w:r>
      <w:r>
        <w:t xml:space="preserve">used</w:t>
      </w:r>
      <w:r>
        <w:t xml:space="preserve"> </w:t>
      </w:r>
      <w:r>
        <w:t xml:space="preserve">a</w:t>
      </w:r>
      <w:r>
        <w:t xml:space="preserve"> </w:t>
      </w:r>
      <w:r>
        <w:t xml:space="preserve">97-patient</w:t>
      </w:r>
      <w:r>
        <w:t xml:space="preserve"> </w:t>
      </w:r>
      <w:r>
        <w:t xml:space="preserve">MIMIC-IV</w:t>
      </w:r>
      <w:r>
        <w:t xml:space="preserve"> </w:t>
      </w:r>
      <w:r>
        <w:t xml:space="preserve">cohort</w:t>
      </w:r>
      <w:r>
        <w:t xml:space="preserve"> </w:t>
      </w:r>
      <w:r>
        <w:t xml:space="preserve">(23.7%</w:t>
      </w:r>
      <w:r>
        <w:t xml:space="preserve"> </w:t>
      </w:r>
      <w:r>
        <w:t xml:space="preserve">CKD).</w:t>
      </w:r>
      <w:r>
        <w:t xml:space="preserve"> </w:t>
      </w:r>
      <w:r>
        <w:t xml:space="preserve">Calibration</w:t>
      </w:r>
      <w:r>
        <w:t xml:space="preserve"> </w:t>
      </w:r>
      <w:r>
        <w:t xml:space="preserve">was</w:t>
      </w:r>
      <w:r>
        <w:t xml:space="preserve"> </w:t>
      </w:r>
      <w:r>
        <w:t xml:space="preserve">assessed</w:t>
      </w:r>
      <w:r>
        <w:t xml:space="preserve"> </w:t>
      </w:r>
      <w:r>
        <w:t xml:space="preserve">before</w:t>
      </w:r>
      <w:r>
        <w:t xml:space="preserve"> </w:t>
      </w:r>
      <w:r>
        <w:t xml:space="preserve">and</w:t>
      </w:r>
      <w:r>
        <w:t xml:space="preserve"> </w:t>
      </w:r>
      <w:r>
        <w:t xml:space="preserve">after</w:t>
      </w:r>
      <w:r>
        <w:t xml:space="preserve"> </w:t>
      </w:r>
      <w:r>
        <w:t xml:space="preserve">Platt</w:t>
      </w:r>
      <w:r>
        <w:t xml:space="preserve"> </w:t>
      </w:r>
      <w:r>
        <w:t xml:space="preserve">scaling</w:t>
      </w:r>
      <w:r>
        <w:t xml:space="preserve"> </w:t>
      </w:r>
      <w:r>
        <w:t xml:space="preserve">and</w:t>
      </w:r>
      <w:r>
        <w:t xml:space="preserve"> </w:t>
      </w:r>
      <w:r>
        <w:t xml:space="preserve">isotonic</w:t>
      </w:r>
      <w:r>
        <w:t xml:space="preserve"> </w:t>
      </w:r>
      <w:r>
        <w:t xml:space="preserve">regression,</w:t>
      </w:r>
      <w:r>
        <w:t xml:space="preserve"> </w:t>
      </w:r>
      <w:r>
        <w:t xml:space="preserve">quantified</w:t>
      </w:r>
      <w:r>
        <w:t xml:space="preserve"> </w:t>
      </w:r>
      <w:r>
        <w:t xml:space="preserve">by</w:t>
      </w:r>
      <w:r>
        <w:t xml:space="preserve"> </w:t>
      </w:r>
      <w:r>
        <w:t xml:space="preserve">Expected</w:t>
      </w:r>
      <w:r>
        <w:t xml:space="preserve"> </w:t>
      </w:r>
      <w:r>
        <w:t xml:space="preserve">Calibration</w:t>
      </w:r>
      <w:r>
        <w:t xml:space="preserve"> </w:t>
      </w:r>
      <w:r>
        <w:t xml:space="preserve">Error</w:t>
      </w:r>
      <w:r>
        <w:t xml:space="preserve"> </w:t>
      </w:r>
      <w:r>
        <w:t xml:space="preserve">and</w:t>
      </w:r>
      <w:r>
        <w:t xml:space="preserve"> </w:t>
      </w:r>
      <w:r>
        <w:t xml:space="preserve">Brier</w:t>
      </w:r>
      <w:r>
        <w:t xml:space="preserve"> </w:t>
      </w:r>
      <w:r>
        <w:t xml:space="preserve">Score.</w:t>
      </w:r>
      <w:r>
        <w:t xml:space="preserve"> </w:t>
      </w:r>
      <w:r>
        <w:t xml:space="preserve">Predictive</w:t>
      </w:r>
      <w:r>
        <w:t xml:space="preserve"> </w:t>
      </w:r>
      <w:r>
        <w:t xml:space="preserve">uncertainty</w:t>
      </w:r>
      <w:r>
        <w:t xml:space="preserve"> </w:t>
      </w:r>
      <w:r>
        <w:t xml:space="preserve">was</w:t>
      </w:r>
      <w:r>
        <w:t xml:space="preserve"> </w:t>
      </w:r>
      <w:r>
        <w:t xml:space="preserve">measured</w:t>
      </w:r>
      <w:r>
        <w:t xml:space="preserve"> </w:t>
      </w:r>
      <w:r>
        <w:t xml:space="preserve">through</w:t>
      </w:r>
      <w:r>
        <w:t xml:space="preserve"> </w:t>
      </w:r>
      <w:r>
        <w:t xml:space="preserve">split</w:t>
      </w:r>
      <w:r>
        <w:t xml:space="preserve"> </w:t>
      </w:r>
      <w:r>
        <w:t xml:space="preserve">conformal</w:t>
      </w:r>
      <w:r>
        <w:t xml:space="preserve"> </w:t>
      </w:r>
      <w:r>
        <w:t xml:space="preserve">prediction</w:t>
      </w:r>
      <w:r>
        <w:t xml:space="preserve"> </w:t>
      </w:r>
      <w:r>
        <w:t xml:space="preserve">targeting</w:t>
      </w:r>
      <w:r>
        <w:t xml:space="preserve"> </w:t>
      </w:r>
      <w:r>
        <w:t xml:space="preserve">90%</w:t>
      </w:r>
      <w:r>
        <w:t xml:space="preserve"> </w:t>
      </w:r>
      <w:r>
        <w:t xml:space="preserve">marginal</w:t>
      </w:r>
      <w:r>
        <w:t xml:space="preserve"> </w:t>
      </w:r>
      <w:r>
        <w:t xml:space="preserve">coverage.</w:t>
      </w:r>
      <w:r>
        <w:t xml:space="preserve"> </w:t>
      </w:r>
      <w:r>
        <w:t xml:space="preserve">An</w:t>
      </w:r>
      <w:r>
        <w:t xml:space="preserve"> </w:t>
      </w:r>
      <w:r>
        <w:t xml:space="preserve">eight-criterion</w:t>
      </w:r>
      <w:r>
        <w:t xml:space="preserve"> </w:t>
      </w:r>
      <w:r>
        <w:t xml:space="preserve">deployment</w:t>
      </w:r>
      <w:r>
        <w:t xml:space="preserve"> </w:t>
      </w:r>
      <w:r>
        <w:t xml:space="preserve">readiness</w:t>
      </w:r>
      <w:r>
        <w:t xml:space="preserve"> </w:t>
      </w:r>
      <w:r>
        <w:t xml:space="preserve">checklist</w:t>
      </w:r>
      <w:r>
        <w:t xml:space="preserve"> </w:t>
      </w:r>
      <w:r>
        <w:t xml:space="preserve">assessed</w:t>
      </w:r>
      <w:r>
        <w:t xml:space="preserve"> </w:t>
      </w:r>
      <w:r>
        <w:t xml:space="preserve">discrimination,</w:t>
      </w:r>
      <w:r>
        <w:t xml:space="preserve"> </w:t>
      </w:r>
      <w:r>
        <w:t xml:space="preserve">calibration</w:t>
      </w:r>
      <w:r>
        <w:t xml:space="preserve"> </w:t>
      </w:r>
      <w:r>
        <w:t xml:space="preserve">stability,</w:t>
      </w:r>
      <w:r>
        <w:t xml:space="preserve"> </w:t>
      </w:r>
      <w:r>
        <w:t xml:space="preserve">coverage</w:t>
      </w:r>
      <w:r>
        <w:t xml:space="preserve"> </w:t>
      </w:r>
      <w:r>
        <w:t xml:space="preserve">transfer,</w:t>
      </w:r>
      <w:r>
        <w:t xml:space="preserve"> </w:t>
      </w:r>
      <w:r>
        <w:t xml:space="preserve">subgroup</w:t>
      </w:r>
      <w:r>
        <w:t xml:space="preserve"> </w:t>
      </w:r>
      <w:r>
        <w:t xml:space="preserve">equity,</w:t>
      </w:r>
      <w:r>
        <w:t xml:space="preserve"> </w:t>
      </w:r>
      <w:r>
        <w:t xml:space="preserve">and</w:t>
      </w:r>
      <w:r>
        <w:t xml:space="preserve"> </w:t>
      </w:r>
      <w:r>
        <w:t xml:space="preserve">reproducibility.</w:t>
      </w:r>
    </w:p>
    <w:p>
      <w:pPr>
        <w:pStyle w:val="Abstract"/>
      </w:pPr>
      <w:r>
        <w:rPr>
          <w:bCs/>
          <w:b/>
        </w:rPr>
        <w:t xml:space="preserve">Results.</w:t>
      </w:r>
      <w:r>
        <w:t xml:space="preserve"> </w:t>
      </w:r>
      <w:r>
        <w:t xml:space="preserve">All</w:t>
      </w:r>
      <w:r>
        <w:t xml:space="preserve"> </w:t>
      </w:r>
      <w:r>
        <w:t xml:space="preserve">five</w:t>
      </w:r>
      <w:r>
        <w:t xml:space="preserve"> </w:t>
      </w:r>
      <w:r>
        <w:t xml:space="preserve">models</w:t>
      </w:r>
      <w:r>
        <w:t xml:space="preserve"> </w:t>
      </w:r>
      <w:r>
        <w:t xml:space="preserve">achieved</w:t>
      </w:r>
      <w:r>
        <w:t xml:space="preserve"> </w:t>
      </w:r>
      <w:r>
        <w:t xml:space="preserve">AUROC</w:t>
      </w:r>
      <w:r>
        <w:t xml:space="preserve"> </w:t>
      </w:r>
      <w:r>
        <w:t xml:space="preserve">1.00</w:t>
      </w:r>
      <w:r>
        <w:t xml:space="preserve"> </w:t>
      </w:r>
      <w:r>
        <w:t xml:space="preserve">on</w:t>
      </w:r>
      <w:r>
        <w:t xml:space="preserve"> </w:t>
      </w:r>
      <w:r>
        <w:t xml:space="preserve">the</w:t>
      </w:r>
      <w:r>
        <w:t xml:space="preserve"> </w:t>
      </w:r>
      <w:r>
        <w:t xml:space="preserve">UCI</w:t>
      </w:r>
      <w:r>
        <w:t xml:space="preserve"> </w:t>
      </w:r>
      <w:r>
        <w:t xml:space="preserve">test</w:t>
      </w:r>
      <w:r>
        <w:t xml:space="preserve"> </w:t>
      </w:r>
      <w:r>
        <w:t xml:space="preserve">set.</w:t>
      </w:r>
      <w:r>
        <w:t xml:space="preserve"> </w:t>
      </w:r>
      <w:r>
        <w:t xml:space="preserve">Post-isotonic</w:t>
      </w:r>
      <w:r>
        <w:t xml:space="preserve"> </w:t>
      </w:r>
      <w:r>
        <w:t xml:space="preserve">ECE</w:t>
      </w:r>
      <w:r>
        <w:t xml:space="preserve"> </w:t>
      </w:r>
      <w:r>
        <w:t xml:space="preserve">fell</w:t>
      </w:r>
      <w:r>
        <w:t xml:space="preserve"> </w:t>
      </w:r>
      <w:r>
        <w:t xml:space="preserve">to</w:t>
      </w:r>
      <w:r>
        <w:t xml:space="preserve"> </w:t>
      </w:r>
      <w:r>
        <w:t xml:space="preserve">0.000–0.022</w:t>
      </w:r>
      <w:r>
        <w:t xml:space="preserve"> </w:t>
      </w:r>
      <w:r>
        <w:t xml:space="preserve">internally.</w:t>
      </w:r>
      <w:r>
        <w:t xml:space="preserve"> </w:t>
      </w:r>
      <w:r>
        <w:t xml:space="preserve">On</w:t>
      </w:r>
      <w:r>
        <w:t xml:space="preserve"> </w:t>
      </w:r>
      <w:r>
        <w:t xml:space="preserve">MIMIC-IV,</w:t>
      </w:r>
      <w:r>
        <w:t xml:space="preserve"> </w:t>
      </w:r>
      <w:r>
        <w:t xml:space="preserve">AUROC</w:t>
      </w:r>
      <w:r>
        <w:t xml:space="preserve"> </w:t>
      </w:r>
      <w:r>
        <w:t xml:space="preserve">dropped</w:t>
      </w:r>
      <w:r>
        <w:t xml:space="preserve"> </w:t>
      </w:r>
      <w:r>
        <w:t xml:space="preserve">to</w:t>
      </w:r>
      <w:r>
        <w:t xml:space="preserve"> </w:t>
      </w:r>
      <w:r>
        <w:t xml:space="preserve">0.48–0.58,</w:t>
      </w:r>
      <w:r>
        <w:t xml:space="preserve"> </w:t>
      </w:r>
      <w:r>
        <w:t xml:space="preserve">ECE</w:t>
      </w:r>
      <w:r>
        <w:t xml:space="preserve"> </w:t>
      </w:r>
      <w:r>
        <w:t xml:space="preserve">rose</w:t>
      </w:r>
      <w:r>
        <w:t xml:space="preserve"> </w:t>
      </w:r>
      <w:r>
        <w:t xml:space="preserve">to</w:t>
      </w:r>
      <w:r>
        <w:t xml:space="preserve"> </w:t>
      </w:r>
      <w:r>
        <w:t xml:space="preserve">0.68–0.76,</w:t>
      </w:r>
      <w:r>
        <w:t xml:space="preserve"> </w:t>
      </w:r>
      <w:r>
        <w:t xml:space="preserve">and</w:t>
      </w:r>
      <w:r>
        <w:t xml:space="preserve"> </w:t>
      </w:r>
      <w:r>
        <w:t xml:space="preserve">conformal</w:t>
      </w:r>
      <w:r>
        <w:t xml:space="preserve"> </w:t>
      </w:r>
      <w:r>
        <w:t xml:space="preserve">coverage</w:t>
      </w:r>
      <w:r>
        <w:t xml:space="preserve"> </w:t>
      </w:r>
      <w:r>
        <w:t xml:space="preserve">collapsed</w:t>
      </w:r>
      <w:r>
        <w:t xml:space="preserve"> </w:t>
      </w:r>
      <w:r>
        <w:t xml:space="preserve">from</w:t>
      </w:r>
      <w:r>
        <w:t xml:space="preserve"> </w:t>
      </w:r>
      <w:r>
        <w:t xml:space="preserve">0.80–0.98</w:t>
      </w:r>
      <w:r>
        <w:t xml:space="preserve"> </w:t>
      </w:r>
      <w:r>
        <w:t xml:space="preserve">(UCI)</w:t>
      </w:r>
      <w:r>
        <w:t xml:space="preserve"> </w:t>
      </w:r>
      <w:r>
        <w:t xml:space="preserve">to</w:t>
      </w:r>
      <w:r>
        <w:t xml:space="preserve"> </w:t>
      </w:r>
      <w:r>
        <w:t xml:space="preserve">0.21–0.25,</w:t>
      </w:r>
      <w:r>
        <w:t xml:space="preserve"> </w:t>
      </w:r>
      <w:r>
        <w:t xml:space="preserve">well</w:t>
      </w:r>
      <w:r>
        <w:t xml:space="preserve"> </w:t>
      </w:r>
      <w:r>
        <w:t xml:space="preserve">below</w:t>
      </w:r>
      <w:r>
        <w:t xml:space="preserve"> </w:t>
      </w:r>
      <w:r>
        <w:t xml:space="preserve">the</w:t>
      </w:r>
      <w:r>
        <w:t xml:space="preserve"> </w:t>
      </w:r>
      <w:r>
        <w:t xml:space="preserve">90%</w:t>
      </w:r>
      <w:r>
        <w:t xml:space="preserve"> </w:t>
      </w:r>
      <w:r>
        <w:t xml:space="preserve">target.</w:t>
      </w:r>
      <w:r>
        <w:t xml:space="preserve"> </w:t>
      </w:r>
      <w:r>
        <w:t xml:space="preserve">No</w:t>
      </w:r>
      <w:r>
        <w:t xml:space="preserve"> </w:t>
      </w:r>
      <w:r>
        <w:t xml:space="preserve">model</w:t>
      </w:r>
      <w:r>
        <w:t xml:space="preserve"> </w:t>
      </w:r>
      <w:r>
        <w:t xml:space="preserve">passed</w:t>
      </w:r>
      <w:r>
        <w:t xml:space="preserve"> </w:t>
      </w:r>
      <w:r>
        <w:t xml:space="preserve">the</w:t>
      </w:r>
      <w:r>
        <w:t xml:space="preserve"> </w:t>
      </w:r>
      <w:r>
        <w:t xml:space="preserve">deployment</w:t>
      </w:r>
      <w:r>
        <w:t xml:space="preserve"> </w:t>
      </w:r>
      <w:r>
        <w:t xml:space="preserve">checklist;</w:t>
      </w:r>
      <w:r>
        <w:t xml:space="preserve"> </w:t>
      </w:r>
      <w:r>
        <w:t xml:space="preserve">scores</w:t>
      </w:r>
      <w:r>
        <w:t xml:space="preserve"> </w:t>
      </w:r>
      <w:r>
        <w:t xml:space="preserve">ranged</w:t>
      </w:r>
      <w:r>
        <w:t xml:space="preserve"> </w:t>
      </w:r>
      <w:r>
        <w:t xml:space="preserve">from</w:t>
      </w:r>
      <w:r>
        <w:t xml:space="preserve"> </w:t>
      </w:r>
      <w:r>
        <w:t xml:space="preserve">2</w:t>
      </w:r>
      <w:r>
        <w:t xml:space="preserve"> </w:t>
      </w:r>
      <w:r>
        <w:t xml:space="preserve">to</w:t>
      </w:r>
      <w:r>
        <w:t xml:space="preserve"> </w:t>
      </w:r>
      <w:r>
        <w:t xml:space="preserve">4</w:t>
      </w:r>
      <w:r>
        <w:t xml:space="preserve"> </w:t>
      </w:r>
      <w:r>
        <w:t xml:space="preserve">out</w:t>
      </w:r>
      <w:r>
        <w:t xml:space="preserve"> </w:t>
      </w:r>
      <w:r>
        <w:t xml:space="preserve">of</w:t>
      </w:r>
      <w:r>
        <w:t xml:space="preserve"> </w:t>
      </w:r>
      <w:r>
        <w:t xml:space="preserve">16.</w:t>
      </w:r>
    </w:p>
    <w:p>
      <w:pPr>
        <w:pStyle w:val="Abstract"/>
      </w:pPr>
      <w:r>
        <w:rPr>
          <w:bCs/>
          <w:b/>
        </w:rPr>
        <w:t xml:space="preserve">Conclusion.</w:t>
      </w:r>
      <w:r>
        <w:t xml:space="preserve"> </w:t>
      </w:r>
      <w:r>
        <w:t xml:space="preserve">Near-perfect</w:t>
      </w:r>
      <w:r>
        <w:t xml:space="preserve"> </w:t>
      </w:r>
      <w:r>
        <w:t xml:space="preserve">internal</w:t>
      </w:r>
      <w:r>
        <w:t xml:space="preserve"> </w:t>
      </w:r>
      <w:r>
        <w:t xml:space="preserve">performance</w:t>
      </w:r>
      <w:r>
        <w:t xml:space="preserve"> </w:t>
      </w:r>
      <w:r>
        <w:t xml:space="preserve">did</w:t>
      </w:r>
      <w:r>
        <w:t xml:space="preserve"> </w:t>
      </w:r>
      <w:r>
        <w:t xml:space="preserve">not</w:t>
      </w:r>
      <w:r>
        <w:t xml:space="preserve"> </w:t>
      </w:r>
      <w:r>
        <w:t xml:space="preserve">predict</w:t>
      </w:r>
      <w:r>
        <w:t xml:space="preserve"> </w:t>
      </w:r>
      <w:r>
        <w:t xml:space="preserve">external</w:t>
      </w:r>
      <w:r>
        <w:t xml:space="preserve"> </w:t>
      </w:r>
      <w:r>
        <w:t xml:space="preserve">readiness.</w:t>
      </w:r>
      <w:r>
        <w:t xml:space="preserve"> </w:t>
      </w:r>
      <w:r>
        <w:t xml:space="preserve">Calibration</w:t>
      </w:r>
      <w:r>
        <w:t xml:space="preserve"> </w:t>
      </w:r>
      <w:r>
        <w:t xml:space="preserve">stability</w:t>
      </w:r>
      <w:r>
        <w:t xml:space="preserve"> </w:t>
      </w:r>
      <w:r>
        <w:t xml:space="preserve">and</w:t>
      </w:r>
      <w:r>
        <w:t xml:space="preserve"> </w:t>
      </w:r>
      <w:r>
        <w:t xml:space="preserve">conformal</w:t>
      </w:r>
      <w:r>
        <w:t xml:space="preserve"> </w:t>
      </w:r>
      <w:r>
        <w:t xml:space="preserve">coverage</w:t>
      </w:r>
      <w:r>
        <w:t xml:space="preserve"> </w:t>
      </w:r>
      <w:r>
        <w:t xml:space="preserve">transfer</w:t>
      </w:r>
      <w:r>
        <w:t xml:space="preserve"> </w:t>
      </w:r>
      <w:r>
        <w:t xml:space="preserve">should</w:t>
      </w:r>
      <w:r>
        <w:t xml:space="preserve"> </w:t>
      </w:r>
      <w:r>
        <w:t xml:space="preserve">be</w:t>
      </w:r>
      <w:r>
        <w:t xml:space="preserve"> </w:t>
      </w:r>
      <w:r>
        <w:t xml:space="preserve">standard</w:t>
      </w:r>
      <w:r>
        <w:t xml:space="preserve"> </w:t>
      </w:r>
      <w:r>
        <w:t xml:space="preserve">requirements</w:t>
      </w:r>
      <w:r>
        <w:t xml:space="preserve"> </w:t>
      </w:r>
      <w:r>
        <w:t xml:space="preserve">before</w:t>
      </w:r>
      <w:r>
        <w:t xml:space="preserve"> </w:t>
      </w:r>
      <w:r>
        <w:t xml:space="preserve">any</w:t>
      </w:r>
      <w:r>
        <w:t xml:space="preserve"> </w:t>
      </w:r>
      <w:r>
        <w:t xml:space="preserve">clinical</w:t>
      </w:r>
      <w:r>
        <w:t xml:space="preserve"> </w:t>
      </w:r>
      <w:r>
        <w:t xml:space="preserve">ML</w:t>
      </w:r>
      <w:r>
        <w:t xml:space="preserve"> </w:t>
      </w:r>
      <w:r>
        <w:t xml:space="preserve">model</w:t>
      </w:r>
      <w:r>
        <w:t xml:space="preserve"> </w:t>
      </w:r>
      <w:r>
        <w:t xml:space="preserve">is</w:t>
      </w:r>
      <w:r>
        <w:t xml:space="preserve"> </w:t>
      </w:r>
      <w:r>
        <w:t xml:space="preserve">considered</w:t>
      </w:r>
      <w:r>
        <w:t xml:space="preserve"> </w:t>
      </w:r>
      <w:r>
        <w:t xml:space="preserve">for</w:t>
      </w:r>
      <w:r>
        <w:t xml:space="preserve"> </w:t>
      </w:r>
      <w:r>
        <w:t xml:space="preserve">deployment.</w:t>
      </w:r>
    </w:p>
    <w:p>
      <w:pPr>
        <w:pStyle w:val="FirstParagraph"/>
      </w:pPr>
      <w:r>
        <w:rPr>
          <w:bCs/>
          <w:b/>
        </w:rPr>
        <w:t xml:space="preserve">Keywords:</w:t>
      </w:r>
      <w:r>
        <w:t xml:space="preserve"> </w:t>
      </w:r>
      <w:r>
        <w:t xml:space="preserve">chronic kidney disease, probability calibration,</w:t>
      </w:r>
      <w:r>
        <w:t xml:space="preserve"> </w:t>
      </w:r>
      <w:r>
        <w:t xml:space="preserve">conformal prediction, uncertainty quantification, deployment readiness,</w:t>
      </w:r>
      <w:r>
        <w:t xml:space="preserve"> </w:t>
      </w:r>
      <w:r>
        <w:t xml:space="preserve">machine learning</w:t>
      </w:r>
    </w:p>
    <w:bookmarkStart w:id="20" w:name="introduction"/>
    <w:p>
      <w:pPr>
        <w:pStyle w:val="Heading1"/>
      </w:pPr>
      <w:r>
        <w:t xml:space="preserve">Introduction</w:t>
      </w:r>
    </w:p>
    <w:p>
      <w:pPr>
        <w:pStyle w:val="FirstParagraph"/>
      </w:pPr>
      <w:r>
        <w:t xml:space="preserve">Roughly 850 million people worldwide are estimated to have chronic kidney</w:t>
      </w:r>
      <w:r>
        <w:t xml:space="preserve"> </w:t>
      </w:r>
      <w:r>
        <w:t xml:space="preserve">disease, and the global prevalence grew by 33% between 1990 and 2017</w:t>
      </w:r>
      <w:r>
        <w:t xml:space="preserve"> </w:t>
      </w:r>
      <w:r>
        <w:t xml:space="preserve">. Among people with diabetes, as many as 1 in 3 are</w:t>
      </w:r>
      <w:r>
        <w:t xml:space="preserve"> </w:t>
      </w:r>
      <w:r>
        <w:t xml:space="preserve">affected; among those with hypertension in high-income settings, the proportion</w:t>
      </w:r>
      <w:r>
        <w:t xml:space="preserve"> </w:t>
      </w:r>
      <w:r>
        <w:t xml:space="preserve">reaches approximately 1 in 5</w:t>
      </w:r>
      <w:r>
        <w:t xml:space="preserve"> </w:t>
      </w:r>
      <w:r>
        <w:t xml:space="preserve">. By 2040, CKD is projected to</w:t>
      </w:r>
      <w:r>
        <w:t xml:space="preserve"> </w:t>
      </w:r>
      <w:r>
        <w:t xml:space="preserve">rank fifth among leading causes of years of life lost globally</w:t>
      </w:r>
      <w:r>
        <w:t xml:space="preserve"> </w:t>
      </w:r>
      <w:r>
        <w:t xml:space="preserve">. Those numbers create genuine pressure on health systems to</w:t>
      </w:r>
      <w:r>
        <w:t xml:space="preserve"> </w:t>
      </w:r>
      <w:r>
        <w:t xml:space="preserve">identify high-risk patients early, before irreversible loss of kidney function</w:t>
      </w:r>
      <w:r>
        <w:t xml:space="preserve"> </w:t>
      </w:r>
      <w:r>
        <w:t xml:space="preserve">closes off the best treatment options.</w:t>
      </w:r>
    </w:p>
    <w:p>
      <w:pPr>
        <w:pStyle w:val="BodyText"/>
      </w:pPr>
      <w:r>
        <w:t xml:space="preserve">Machine learning has been proposed as a practical answer to this challenge.</w:t>
      </w:r>
      <w:r>
        <w:t xml:space="preserve"> </w:t>
      </w:r>
      <w:r>
        <w:t xml:space="preserve">Models trained on electronic health records, biomarker panels, and demographic</w:t>
      </w:r>
      <w:r>
        <w:t xml:space="preserve"> </w:t>
      </w:r>
      <w:r>
        <w:t xml:space="preserve">variables have reported AUROC values above 0.95 in national cohort studies</w:t>
      </w:r>
      <w:r>
        <w:t xml:space="preserve"> </w:t>
      </w:r>
      <w:r>
        <w:t xml:space="preserve">. Established risk</w:t>
      </w:r>
      <w:r>
        <w:t xml:space="preserve"> </w:t>
      </w:r>
      <w:r>
        <w:t xml:space="preserve">equations like the Kidney Failure Risk Equation have been validated across</w:t>
      </w:r>
      <w:r>
        <w:t xml:space="preserve"> </w:t>
      </w:r>
      <w:r>
        <w:t xml:space="preserve">populations in North America, the United Kingdom, and Latin America, confirming</w:t>
      </w:r>
      <w:r>
        <w:t xml:space="preserve"> </w:t>
      </w:r>
      <w:r>
        <w:t xml:space="preserve">algorithmic CKD risk prediction is technically achievable</w:t>
      </w:r>
      <w:r>
        <w:t xml:space="preserve"> </w:t>
      </w:r>
      <w:r>
        <w:t xml:space="preserve">. The field has not struggled to</w:t>
      </w:r>
      <w:r>
        <w:t xml:space="preserve"> </w:t>
      </w:r>
      <w:r>
        <w:t xml:space="preserve">build models. The struggle is with what happens after the model is built.</w:t>
      </w:r>
    </w:p>
    <w:p>
      <w:pPr>
        <w:pStyle w:val="BodyText"/>
      </w:pPr>
      <w:r>
        <w:t xml:space="preserve">Discrimination metrics like AUROC measure whether a model ranks patients</w:t>
      </w:r>
      <w:r>
        <w:t xml:space="preserve"> </w:t>
      </w:r>
      <w:r>
        <w:t xml:space="preserve">correctly relative to each other. They say nothing about whether the assigned</w:t>
      </w:r>
      <w:r>
        <w:t xml:space="preserve"> </w:t>
      </w:r>
      <w:r>
        <w:t xml:space="preserve">probability scores are trustworthy in absolute terms. A model posting AUROC 0.97</w:t>
      </w:r>
      <w:r>
        <w:t xml:space="preserve"> </w:t>
      </w:r>
      <w:r>
        <w:t xml:space="preserve">assigns a 65% risk score to patients whose true event rate sits near 20%, and</w:t>
      </w:r>
      <w:r>
        <w:t xml:space="preserve"> </w:t>
      </w:r>
      <w:r>
        <w:t xml:space="preserve">clinicians making treatment decisions from those numbers are working from</w:t>
      </w:r>
      <w:r>
        <w:t xml:space="preserve"> </w:t>
      </w:r>
      <w:r>
        <w:t xml:space="preserve">miscalibrated information. Van Calster and colleagues identified calibration as</w:t>
      </w:r>
      <w:r>
        <w:t xml:space="preserve"> </w:t>
      </w:r>
      <w:r>
        <w:t xml:space="preserve">the Achilles heel of predictive analytics, noting poor calibration regularly</w:t>
      </w:r>
      <w:r>
        <w:t xml:space="preserve"> </w:t>
      </w:r>
      <w:r>
        <w:t xml:space="preserve">persists even when discrimination appears strong</w:t>
      </w:r>
      <w:r>
        <w:t xml:space="preserve"> </w:t>
      </w:r>
      <w:r>
        <w:t xml:space="preserve">. A</w:t>
      </w:r>
      <w:r>
        <w:t xml:space="preserve"> </w:t>
      </w:r>
      <w:r>
        <w:t xml:space="preserve">systematic review of CKD risk models by Echouffo-Tcheugui and Kengne found</w:t>
      </w:r>
      <w:r>
        <w:t xml:space="preserve"> </w:t>
      </w:r>
      <w:r>
        <w:t xml:space="preserve">calibration is assessed less commonly than discrimination across the published</w:t>
      </w:r>
      <w:r>
        <w:t xml:space="preserve"> </w:t>
      </w:r>
      <w:r>
        <w:t xml:space="preserve">literature; of all the models reviewed, only eight for CKD occurrence and five</w:t>
      </w:r>
      <w:r>
        <w:t xml:space="preserve"> </w:t>
      </w:r>
      <w:r>
        <w:t xml:space="preserve">for CKD progression had been externally validated for calibration</w:t>
      </w:r>
      <w:r>
        <w:t xml:space="preserve"> </w:t>
      </w:r>
      <w:r>
        <w:t xml:space="preserve">. The models exist. The evidence for trusting their</w:t>
      </w:r>
      <w:r>
        <w:t xml:space="preserve"> </w:t>
      </w:r>
      <w:r>
        <w:t xml:space="preserve">probability outputs largely does not.</w:t>
      </w:r>
    </w:p>
    <w:p>
      <w:pPr>
        <w:pStyle w:val="BodyText"/>
      </w:pPr>
      <w:r>
        <w:t xml:space="preserve">The problem runs deeper than calibration alone. Campagner and colleagues</w:t>
      </w:r>
      <w:r>
        <w:t xml:space="preserve"> </w:t>
      </w:r>
      <w:r>
        <w:t xml:space="preserve">reviewed machine learning studies in healthcare and found fewer than 4% address</w:t>
      </w:r>
      <w:r>
        <w:t xml:space="preserve"> </w:t>
      </w:r>
      <w:r>
        <w:t xml:space="preserve">uncertainty quantification explicitly</w:t>
      </w:r>
      <w:r>
        <w:t xml:space="preserve"> </w:t>
      </w:r>
      <w:r>
        <w:t xml:space="preserve">. A model outputting</w:t>
      </w:r>
      <w:r>
        <w:t xml:space="preserve"> </w:t>
      </w:r>
      <w:r>
        <w:t xml:space="preserve">a probability without any indication of how much to trust the number puts</w:t>
      </w:r>
      <w:r>
        <w:t xml:space="preserve"> </w:t>
      </w:r>
      <w:r>
        <w:t xml:space="preserve">clinicians in a difficult position. Banerji and colleagues put this plainly:</w:t>
      </w:r>
      <w:r>
        <w:t xml:space="preserve"> </w:t>
      </w:r>
      <w:r>
        <w:t xml:space="preserve">clinical AI tools must communicate predictive uncertainty at the level of the</w:t>
      </w:r>
      <w:r>
        <w:t xml:space="preserve"> </w:t>
      </w:r>
      <w:r>
        <w:t xml:space="preserve">individual patient, not purely in aggregate performance statistics</w:t>
      </w:r>
      <w:r>
        <w:t xml:space="preserve"> </w:t>
      </w:r>
      <w:r>
        <w:t xml:space="preserve">. A predicted CKD risk of 78% warrants a different clinical</w:t>
      </w:r>
      <w:r>
        <w:t xml:space="preserve"> </w:t>
      </w:r>
      <w:r>
        <w:t xml:space="preserve">response when the model’s uncertainty is narrow than when high uncertainty</w:t>
      </w:r>
      <w:r>
        <w:t xml:space="preserve"> </w:t>
      </w:r>
      <w:r>
        <w:t xml:space="preserve">renders the output practically unreliable.</w:t>
      </w:r>
    </w:p>
    <w:p>
      <w:pPr>
        <w:pStyle w:val="BodyText"/>
      </w:pPr>
      <w:r>
        <w:t xml:space="preserve">A 2023 systematic review commissioned to support CDC prevention guidelines</w:t>
      </w:r>
      <w:r>
        <w:t xml:space="preserve"> </w:t>
      </w:r>
      <w:r>
        <w:t xml:space="preserve">reached a pointed conclusion: CKD risk prediction models need to be better</w:t>
      </w:r>
      <w:r>
        <w:t xml:space="preserve"> </w:t>
      </w:r>
      <w:r>
        <w:t xml:space="preserve">calibrated and externally validated before incorporation into clinical guidelines</w:t>
      </w:r>
      <w:r>
        <w:t xml:space="preserve"> </w:t>
      </w:r>
      <w:r>
        <w:t xml:space="preserve">. No published study in the CKD literature has</w:t>
      </w:r>
      <w:r>
        <w:t xml:space="preserve"> </w:t>
      </w:r>
      <w:r>
        <w:t xml:space="preserve">operationalized all three of these demands together. No existing work has jointly</w:t>
      </w:r>
      <w:r>
        <w:t xml:space="preserve"> </w:t>
      </w:r>
      <w:r>
        <w:t xml:space="preserve">evaluated calibration across multiple post-hoc correction methods, quantified</w:t>
      </w:r>
      <w:r>
        <w:t xml:space="preserve"> </w:t>
      </w:r>
      <w:r>
        <w:t xml:space="preserve">uncertainty through a coverage-guaranteed conformal framework, and assessed</w:t>
      </w:r>
      <w:r>
        <w:t xml:space="preserve"> </w:t>
      </w:r>
      <w:r>
        <w:t xml:space="preserve">deployment readiness through a structured multi-criterion checklist, all on the</w:t>
      </w:r>
      <w:r>
        <w:t xml:space="preserve"> </w:t>
      </w:r>
      <w:r>
        <w:t xml:space="preserve">same model suite and across an independent external cohort.</w:t>
      </w:r>
    </w:p>
    <w:p>
      <w:pPr>
        <w:pStyle w:val="BodyText"/>
      </w:pPr>
      <w:r>
        <w:t xml:space="preserve">This study addresses the gap. Using the UCI CKD dataset for model development</w:t>
      </w:r>
      <w:r>
        <w:t xml:space="preserve"> </w:t>
      </w:r>
      <w:r>
        <w:t xml:space="preserve">and MIMIC-IV as an external validation cohort, we trained five classifiers</w:t>
      </w:r>
      <w:r>
        <w:t xml:space="preserve"> </w:t>
      </w:r>
      <w:r>
        <w:t xml:space="preserve">spanning the range commonly used in clinical prediction: logistic regression,</w:t>
      </w:r>
      <w:r>
        <w:t xml:space="preserve"> </w:t>
      </w:r>
      <w:r>
        <w:t xml:space="preserve">random forest, gradient boosting via XGBoost, a support vector machine with</w:t>
      </w:r>
      <w:r>
        <w:t xml:space="preserve"> </w:t>
      </w:r>
      <w:r>
        <w:t xml:space="preserve">Platt-scaled probabilities, and Gaussian naive Bayes. Each model was evaluated</w:t>
      </w:r>
      <w:r>
        <w:t xml:space="preserve"> </w:t>
      </w:r>
      <w:r>
        <w:t xml:space="preserve">across three dimensions: calibration before and after post-hoc recalibration</w:t>
      </w:r>
      <w:r>
        <w:t xml:space="preserve"> </w:t>
      </w:r>
      <w:r>
        <w:t xml:space="preserve">using Platt scaling and isotonic regression; predictive uncertainty through split</w:t>
      </w:r>
      <w:r>
        <w:t xml:space="preserve"> </w:t>
      </w:r>
      <w:r>
        <w:t xml:space="preserve">conformal prediction with a formal 90% marginal coverage guarantee; and a</w:t>
      </w:r>
      <w:r>
        <w:t xml:space="preserve"> </w:t>
      </w:r>
      <w:r>
        <w:t xml:space="preserve">structured eight-criterion deployment readiness framework grounded in current</w:t>
      </w:r>
      <w:r>
        <w:t xml:space="preserve"> </w:t>
      </w:r>
      <w:r>
        <w:t xml:space="preserve">reporting standards including TRIPOD+AI</w:t>
      </w:r>
      <w:r>
        <w:t xml:space="preserve"> </w:t>
      </w:r>
      <w:r>
        <w:t xml:space="preserve">.</w:t>
      </w:r>
    </w:p>
    <w:p>
      <w:pPr>
        <w:pStyle w:val="BodyText"/>
      </w:pPr>
      <w:r>
        <w:t xml:space="preserve">The study has three objectives:</w:t>
      </w:r>
    </w:p>
    <w:p>
      <w:pPr>
        <w:numPr>
          <w:ilvl w:val="0"/>
          <w:numId w:val="1001"/>
        </w:numPr>
      </w:pPr>
      <w:r>
        <w:t xml:space="preserve">Quantify pre- and post-calibration error for five CKD classifiers on</w:t>
      </w:r>
      <w:r>
        <w:t xml:space="preserve"> </w:t>
      </w:r>
      <w:r>
        <w:t xml:space="preserve">both the internal UCI test set and the external MIMIC-IV cohort.</w:t>
      </w:r>
    </w:p>
    <w:p>
      <w:pPr>
        <w:numPr>
          <w:ilvl w:val="0"/>
          <w:numId w:val="1001"/>
        </w:numPr>
      </w:pPr>
      <w:r>
        <w:t xml:space="preserve">Apply split conformal prediction to generate prediction sets with a</w:t>
      </w:r>
      <w:r>
        <w:t xml:space="preserve"> </w:t>
      </w:r>
      <w:r>
        <w:t xml:space="preserve">90% coverage guarantee and determine whether the guarantee holds on</w:t>
      </w:r>
      <w:r>
        <w:t xml:space="preserve"> </w:t>
      </w:r>
      <w:r>
        <w:t xml:space="preserve">external data.</w:t>
      </w:r>
    </w:p>
    <w:p>
      <w:pPr>
        <w:numPr>
          <w:ilvl w:val="0"/>
          <w:numId w:val="1001"/>
        </w:numPr>
      </w:pPr>
      <w:r>
        <w:t xml:space="preserve">Score each model against an eight-criterion deployment readiness</w:t>
      </w:r>
      <w:r>
        <w:t xml:space="preserve"> </w:t>
      </w:r>
      <w:r>
        <w:t xml:space="preserve">checklist and identify which, if any, meet the threshold for</w:t>
      </w:r>
      <w:r>
        <w:t xml:space="preserve"> </w:t>
      </w:r>
      <w:r>
        <w:t xml:space="preserve">responsible clinical use.</w:t>
      </w:r>
    </w:p>
    <w:bookmarkEnd w:id="20"/>
    <w:bookmarkStart w:id="28" w:name="methods"/>
    <w:p>
      <w:pPr>
        <w:pStyle w:val="Heading1"/>
      </w:pPr>
      <w:r>
        <w:t xml:space="preserve">Methods</w:t>
      </w:r>
    </w:p>
    <w:bookmarkStart w:id="21" w:name="datasets"/>
    <w:p>
      <w:pPr>
        <w:pStyle w:val="Heading2"/>
      </w:pPr>
      <w:r>
        <w:t xml:space="preserve">Datasets</w:t>
      </w:r>
    </w:p>
    <w:p>
      <w:pPr>
        <w:pStyle w:val="FirstParagraph"/>
      </w:pPr>
      <w:r>
        <w:t xml:space="preserve">Two datasets were used. The UCI CKD dataset served as the primary training and internal validation source </w:t>
      </w:r>
      <w:r>
        <w:t xml:space="preserve">. It contains 400 patient records collected from a hospital in Vellore, India, each described by 24 clinical and laboratory features alongside a binary CKD label. Of the 400 patients, 250 (62.5%) carry a positive CKD diagnosis. Mean patient age was 51.6 years (SD 17.0). Features include continuous measurements such as serum creatinine, blood urea, hemoglobin, sodium, potassium, and packed cell volume, plus categorical variables for comorbidities (hypertension, diabetes, coronary artery disease) and urinary findings (red blood cell morphology, pus cells, bacteria).</w:t>
      </w:r>
    </w:p>
    <w:p>
      <w:pPr>
        <w:pStyle w:val="BodyText"/>
      </w:pPr>
      <w:r>
        <w:t xml:space="preserve">The MIMIC-IV Clinical Database (version 2.2) provided the external validation cohort </w:t>
      </w:r>
      <w:r>
        <w:t xml:space="preserve">. MIMIC-IV is a de-identified electronic health record dataset from Beth Israel Deaconess Medical Center in Boston. The study used the 100-patient public demonstration subset. Patients were included if serum creatinine was available on their first hospital admission, yielding 97 patients. CKD labeling used the CKD-EPI 2021 race-free equation: eGFR below 60 mL/min/1.73 m</w:t>
      </w:r>
      <w:r>
        <w:rPr>
          <w:vertAlign w:val="superscript"/>
        </w:rPr>
        <w:t xml:space="preserve">2</w:t>
      </w:r>
      <w:r>
        <w:t xml:space="preserve"> </w:t>
      </w:r>
      <w:r>
        <w:t xml:space="preserve">defined CKD-positive status. That threshold produced 23 CKD cases (23.7%) and 74 controls. Mean age in the MIMIC cohort was 61.7 years (SD 16.3).</w:t>
      </w:r>
    </w:p>
    <w:p>
      <w:pPr>
        <w:pStyle w:val="BodyText"/>
      </w:pPr>
      <w:r>
        <w:t xml:space="preserve">MIMIC-IV data were accessed under a PhysioNet credentialed license. The dataset is de-identified; use for research required completion of CITI human subjects training prior to data access. No new patient contact occurred and no institutional review board approval was required.</w:t>
      </w:r>
    </w:p>
    <w:bookmarkEnd w:id="21"/>
    <w:bookmarkStart w:id="22" w:name="preprocessing-and-feature-harmonization"/>
    <w:p>
      <w:pPr>
        <w:pStyle w:val="Heading2"/>
      </w:pPr>
      <w:r>
        <w:t xml:space="preserve">Preprocessing and Feature Harmonization</w:t>
      </w:r>
    </w:p>
    <w:p>
      <w:pPr>
        <w:pStyle w:val="FirstParagraph"/>
      </w:pPr>
      <w:r>
        <w:t xml:space="preserve">UCI preprocessing started with whitespace stripping across all categorical columns. Categorical features were mapped to binary 0/1 values. The target label was encoded as CKD = 1, notCKD = 0. Missing values in continuous features were replaced with the column median; categorical missing values were replaced with the column mode. Zero missing values remained after imputation across all 400 records.</w:t>
      </w:r>
    </w:p>
    <w:p>
      <w:pPr>
        <w:pStyle w:val="BodyText"/>
      </w:pPr>
      <w:r>
        <w:t xml:space="preserve">MIMIC harmonization used statistics from the UCI training fold only, to prevent any leakage from the external data into the model pipeline. Seven features present in the UCI schema are not routinely recorded in MIMIC: urine-specific gravity, urine sugar, pus cells (categorical), pus cell clumps, bacteria, appetite, and pedal edema. Each was filled with the UCI training-set median or mode as appropriate. Blood pressure came from ICU chartevents (item IDs 220179 and 220050, systolic range 60–250 mmHg); where that source was missing, the MIMIC outpatient medical record table provided a fallback. That two-source approach resolved blood pressure for 94 of 97 patients. Laboratory values including serum creatinine, blood urea nitrogen, hemoglobin, albumin, potassium, sodium, glucose, hematocrit, WBC, and RBC were extracted from the MIMIC lab events table and averaged across each patient’s first admission. Comorbidity flags for hypertension, diabetes, and coronary artery disease came from ICD-10 codes (I10, E11.x, I25.x). Anemia was defined as hemoglobin below 12 g/dL in females and below 13.5 g/dL in males.</w:t>
      </w:r>
    </w:p>
    <w:bookmarkEnd w:id="22"/>
    <w:bookmarkStart w:id="23" w:name="model-suite-and-training"/>
    <w:p>
      <w:pPr>
        <w:pStyle w:val="Heading2"/>
      </w:pPr>
      <w:r>
        <w:t xml:space="preserve">Model Suite and Training</w:t>
      </w:r>
    </w:p>
    <w:p>
      <w:pPr>
        <w:pStyle w:val="FirstParagraph"/>
      </w:pPr>
      <w:r>
        <w:t xml:space="preserve">Records were split into training (70%,</w:t>
      </w:r>
      <w:r>
        <w:t xml:space="preserve"> </w:t>
      </w:r>
      <m:oMath>
        <m:r>
          <m:t>n</m:t>
        </m:r>
      </m:oMath>
      <w:r>
        <w:t xml:space="preserve"> = 279), validation (15%,</w:t>
      </w:r>
      <w:r>
        <w:t xml:space="preserve"> </w:t>
      </w:r>
      <m:oMath>
        <m:r>
          <m:t>n</m:t>
        </m:r>
      </m:oMath>
      <w:r>
        <w:t xml:space="preserve"> = 60), and test (15%,</w:t>
      </w:r>
      <w:r>
        <w:t xml:space="preserve"> </w:t>
      </w:r>
      <m:oMath>
        <m:r>
          <m:t>n</m:t>
        </m:r>
      </m:oMath>
      <w:r>
        <w:t xml:space="preserve"> = 61) subsets using stratified random sampling (random_state = 42). The MIMIC cohort was held back entirely as an external test set, separate from any training or validation step.</w:t>
      </w:r>
    </w:p>
    <w:p>
      <w:pPr>
        <w:pStyle w:val="BodyText"/>
      </w:pPr>
      <w:r>
        <w:t xml:space="preserve">Five classifier families were selected to span the calibration behaviors seen in clinical ML: logistic regression (L2 regularization), random forest (ensemble, known for overconfident probabilities), XGBoost (gradient boosting, strong discrimination but typically miscalibrated), support vector machine (</w:t>
      </w:r>
      <w:r>
        <w:rPr>
          <w:rStyle w:val="VerbatimChar"/>
        </w:rPr>
        <w:t xml:space="preserve">probability=True</w:t>
      </w:r>
      <w:r>
        <w:t xml:space="preserve">), and Gaussian naive Bayes. Hyperparameter tuning used five-fold stratified cross-validation on the training fold, optimizing AUROC. Logistic regression</w:t>
      </w:r>
      <w:r>
        <w:t xml:space="preserve"> </w:t>
      </w:r>
      <m:oMath>
        <m:r>
          <m:t>C</m:t>
        </m:r>
      </m:oMath>
      <w:r>
        <w:t xml:space="preserve"> </w:t>
      </w:r>
      <w:r>
        <w:t xml:space="preserve">was tuned over {0.001, 0.01, 0.1, 1, 10, 100}. RF, XGB, and SVM used randomized search with up to 30 iterations over defined grids (full grids in Supplementary S1). Fitted models were saved with joblib. Software: Python 3.13, scikit-learn, XGBoost, MAPIE 1.3, netcal, pandas, numpy, matplotlib, joblib; full version pins in requirements.txt.</w:t>
      </w:r>
    </w:p>
    <w:bookmarkEnd w:id="23"/>
    <w:bookmarkStart w:id="24" w:name="calibration-evaluation"/>
    <w:p>
      <w:pPr>
        <w:pStyle w:val="Heading2"/>
      </w:pPr>
      <w:r>
        <w:t xml:space="preserve">Calibration Evaluation</w:t>
      </w:r>
    </w:p>
    <w:p>
      <w:pPr>
        <w:pStyle w:val="FirstParagraph"/>
      </w:pPr>
      <w:r>
        <w:t xml:space="preserve">Pre-calibration metrics were computed on the UCI validation set for each model: Expected Calibration Error (ECE, 10 equal-width bins), Maximum Calibration Error (MCE), Brier Score, and Brier Skill Score relative to a naive prevalence baseline. ECE and MCE used the netcal library. Reliability diagrams used</w:t>
      </w:r>
      <w:r>
        <w:t xml:space="preserve"> </w:t>
      </w:r>
      <w:r>
        <w:rPr>
          <w:rStyle w:val="VerbatimChar"/>
        </w:rPr>
        <w:t xml:space="preserve">CalibrationDisplay</w:t>
      </w:r>
      <w:r>
        <w:t xml:space="preserve"> </w:t>
      </w:r>
      <w:r>
        <w:t xml:space="preserve">from scikit-learn.</w:t>
      </w:r>
    </w:p>
    <w:p>
      <w:pPr>
        <w:pStyle w:val="BodyText"/>
      </w:pPr>
      <w:r>
        <w:t xml:space="preserve">Two post-hoc recalibration methods were fitted on the validation set. Platt scaling fits a logistic regression layer on the base model’s raw scores (</w:t>
      </w:r>
      <w:r>
        <w:rPr>
          <w:rStyle w:val="VerbatimChar"/>
        </w:rPr>
        <w:t xml:space="preserve">CalibratedClassifierCV</w:t>
      </w:r>
      <w:r>
        <w:t xml:space="preserve">,</w:t>
      </w:r>
      <w:r>
        <w:t xml:space="preserve"> </w:t>
      </w:r>
      <w:r>
        <w:rPr>
          <w:rStyle w:val="VerbatimChar"/>
        </w:rPr>
        <w:t xml:space="preserve">method=’sigmoid’</w:t>
      </w:r>
      <w:r>
        <w:t xml:space="preserve">,</w:t>
      </w:r>
      <w:r>
        <w:t xml:space="preserve"> </w:t>
      </w:r>
      <w:r>
        <w:rPr>
          <w:rStyle w:val="VerbatimChar"/>
        </w:rPr>
        <w:t xml:space="preserve">cv=’prefit’</w:t>
      </w:r>
      <w:r>
        <w:t xml:space="preserve">). Isotonic regression fits a piecewise-constant monotone function (</w:t>
      </w:r>
      <w:r>
        <w:rPr>
          <w:rStyle w:val="VerbatimChar"/>
        </w:rPr>
        <w:t xml:space="preserve">method=’isotonic’</w:t>
      </w:r>
      <w:r>
        <w:t xml:space="preserve">).</w:t>
      </w:r>
      <w:r>
        <w:t xml:space="preserve"> </w:t>
      </w:r>
      <w:r>
        <w:rPr>
          <w:rStyle w:val="VerbatimChar"/>
        </w:rPr>
        <w:t xml:space="preserve">FrozenEstimator</w:t>
      </w:r>
      <w:r>
        <w:t xml:space="preserve"> </w:t>
      </w:r>
      <w:r>
        <w:t xml:space="preserve">prevented any refitting of the base model in both cases. The test set was not used at any point during calibration fitting.</w:t>
      </w:r>
    </w:p>
    <w:p>
      <w:pPr>
        <w:pStyle w:val="BodyText"/>
      </w:pPr>
      <w:r>
        <w:t xml:space="preserve">Post-calibration metrics were computed on the UCI test set for the base, Platt-scaled, and isotonic-scaled variants. For external validation, the best variant per model (lowest ECE on the UCI test set) was applied to MIMIC. Calibration drift was MIMIC ECE minus UCI ECE for that variant.</w:t>
      </w:r>
    </w:p>
    <w:bookmarkEnd w:id="24"/>
    <w:bookmarkStart w:id="25" w:name="uncertainty-quantification"/>
    <w:p>
      <w:pPr>
        <w:pStyle w:val="Heading2"/>
      </w:pPr>
      <w:r>
        <w:t xml:space="preserve">Uncertainty Quantification</w:t>
      </w:r>
    </w:p>
    <w:p>
      <w:pPr>
        <w:pStyle w:val="FirstParagraph"/>
      </w:pPr>
      <w:r>
        <w:t xml:space="preserve">Uncertainty was quantified through split conformal prediction using the MAPIE library (</w:t>
      </w:r>
      <w:r>
        <w:rPr>
          <w:rStyle w:val="VerbatimChar"/>
        </w:rPr>
        <w:t xml:space="preserve">SplitConformalClassifier</w:t>
      </w:r>
      <w:r>
        <w:t xml:space="preserve">, version 1.3) </w:t>
      </w:r>
      <w:r>
        <w:t xml:space="preserve">. Each base model’s conformal predictor was fitted on the UCI validation set (</w:t>
      </w:r>
      <m:oMath>
        <m:r>
          <m:t>n</m:t>
        </m:r>
      </m:oMath>
      <w:r>
        <w:t xml:space="preserve"> = 60) using the least ambiguous class (LAC) conformity score: one minus the predicted probability of the most likely class. Target confidence was 0.90 (</w:t>
      </w:r>
      <m:oMath>
        <m:r>
          <m:t>α</m:t>
        </m:r>
      </m:oMath>
      <w:r>
        <w:t xml:space="preserve"> = 0.10), so prediction sets should contain the true label for at least 90% of test cases.</w:t>
      </w:r>
    </w:p>
    <w:p>
      <w:pPr>
        <w:pStyle w:val="BodyText"/>
      </w:pPr>
      <w:r>
        <w:t xml:space="preserve">Three metrics were computed on both the UCI test set and the MIMIC cohort: empirical coverage rate, average prediction set size, and singleton rate (the share of cases receiving exactly one class label). Coverage drift was UCI coverage minus MIMIC coverage.</w:t>
      </w:r>
    </w:p>
    <w:bookmarkEnd w:id="25"/>
    <w:bookmarkStart w:id="26" w:name="deployment-readiness-framework"/>
    <w:p>
      <w:pPr>
        <w:pStyle w:val="Heading2"/>
      </w:pPr>
      <w:r>
        <w:t xml:space="preserve">Deployment Readiness Framework</w:t>
      </w:r>
    </w:p>
    <w:p>
      <w:pPr>
        <w:pStyle w:val="FirstParagraph"/>
      </w:pPr>
      <w:r>
        <w:t xml:space="preserve">Eight criteria were defined before analysis began. Each was scored PASS (threshold met, 2 points), MARGINAL (within 20% of threshold, 1 point), or FAIL (0 points), for a maximum total of 16 points.</w:t>
      </w:r>
    </w:p>
    <w:p>
      <w:pPr>
        <w:numPr>
          <w:ilvl w:val="0"/>
          <w:numId w:val="1002"/>
        </w:numPr>
      </w:pPr>
      <w:r>
        <w:t xml:space="preserve">Discrimination adequacy: AUROC</w:t>
      </w:r>
      <w:r>
        <w:t xml:space="preserve"> </w:t>
      </w:r>
      <m:oMath>
        <m:r>
          <m:rPr>
            <m:sty m:val="p"/>
          </m:rPr>
          <m:t>≥</m:t>
        </m:r>
        <m:r>
          <m:t>0.85</m:t>
        </m:r>
      </m:oMath>
      <w:r>
        <w:t xml:space="preserve"> </w:t>
      </w:r>
      <w:r>
        <w:t xml:space="preserve">on the external cohort.</w:t>
      </w:r>
    </w:p>
    <w:p>
      <w:pPr>
        <w:numPr>
          <w:ilvl w:val="0"/>
          <w:numId w:val="1002"/>
        </w:numPr>
      </w:pPr>
      <w:r>
        <w:t xml:space="preserve">Calibration adequacy: ECE</w:t>
      </w:r>
      <w:r>
        <w:t xml:space="preserve"> </w:t>
      </w:r>
      <m:oMath>
        <m:r>
          <m:rPr>
            <m:sty m:val="p"/>
          </m:rPr>
          <m:t>≤</m:t>
        </m:r>
        <m:r>
          <m:t>0.10</m:t>
        </m:r>
      </m:oMath>
      <w:r>
        <w:t xml:space="preserve"> </w:t>
      </w:r>
      <w:r>
        <w:t xml:space="preserve">on the external cohort.</w:t>
      </w:r>
    </w:p>
    <w:p>
      <w:pPr>
        <w:numPr>
          <w:ilvl w:val="0"/>
          <w:numId w:val="1002"/>
        </w:numPr>
      </w:pPr>
      <w:r>
        <w:t xml:space="preserve">Calibration stability: absolute calibration drift</w:t>
      </w:r>
      <w:r>
        <w:t xml:space="preserve"> </w:t>
      </w:r>
      <m:oMath>
        <m:r>
          <m:rPr>
            <m:sty m:val="p"/>
          </m:rPr>
          <m:t>≤</m:t>
        </m:r>
        <m:r>
          <m:t>0.05</m:t>
        </m:r>
      </m:oMath>
      <w:r>
        <w:t xml:space="preserve">.</w:t>
      </w:r>
    </w:p>
    <w:p>
      <w:pPr>
        <w:numPr>
          <w:ilvl w:val="0"/>
          <w:numId w:val="1002"/>
        </w:numPr>
      </w:pPr>
      <w:r>
        <w:t xml:space="preserve">Uncertainty coverage: conformal coverage</w:t>
      </w:r>
      <w:r>
        <w:t xml:space="preserve"> </w:t>
      </w:r>
      <m:oMath>
        <m:r>
          <m:rPr>
            <m:sty m:val="p"/>
          </m:rPr>
          <m:t>≥</m:t>
        </m:r>
        <m:r>
          <m:t>0.90</m:t>
        </m:r>
      </m:oMath>
      <w:r>
        <w:t xml:space="preserve"> </w:t>
      </w:r>
      <w:r>
        <w:t xml:space="preserve">on the external cohort.</w:t>
      </w:r>
    </w:p>
    <w:p>
      <w:pPr>
        <w:numPr>
          <w:ilvl w:val="0"/>
          <w:numId w:val="1002"/>
        </w:numPr>
      </w:pPr>
      <w:r>
        <w:t xml:space="preserve">Coverage stability: absolute coverage drift</w:t>
      </w:r>
      <w:r>
        <w:t xml:space="preserve"> </w:t>
      </w:r>
      <m:oMath>
        <m:r>
          <m:rPr>
            <m:sty m:val="p"/>
          </m:rPr>
          <m:t>≤</m:t>
        </m:r>
        <m:r>
          <m:t>0.05</m:t>
        </m:r>
      </m:oMath>
      <w:r>
        <w:t xml:space="preserve">.</w:t>
      </w:r>
    </w:p>
    <w:p>
      <w:pPr>
        <w:numPr>
          <w:ilvl w:val="0"/>
          <w:numId w:val="1002"/>
        </w:numPr>
      </w:pPr>
      <w:r>
        <w:t xml:space="preserve">Prediction interpretability: singleton rate</w:t>
      </w:r>
      <w:r>
        <w:t xml:space="preserve"> </w:t>
      </w:r>
      <m:oMath>
        <m:r>
          <m:rPr>
            <m:sty m:val="p"/>
          </m:rPr>
          <m:t>≥</m:t>
        </m:r>
        <m:r>
          <m:t>0.70</m:t>
        </m:r>
      </m:oMath>
      <w:r>
        <w:t xml:space="preserve"> </w:t>
      </w:r>
      <w:r>
        <w:t xml:space="preserve">on the external cohort.</w:t>
      </w:r>
    </w:p>
    <w:p>
      <w:pPr>
        <w:numPr>
          <w:ilvl w:val="0"/>
          <w:numId w:val="1002"/>
        </w:numPr>
      </w:pPr>
      <w:r>
        <w:t xml:space="preserve">Subgroup calibration equity: maximum ECE gap across subgroups</w:t>
      </w:r>
      <w:r>
        <w:t xml:space="preserve"> </w:t>
      </w:r>
      <m:oMath>
        <m:r>
          <m:rPr>
            <m:sty m:val="p"/>
          </m:rPr>
          <m:t>≤</m:t>
        </m:r>
        <m:r>
          <m:t>0.05</m:t>
        </m:r>
      </m:oMath>
      <w:r>
        <w:t xml:space="preserve">.</w:t>
      </w:r>
    </w:p>
    <w:p>
      <w:pPr>
        <w:numPr>
          <w:ilvl w:val="0"/>
          <w:numId w:val="1002"/>
        </w:numPr>
      </w:pPr>
      <w:r>
        <w:t xml:space="preserve">Transparency: full code and pipeline publicly available (automatic PASS).</w:t>
      </w:r>
    </w:p>
    <w:p>
      <w:pPr>
        <w:pStyle w:val="FirstParagraph"/>
      </w:pPr>
      <w:r>
        <w:t xml:space="preserve">Subgroup analysis stratified the MIMIC cohort by age (below 65 vs. 65 and above), diabetes status, and hypertension status. Groups with fewer than 10 patients were excluded from ECE computation because bin-level estimates become unreliable at that scale.</w:t>
      </w:r>
    </w:p>
    <w:bookmarkEnd w:id="26"/>
    <w:bookmarkStart w:id="27" w:name="statistical-analysis"/>
    <w:p>
      <w:pPr>
        <w:pStyle w:val="Heading2"/>
      </w:pPr>
      <w:r>
        <w:t xml:space="preserve">Statistical Analysis</w:t>
      </w:r>
    </w:p>
    <w:p>
      <w:pPr>
        <w:pStyle w:val="FirstParagraph"/>
      </w:pPr>
      <w:r>
        <w:t xml:space="preserve">All metrics are point estimates on held-out test sets. Bootstrap confidence intervals (95%, 1000 resamples, random_state = 42) were computed for AUROC and ECE on both cohorts. No hypothesis tests were run; the study is descriptive and evaluative.</w:t>
      </w:r>
    </w:p>
    <w:bookmarkEnd w:id="27"/>
    <w:bookmarkEnd w:id="28"/>
    <w:bookmarkStart w:id="41" w:name="results"/>
    <w:p>
      <w:pPr>
        <w:pStyle w:val="Heading1"/>
      </w:pPr>
      <w:r>
        <w:t xml:space="preserve">Results</w:t>
      </w:r>
    </w:p>
    <w:bookmarkStart w:id="29" w:name="cohort-characteristics"/>
    <w:p>
      <w:pPr>
        <w:pStyle w:val="Heading2"/>
      </w:pPr>
      <w:r>
        <w:t xml:space="preserve">Cohort Characteristics</w:t>
      </w:r>
    </w:p>
    <w:p>
      <w:pPr>
        <w:pStyle w:val="FirstParagraph"/>
      </w:pPr>
      <w:r>
        <w:t xml:space="preserve">The UCI dataset included 400 patients, mean age 51.6 years (SD 17.0), CKD prevalence 62.5% (</w:t>
      </w:r>
      <m:oMath>
        <m:r>
          <m:t>n</m:t>
        </m:r>
      </m:oMath>
      <w:r>
        <w:t xml:space="preserve"> = 250). Fourteen continuous and 10 binary categorical features were present. Preprocessing left zero missing values. The 70/15/15 split produced 279 training, 60 validation, and 61 test patients, each fold within one percentage point of the overall CKD prevalence.</w:t>
      </w:r>
    </w:p>
    <w:p>
      <w:pPr>
        <w:pStyle w:val="BodyText"/>
      </w:pPr>
      <w:r>
        <w:t xml:space="preserve">The MIMIC-IV external cohort had 97 patients, mean age 61.7 years (SD 16.3). CKD prevalence was 23.7% (</w:t>
      </w:r>
      <m:oMath>
        <m:r>
          <m:t>n</m:t>
        </m:r>
      </m:oMath>
      <w:r>
        <w:t xml:space="preserve"> = 23), reflecting a general hospital population rather than a nephrology referral center. Seven of the 24 model features were absent from MIMIC and were imputed with UCI training-set statistics. Blood pressure was recovered for 94 of 97 patients through a combination of ICU chartevents and outpatient records.</w:t>
      </w:r>
    </w:p>
    <w:bookmarkEnd w:id="29"/>
    <w:bookmarkStart w:id="31" w:name="baseline-discrimination"/>
    <w:p>
      <w:pPr>
        <w:pStyle w:val="Heading2"/>
      </w:pPr>
      <w:r>
        <w:t xml:space="preserve">Baseline Discrimination</w:t>
      </w:r>
    </w:p>
    <w:p>
      <w:pPr>
        <w:pStyle w:val="FirstParagraph"/>
      </w:pPr>
      <w:r>
        <w:t xml:space="preserve">All five models reached AUROC 1.00 on the UCI test set (Table </w:t>
      </w:r>
      <w:hyperlink w:anchor="tab:t1">
        <w:r>
          <w:rPr>
            <w:rStyle w:val="Hyperlink"/>
          </w:rPr>
          <w:t xml:space="preserve">1</w:t>
        </w:r>
      </w:hyperlink>
      <w:r>
        <w:t xml:space="preserve">). The dataset offers essentially no discrimination challenge once models are fitted. RF and SVM posted perfect F1, accuracy, sensitivity, and specificity. LR lagged on accuracy (0.77) and specificity (0.39), a pattern that points to a miscalibrated intercept pushing most probabilities above the decision threshold. XGB and NB achieved F1 of 0.987. Cross-validation AUROC during tuning was 0.999–1.000 across the board. The UCI benchmark appears saturated.</w:t>
      </w:r>
    </w:p>
    <w:bookmarkStart w:id="30" w:name="tab:t1"/>
    <w:p>
      <w:pPr>
        <w:pStyle w:val="TableCaption"/>
      </w:pPr>
      <w:r>
        <w:t xml:space="preserve">Baseline discrimination on the UCI test set (</w:t>
      </w:r>
      <m:oMath>
        <m:r>
          <m:t>n</m:t>
        </m:r>
      </m:oMath>
      <w:r>
        <w:t xml:space="preserve"> = 61). All five models achieve AUROC 1.00. LR specificity of 0.391 reflects a miscalibrated decision boundary rather than poor discrimination.</w:t>
      </w:r>
    </w:p>
    <w:tbl>
      <w:tblPr>
        <w:tblStyle w:val="Table"/>
        <w:tblW w:type="auto" w:w="0"/>
        <w:tblLook w:firstRow="1" w:lastRow="0" w:firstColumn="0" w:lastColumn="0" w:noHBand="0" w:noVBand="0" w:val="0020"/>
        <w:tblCaption w:val="Baseline discrimination on the UCI test set (n = 61). All five models achieve AUROC 1.00. LR specificity of 0.391 reflects a miscalibrated decision boundary rather than poor discrimination."/>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center"/>
            </w:pPr>
            <w:r>
              <w:t xml:space="preserve">AUROC</w:t>
            </w:r>
          </w:p>
        </w:tc>
        <w:tc>
          <w:tcPr/>
          <w:p>
            <w:pPr>
              <w:pStyle w:val="Compact"/>
              <w:jc w:val="center"/>
            </w:pPr>
            <w:r>
              <w:t xml:space="preserve">AUPRC</w:t>
            </w:r>
          </w:p>
        </w:tc>
        <w:tc>
          <w:tcPr/>
          <w:p>
            <w:pPr>
              <w:pStyle w:val="Compact"/>
              <w:jc w:val="center"/>
            </w:pPr>
            <w:r>
              <w:t xml:space="preserve">F1</w:t>
            </w:r>
          </w:p>
        </w:tc>
        <w:tc>
          <w:tcPr/>
          <w:p>
            <w:pPr>
              <w:pStyle w:val="Compact"/>
              <w:jc w:val="center"/>
            </w:pPr>
            <w:r>
              <w:t xml:space="preserve">Accuracy</w:t>
            </w:r>
          </w:p>
        </w:tc>
        <w:tc>
          <w:tcPr/>
          <w:p>
            <w:pPr>
              <w:pStyle w:val="Compact"/>
              <w:jc w:val="center"/>
            </w:pPr>
            <w:r>
              <w:t xml:space="preserve">Sensitivity</w:t>
            </w:r>
          </w:p>
        </w:tc>
        <w:tc>
          <w:tcPr/>
          <w:p>
            <w:pPr>
              <w:pStyle w:val="Compact"/>
              <w:jc w:val="center"/>
            </w:pPr>
            <w:r>
              <w:t xml:space="preserve">Specificity</w:t>
            </w:r>
          </w:p>
        </w:tc>
      </w:tr>
      <w:tr>
        <w:tc>
          <w:tcPr/>
          <w:p>
            <w:pPr>
              <w:pStyle w:val="Compact"/>
              <w:jc w:val="left"/>
            </w:pPr>
            <w:r>
              <w:t xml:space="preserve">LR</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0.844</w:t>
            </w:r>
          </w:p>
        </w:tc>
        <w:tc>
          <w:tcPr/>
          <w:p>
            <w:pPr>
              <w:pStyle w:val="Compact"/>
              <w:jc w:val="center"/>
            </w:pPr>
            <w:r>
              <w:t xml:space="preserve">0.770</w:t>
            </w:r>
          </w:p>
        </w:tc>
        <w:tc>
          <w:tcPr/>
          <w:p>
            <w:pPr>
              <w:pStyle w:val="Compact"/>
              <w:jc w:val="center"/>
            </w:pPr>
            <w:r>
              <w:t xml:space="preserve">1.000</w:t>
            </w:r>
          </w:p>
        </w:tc>
        <w:tc>
          <w:tcPr/>
          <w:p>
            <w:pPr>
              <w:pStyle w:val="Compact"/>
              <w:jc w:val="center"/>
            </w:pPr>
            <w:r>
              <w:t xml:space="preserve">0.391</w:t>
            </w:r>
          </w:p>
        </w:tc>
      </w:tr>
      <w:tr>
        <w:tc>
          <w:tcPr/>
          <w:p>
            <w:pPr>
              <w:pStyle w:val="Compact"/>
              <w:jc w:val="left"/>
            </w:pPr>
            <w:r>
              <w:t xml:space="preserve">RF</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XGB</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0.987</w:t>
            </w:r>
          </w:p>
        </w:tc>
        <w:tc>
          <w:tcPr/>
          <w:p>
            <w:pPr>
              <w:pStyle w:val="Compact"/>
              <w:jc w:val="center"/>
            </w:pPr>
            <w:r>
              <w:t xml:space="preserve">0.984</w:t>
            </w:r>
          </w:p>
        </w:tc>
        <w:tc>
          <w:tcPr/>
          <w:p>
            <w:pPr>
              <w:pStyle w:val="Compact"/>
              <w:jc w:val="center"/>
            </w:pPr>
            <w:r>
              <w:t xml:space="preserve">0.974</w:t>
            </w:r>
          </w:p>
        </w:tc>
        <w:tc>
          <w:tcPr/>
          <w:p>
            <w:pPr>
              <w:pStyle w:val="Compact"/>
              <w:jc w:val="center"/>
            </w:pPr>
            <w:r>
              <w:t xml:space="preserve">1.000</w:t>
            </w:r>
          </w:p>
        </w:tc>
      </w:tr>
      <w:tr>
        <w:tc>
          <w:tcPr/>
          <w:p>
            <w:pPr>
              <w:pStyle w:val="Compact"/>
              <w:jc w:val="left"/>
            </w:pPr>
            <w:r>
              <w:t xml:space="preserve">SVM</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NB</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0.987</w:t>
            </w:r>
          </w:p>
        </w:tc>
        <w:tc>
          <w:tcPr/>
          <w:p>
            <w:pPr>
              <w:pStyle w:val="Compact"/>
              <w:jc w:val="center"/>
            </w:pPr>
            <w:r>
              <w:t xml:space="preserve">0.984</w:t>
            </w:r>
          </w:p>
        </w:tc>
        <w:tc>
          <w:tcPr/>
          <w:p>
            <w:pPr>
              <w:pStyle w:val="Compact"/>
              <w:jc w:val="center"/>
            </w:pPr>
            <w:r>
              <w:t xml:space="preserve">0.974</w:t>
            </w:r>
          </w:p>
        </w:tc>
        <w:tc>
          <w:tcPr/>
          <w:p>
            <w:pPr>
              <w:pStyle w:val="Compact"/>
              <w:jc w:val="center"/>
            </w:pPr>
            <w:r>
              <w:t xml:space="preserve">1.000</w:t>
            </w:r>
          </w:p>
        </w:tc>
      </w:tr>
    </w:tbl>
    <w:bookmarkEnd w:id="30"/>
    <w:bookmarkEnd w:id="31"/>
    <w:bookmarkStart w:id="32" w:name="pre-calibration-assessment"/>
    <w:p>
      <w:pPr>
        <w:pStyle w:val="Heading2"/>
      </w:pPr>
      <w:r>
        <w:t xml:space="preserve">Pre-Calibration Assessment</w:t>
      </w:r>
    </w:p>
    <w:p>
      <w:pPr>
        <w:pStyle w:val="FirstParagraph"/>
      </w:pPr>
      <w:r>
        <w:t xml:space="preserve">Before any post-hoc correction, calibration varied widely. LR was the weakest: ECE 0.263, MCE 0.483, Brier Score 0.164, Brier Skill Score 0.295. XGB was the strongest, with ECE 0.031, Brier Score 0.005, and a Brier Skill Score of 0.977. RF, SVM, and NB fell in between with ECE values of 0.053, 0.042, and 0.050. Reliability diagrams confirmed LR’s systematic bias: underestimation at low predicted values, overestimation at the high end. XGB and SVM stayed close to the diagonal throughout (Figure </w:t>
      </w:r>
      <w:hyperlink w:anchor="fig:f1">
        <w:r>
          <w:rPr>
            <w:rStyle w:val="Hyperlink"/>
          </w:rPr>
          <w:t xml:space="preserve">[fig:f1]</w:t>
        </w:r>
      </w:hyperlink>
      <w:r>
        <w:t xml:space="preserve">).</w:t>
      </w:r>
    </w:p>
    <w:p>
      <w:pPr>
        <w:pStyle w:val="BodyText"/>
      </w:pPr>
      <w:r>
        <w:t xml:space="preserve">LR</w:t>
      </w:r>
    </w:p>
    <w:p>
      <w:pPr>
        <w:pStyle w:val="BodyText"/>
      </w:pPr>
      <w:r>
        <w:t xml:space="preserve">RF</w:t>
      </w:r>
    </w:p>
    <w:p>
      <w:pPr>
        <w:pStyle w:val="BodyText"/>
      </w:pPr>
      <w:r>
        <w:t xml:space="preserve">XGB</w:t>
      </w:r>
    </w:p>
    <w:p>
      <w:pPr>
        <w:pStyle w:val="BodyText"/>
      </w:pPr>
      <w:r>
        <w:t xml:space="preserve">SVM</w:t>
      </w:r>
    </w:p>
    <w:p>
      <w:pPr>
        <w:pStyle w:val="BodyText"/>
      </w:pPr>
      <w:r>
        <w:t xml:space="preserve">NB</w:t>
      </w:r>
    </w:p>
    <w:bookmarkEnd w:id="32"/>
    <w:bookmarkStart w:id="33" w:name="post-calibration-results"/>
    <w:p>
      <w:pPr>
        <w:pStyle w:val="Heading2"/>
      </w:pPr>
      <w:r>
        <w:t xml:space="preserve">Post-Calibration Results</w:t>
      </w:r>
    </w:p>
    <w:p>
      <w:pPr>
        <w:pStyle w:val="FirstParagraph"/>
      </w:pPr>
      <w:r>
        <w:t xml:space="preserve">Isotonic regression cut ECE across the full model suite (Table </w:t>
      </w:r>
      <w:hyperlink w:anchor="tab:t2">
        <w:r>
          <w:rPr>
            <w:rStyle w:val="Hyperlink"/>
          </w:rPr>
          <w:t xml:space="preserve">2</w:t>
        </w:r>
      </w:hyperlink>
      <w:r>
        <w:t xml:space="preserve">). LR dropped from 0.345 to 0.022 (95% CI: 0.002, 0.050), a reduction of 0.323. RF reached ECE 0.000. XGB went from 0.019 to 0.007 (95% CI: 0.000, 0.021). SVM improved from 0.031 to 0.015 (95% CI: 0.000, 0.037). For NB, the uncalibrated model (ECE 0.016, 95% CI: 0.000, 0.049) outperformed both post-hoc variants, so it was selected as NB’s best model. Platt scaling produced inconsistent results: it helped LR but raised SVM’s ECE from 0.031 to 0.307, likely because the SVM’s decision scores and true probabilities do not have a monotone relationship on this dataset.</w:t>
      </w:r>
    </w:p>
    <w:bookmarkEnd w:id="33"/>
    <w:bookmarkStart w:id="35" w:name="external-calibration-on-mimic-iv"/>
    <w:p>
      <w:pPr>
        <w:pStyle w:val="Heading2"/>
      </w:pPr>
      <w:r>
        <w:t xml:space="preserve">External Calibration on MIMIC-IV</w:t>
      </w:r>
    </w:p>
    <w:p>
      <w:pPr>
        <w:pStyle w:val="FirstParagraph"/>
      </w:pPr>
      <w:r>
        <w:t xml:space="preserve">Applying the best-calibrated variant of each model to MIMIC produced a sharp deterioration across every metric (Table </w:t>
      </w:r>
      <w:hyperlink w:anchor="tab:t2">
        <w:r>
          <w:rPr>
            <w:rStyle w:val="Hyperlink"/>
          </w:rPr>
          <w:t xml:space="preserve">2</w:t>
        </w:r>
      </w:hyperlink>
      <w:r>
        <w:t xml:space="preserve">, Figure </w:t>
      </w:r>
      <w:hyperlink w:anchor="fig:f2">
        <w:r>
          <w:rPr>
            <w:rStyle w:val="Hyperlink"/>
          </w:rPr>
          <w:t xml:space="preserve">[fig:f2]</w:t>
        </w:r>
      </w:hyperlink>
      <w:r>
        <w:t xml:space="preserve">). AUROC fell to 0.485 (LR), 0.507 (RF), 0.579 (XGB), 0.483 (SVM), and 0.477 (NB). Every value is near or below chance. ECE reached 0.761 for LR (95% CI: 0.673, 0.844), 0.753 for RF (95% CI: 0.660, 0.835), 0.680 for XGB (95% CI: 0.594, 0.777), 0.755 for SVM (95% CI: 0.667, 0.837), and 0.753 for NB (95% CI: 0.660, 0.835). Calibration drift ranged from 0.673 (XGB) to 0.753 (RF), far above the 0.05 threshold. XGB was the least poor performer on both AUROC and ECE.</w:t>
      </w:r>
    </w:p>
    <w:bookmarkStart w:id="34" w:name="tab:t2"/>
    <w:p>
      <w:pPr>
        <w:pStyle w:val="TableCaption"/>
      </w:pPr>
      <w:r>
        <w:t xml:space="preserve">Calibration summary for all five classifiers. Best variant selected by lowest ECE on the UCI test set. Bootstrap 95% CIs in brackets. Calibration drift = MIMIC ECE</w:t>
      </w:r>
      <w:r>
        <w:t xml:space="preserve"> </w:t>
      </w:r>
      <m:oMath>
        <m:r>
          <m:rPr>
            <m:sty m:val="p"/>
          </m:rPr>
          <m:t>−</m:t>
        </m:r>
      </m:oMath>
      <w:r>
        <w:t xml:space="preserve"> </w:t>
      </w:r>
      <w:r>
        <w:t xml:space="preserve">UCI ECE.</w:t>
      </w:r>
    </w:p>
    <w:tbl>
      <w:tblPr>
        <w:tblStyle w:val="Table"/>
        <w:tblW w:type="auto" w:w="0"/>
        <w:tblLook w:firstRow="0" w:lastRow="0" w:firstColumn="0" w:lastColumn="0" w:noHBand="0" w:noVBand="0" w:val="0000"/>
        <w:tblCaption w:val="Calibration summary for all five classifiers. Best variant selected by lowest ECE on the UCI test set. Bootstrap 95% CIs in brackets. Calibration drift = MIMIC ECE - UCI ECE."/>
      </w:tblPr>
      <w:tblGrid>
        <w:gridCol w:w="1320"/>
        <w:gridCol w:w="1320"/>
        <w:gridCol w:w="1320"/>
        <w:gridCol w:w="1320"/>
        <w:gridCol w:w="1320"/>
        <w:gridCol w:w="1320"/>
      </w:tblGrid>
      <w:tr>
        <w:tc>
          <w:tcPr/>
          <w:p>
            <w:pPr>
              <w:pStyle w:val="Compact"/>
            </w:pPr>
          </w:p>
        </w:tc>
        <w:tc>
          <w:tcPr/>
          <w:p>
            <w:pPr>
              <w:pStyle w:val="Compact"/>
            </w:pPr>
          </w:p>
        </w:tc>
        <w:tc>
          <w:tcPr>
            <w:gridSpan w:val="2"/>
          </w:tcPr>
          <w:p>
            <w:pPr>
              <w:pStyle w:val="Compact"/>
              <w:jc w:val="center"/>
            </w:pPr>
            <w:r>
              <w:t xml:space="preserve">UCI Test Set</w:t>
            </w:r>
          </w:p>
        </w:tc>
        <w:tc>
          <w:tcPr>
            <w:gridSpan w:val="2"/>
          </w:tcPr>
          <w:p>
            <w:pPr>
              <w:pStyle w:val="Compact"/>
              <w:jc w:val="center"/>
            </w:pPr>
            <w:r>
              <w:t xml:space="preserve">MIMIC-IV</w:t>
            </w:r>
          </w:p>
        </w:tc>
      </w:tr>
      <w:tr>
        <w:tc>
          <w:tcPr/>
          <w:p>
            <w:pPr>
              <w:pStyle w:val="Compact"/>
              <w:jc w:val="left"/>
            </w:pPr>
            <w:r>
              <w:t xml:space="preserve">(lr)</w:t>
            </w:r>
            <w:r>
              <w:t xml:space="preserve">3-4</w:t>
            </w:r>
            <w:r>
              <w:t xml:space="preserve"> </w:t>
            </w:r>
            <w:r>
              <w:t xml:space="preserve">(lr)</w:t>
            </w:r>
            <w:r>
              <w:t xml:space="preserve">5-6</w:t>
            </w:r>
            <w:r>
              <w:t xml:space="preserve"> </w:t>
            </w:r>
            <w:r>
              <w:t xml:space="preserve">Model</w:t>
            </w:r>
          </w:p>
        </w:tc>
        <w:tc>
          <w:tcPr/>
          <w:p>
            <w:pPr>
              <w:pStyle w:val="Compact"/>
              <w:jc w:val="left"/>
            </w:pPr>
            <w:r>
              <w:t xml:space="preserve">Variant</w:t>
            </w:r>
          </w:p>
        </w:tc>
        <w:tc>
          <w:tcPr/>
          <w:p>
            <w:pPr>
              <w:pStyle w:val="Compact"/>
              <w:jc w:val="center"/>
            </w:pPr>
            <w:r>
              <w:t xml:space="preserve">ECE [95% CI]</w:t>
            </w:r>
          </w:p>
        </w:tc>
        <w:tc>
          <w:tcPr/>
          <w:p>
            <w:pPr>
              <w:pStyle w:val="Compact"/>
              <w:jc w:val="center"/>
            </w:pPr>
            <w:r>
              <w:t xml:space="preserve">AUROC</w:t>
            </w:r>
          </w:p>
        </w:tc>
        <w:tc>
          <w:tcPr/>
          <w:p>
            <w:pPr>
              <w:pStyle w:val="Compact"/>
              <w:jc w:val="center"/>
            </w:pPr>
            <w:r>
              <w:t xml:space="preserve">ECE [95% CI]</w:t>
            </w:r>
          </w:p>
        </w:tc>
        <w:tc>
          <w:tcPr/>
          <w:p>
            <w:pPr>
              <w:pStyle w:val="Compact"/>
              <w:jc w:val="center"/>
            </w:pPr>
            <w:r>
              <w:t xml:space="preserve">AUROC</w:t>
            </w:r>
          </w:p>
        </w:tc>
      </w:tr>
      <w:tr>
        <w:tc>
          <w:tcPr/>
          <w:p>
            <w:pPr>
              <w:pStyle w:val="Compact"/>
              <w:jc w:val="left"/>
            </w:pPr>
            <w:r>
              <w:t xml:space="preserve">LR</w:t>
            </w:r>
          </w:p>
        </w:tc>
        <w:tc>
          <w:tcPr/>
          <w:p>
            <w:pPr>
              <w:pStyle w:val="Compact"/>
              <w:jc w:val="left"/>
            </w:pPr>
            <w:r>
              <w:t xml:space="preserve">Isotonic</w:t>
            </w:r>
          </w:p>
        </w:tc>
        <w:tc>
          <w:tcPr/>
          <w:p>
            <w:pPr>
              <w:pStyle w:val="Compact"/>
              <w:jc w:val="center"/>
            </w:pPr>
            <w:r>
              <w:t xml:space="preserve">0.022 [0.002, 0.050]</w:t>
            </w:r>
          </w:p>
        </w:tc>
        <w:tc>
          <w:tcPr/>
          <w:p>
            <w:pPr>
              <w:pStyle w:val="Compact"/>
              <w:jc w:val="center"/>
            </w:pPr>
            <w:r>
              <w:t xml:space="preserve">1.000</w:t>
            </w:r>
          </w:p>
        </w:tc>
        <w:tc>
          <w:tcPr/>
          <w:p>
            <w:pPr>
              <w:pStyle w:val="Compact"/>
              <w:jc w:val="center"/>
            </w:pPr>
            <w:r>
              <w:t xml:space="preserve">0.761 [0.673, 0.844]</w:t>
            </w:r>
          </w:p>
        </w:tc>
        <w:tc>
          <w:tcPr/>
          <w:p>
            <w:pPr>
              <w:pStyle w:val="Compact"/>
              <w:jc w:val="center"/>
            </w:pPr>
            <w:r>
              <w:t xml:space="preserve">0.485</w:t>
            </w:r>
          </w:p>
        </w:tc>
      </w:tr>
      <w:tr>
        <w:tc>
          <w:tcPr/>
          <w:p>
            <w:pPr>
              <w:pStyle w:val="Compact"/>
              <w:jc w:val="left"/>
            </w:pPr>
            <w:r>
              <w:t xml:space="preserve">RF</w:t>
            </w:r>
          </w:p>
        </w:tc>
        <w:tc>
          <w:tcPr/>
          <w:p>
            <w:pPr>
              <w:pStyle w:val="Compact"/>
              <w:jc w:val="left"/>
            </w:pPr>
            <w:r>
              <w:t xml:space="preserve">Isotonic</w:t>
            </w:r>
          </w:p>
        </w:tc>
        <w:tc>
          <w:tcPr/>
          <w:p>
            <w:pPr>
              <w:pStyle w:val="Compact"/>
              <w:jc w:val="center"/>
            </w:pPr>
            <w:r>
              <w:t xml:space="preserve">0.000 [0.000, 0.000]</w:t>
            </w:r>
          </w:p>
        </w:tc>
        <w:tc>
          <w:tcPr/>
          <w:p>
            <w:pPr>
              <w:pStyle w:val="Compact"/>
              <w:jc w:val="center"/>
            </w:pPr>
            <w:r>
              <w:t xml:space="preserve">1.000</w:t>
            </w:r>
          </w:p>
        </w:tc>
        <w:tc>
          <w:tcPr/>
          <w:p>
            <w:pPr>
              <w:pStyle w:val="Compact"/>
              <w:jc w:val="center"/>
            </w:pPr>
            <w:r>
              <w:t xml:space="preserve">0.753 [0.660, 0.835]</w:t>
            </w:r>
          </w:p>
        </w:tc>
        <w:tc>
          <w:tcPr/>
          <w:p>
            <w:pPr>
              <w:pStyle w:val="Compact"/>
              <w:jc w:val="center"/>
            </w:pPr>
            <w:r>
              <w:t xml:space="preserve">0.507</w:t>
            </w:r>
          </w:p>
        </w:tc>
      </w:tr>
      <w:tr>
        <w:tc>
          <w:tcPr/>
          <w:p>
            <w:pPr>
              <w:pStyle w:val="Compact"/>
              <w:jc w:val="left"/>
            </w:pPr>
            <w:r>
              <w:t xml:space="preserve">XGB</w:t>
            </w:r>
          </w:p>
        </w:tc>
        <w:tc>
          <w:tcPr/>
          <w:p>
            <w:pPr>
              <w:pStyle w:val="Compact"/>
              <w:jc w:val="left"/>
            </w:pPr>
            <w:r>
              <w:t xml:space="preserve">Isotonic</w:t>
            </w:r>
          </w:p>
        </w:tc>
        <w:tc>
          <w:tcPr/>
          <w:p>
            <w:pPr>
              <w:pStyle w:val="Compact"/>
              <w:jc w:val="center"/>
            </w:pPr>
            <w:r>
              <w:t xml:space="preserve">0.007 [0.000, 0.021]</w:t>
            </w:r>
          </w:p>
        </w:tc>
        <w:tc>
          <w:tcPr/>
          <w:p>
            <w:pPr>
              <w:pStyle w:val="Compact"/>
              <w:jc w:val="center"/>
            </w:pPr>
            <w:r>
              <w:t xml:space="preserve">1.000</w:t>
            </w:r>
          </w:p>
        </w:tc>
        <w:tc>
          <w:tcPr/>
          <w:p>
            <w:pPr>
              <w:pStyle w:val="Compact"/>
              <w:jc w:val="center"/>
            </w:pPr>
            <w:r>
              <w:t xml:space="preserve">0.680 [0.594, 0.777]</w:t>
            </w:r>
          </w:p>
        </w:tc>
        <w:tc>
          <w:tcPr/>
          <w:p>
            <w:pPr>
              <w:pStyle w:val="Compact"/>
              <w:jc w:val="center"/>
            </w:pPr>
            <w:r>
              <w:t xml:space="preserve">0.579</w:t>
            </w:r>
          </w:p>
        </w:tc>
      </w:tr>
      <w:tr>
        <w:tc>
          <w:tcPr/>
          <w:p>
            <w:pPr>
              <w:pStyle w:val="Compact"/>
              <w:jc w:val="left"/>
            </w:pPr>
            <w:r>
              <w:t xml:space="preserve">SVM</w:t>
            </w:r>
          </w:p>
        </w:tc>
        <w:tc>
          <w:tcPr/>
          <w:p>
            <w:pPr>
              <w:pStyle w:val="Compact"/>
              <w:jc w:val="left"/>
            </w:pPr>
            <w:r>
              <w:t xml:space="preserve">Isotonic</w:t>
            </w:r>
          </w:p>
        </w:tc>
        <w:tc>
          <w:tcPr/>
          <w:p>
            <w:pPr>
              <w:pStyle w:val="Compact"/>
              <w:jc w:val="center"/>
            </w:pPr>
            <w:r>
              <w:t xml:space="preserve">0.015 [0.000, 0.037]</w:t>
            </w:r>
          </w:p>
        </w:tc>
        <w:tc>
          <w:tcPr/>
          <w:p>
            <w:pPr>
              <w:pStyle w:val="Compact"/>
              <w:jc w:val="center"/>
            </w:pPr>
            <w:r>
              <w:t xml:space="preserve">1.000</w:t>
            </w:r>
          </w:p>
        </w:tc>
        <w:tc>
          <w:tcPr/>
          <w:p>
            <w:pPr>
              <w:pStyle w:val="Compact"/>
              <w:jc w:val="center"/>
            </w:pPr>
            <w:r>
              <w:t xml:space="preserve">0.755 [0.667, 0.837]</w:t>
            </w:r>
          </w:p>
        </w:tc>
        <w:tc>
          <w:tcPr/>
          <w:p>
            <w:pPr>
              <w:pStyle w:val="Compact"/>
              <w:jc w:val="center"/>
            </w:pPr>
            <w:r>
              <w:t xml:space="preserve">0.483</w:t>
            </w:r>
          </w:p>
        </w:tc>
      </w:tr>
      <w:tr>
        <w:tc>
          <w:tcPr/>
          <w:p>
            <w:pPr>
              <w:pStyle w:val="Compact"/>
              <w:jc w:val="left"/>
            </w:pPr>
            <w:r>
              <w:t xml:space="preserve">NB</w:t>
            </w:r>
          </w:p>
        </w:tc>
        <w:tc>
          <w:tcPr/>
          <w:p>
            <w:pPr>
              <w:pStyle w:val="Compact"/>
              <w:jc w:val="left"/>
            </w:pPr>
            <w:r>
              <w:t xml:space="preserve">Base</w:t>
            </w:r>
          </w:p>
        </w:tc>
        <w:tc>
          <w:tcPr/>
          <w:p>
            <w:pPr>
              <w:pStyle w:val="Compact"/>
              <w:jc w:val="center"/>
            </w:pPr>
            <w:r>
              <w:t xml:space="preserve">0.016 [0.000, 0.049]</w:t>
            </w:r>
          </w:p>
        </w:tc>
        <w:tc>
          <w:tcPr/>
          <w:p>
            <w:pPr>
              <w:pStyle w:val="Compact"/>
              <w:jc w:val="center"/>
            </w:pPr>
            <w:r>
              <w:t xml:space="preserve">1.000</w:t>
            </w:r>
          </w:p>
        </w:tc>
        <w:tc>
          <w:tcPr/>
          <w:p>
            <w:pPr>
              <w:pStyle w:val="Compact"/>
              <w:jc w:val="center"/>
            </w:pPr>
            <w:r>
              <w:t xml:space="preserve">0.753 [0.660, 0.835]</w:t>
            </w:r>
          </w:p>
        </w:tc>
        <w:tc>
          <w:tcPr/>
          <w:p>
            <w:pPr>
              <w:pStyle w:val="Compact"/>
              <w:jc w:val="center"/>
            </w:pPr>
            <w:r>
              <w:t xml:space="preserve">0.477</w:t>
            </w:r>
          </w:p>
        </w:tc>
      </w:tr>
      <w:tr>
        <w:tc>
          <w:tcPr>
            <w:gridSpan w:val="6"/>
          </w:tcPr>
          <w:p>
            <w:pPr>
              <w:pStyle w:val="Compact"/>
              <w:jc w:val="left"/>
            </w:pPr>
            <w:r>
              <w:t xml:space="preserve">Calibration drift (MIMIC ECE</w:t>
            </w:r>
            <w:r>
              <w:t xml:space="preserve"> </w:t>
            </w:r>
            <m:oMath>
              <m:r>
                <m:rPr>
                  <m:sty m:val="p"/>
                </m:rPr>
                <m:t>−</m:t>
              </m:r>
            </m:oMath>
            <w:r>
              <w:t xml:space="preserve"> </w:t>
            </w:r>
            <w:r>
              <w:t xml:space="preserve">UCI ECE): LR 0.739, RF 0.753, XGB 0.673, SVM 0.740, NB 0.736.</w:t>
            </w:r>
          </w:p>
        </w:tc>
      </w:tr>
    </w:tbl>
    <w:bookmarkEnd w:id="34"/>
    <w:p>
      <w:pPr>
        <w:pStyle w:val="BodyText"/>
      </w:pPr>
      <w:r>
        <w:t xml:space="preserve">LR</w:t>
      </w:r>
    </w:p>
    <w:p>
      <w:pPr>
        <w:pStyle w:val="BodyText"/>
      </w:pPr>
      <w:r>
        <w:t xml:space="preserve">RF</w:t>
      </w:r>
    </w:p>
    <w:p>
      <w:pPr>
        <w:pStyle w:val="BodyText"/>
      </w:pPr>
      <w:r>
        <w:t xml:space="preserve">XGB</w:t>
      </w:r>
    </w:p>
    <w:p>
      <w:pPr>
        <w:pStyle w:val="BodyText"/>
      </w:pPr>
      <w:r>
        <w:t xml:space="preserve">SVM</w:t>
      </w:r>
    </w:p>
    <w:p>
      <w:pPr>
        <w:pStyle w:val="BodyText"/>
      </w:pPr>
      <w:r>
        <w:t xml:space="preserve">NB</w:t>
      </w:r>
    </w:p>
    <w:bookmarkEnd w:id="35"/>
    <w:bookmarkStart w:id="37" w:name="conformal-prediction-coverage"/>
    <w:p>
      <w:pPr>
        <w:pStyle w:val="Heading2"/>
      </w:pPr>
      <w:r>
        <w:t xml:space="preserve">Conformal Prediction Coverage</w:t>
      </w:r>
    </w:p>
    <w:p>
      <w:pPr>
        <w:pStyle w:val="FirstParagraph"/>
      </w:pPr>
      <w:r>
        <w:t xml:space="preserve">On the UCI test set, four of five models met the 90% coverage target (Table </w:t>
      </w:r>
      <w:hyperlink w:anchor="tab:t3">
        <w:r>
          <w:rPr>
            <w:rStyle w:val="Hyperlink"/>
          </w:rPr>
          <w:t xml:space="preserve">3</w:t>
        </w:r>
      </w:hyperlink>
      <w:r>
        <w:t xml:space="preserve">, Figure </w:t>
      </w:r>
      <w:hyperlink w:anchor="fig:f3">
        <w:r>
          <w:rPr>
            <w:rStyle w:val="Hyperlink"/>
          </w:rPr>
          <w:t xml:space="preserve">[fig:f3]</w:t>
        </w:r>
      </w:hyperlink>
      <w:r>
        <w:t xml:space="preserve">). NB achieved 0.984 coverage with a singleton rate of 1.00. RF and XGB both reached 0.967 coverage and singleton rates of 0.967. SVM achieved 0.918. LR fell short at 0.803, consistent with its miscalibrated probabilities undermining the conformity scores.</w:t>
      </w:r>
    </w:p>
    <w:p>
      <w:pPr>
        <w:pStyle w:val="BodyText"/>
      </w:pPr>
      <w:r>
        <w:t xml:space="preserve">Coverage collapsed on MIMIC. NB was highest at 0.247; the others ranged from 0.206 to 0.237. All five models fell below 0.30 against a 0.90 target. Coverage drift ranged from 0.566 (LR) to 0.761 (RF). The conformal guarantee holds only when calibration and test data come from the same distribution. These two cohorts are not exchangeable in that sense.</w:t>
      </w:r>
    </w:p>
    <w:bookmarkStart w:id="36" w:name="tab:t3"/>
    <w:p>
      <w:pPr>
        <w:pStyle w:val="TableCaption"/>
      </w:pPr>
      <w:r>
        <w:t xml:space="preserve">Conformal prediction results on the UCI test set and MIMIC-IV external cohort (target coverage 0.90). Coverage drift = UCI coverage</w:t>
      </w:r>
      <w:r>
        <w:t xml:space="preserve"> </w:t>
      </w:r>
      <m:oMath>
        <m:r>
          <m:rPr>
            <m:sty m:val="p"/>
          </m:rPr>
          <m:t>−</m:t>
        </m:r>
      </m:oMath>
      <w:r>
        <w:t xml:space="preserve"> </w:t>
      </w:r>
      <w:r>
        <w:t xml:space="preserve">MIMIC coverage.</w:t>
      </w:r>
    </w:p>
    <w:tbl>
      <w:tblPr>
        <w:tblStyle w:val="Table"/>
        <w:tblW w:type="auto" w:w="0"/>
        <w:tblLook w:firstRow="0" w:lastRow="0" w:firstColumn="0" w:lastColumn="0" w:noHBand="0" w:noVBand="0" w:val="0000"/>
        <w:tblCaption w:val="Conformal prediction results on the UCI test set and MIMIC-IV external cohort (target coverage 0.90). Coverage drift = UCI coverage - MIMIC coverage."/>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UCI Test Set</w:t>
            </w:r>
          </w:p>
        </w:tc>
        <w:tc>
          <w:tcPr>
            <w:gridSpan w:val="3"/>
          </w:tcPr>
          <w:p>
            <w:pPr>
              <w:pStyle w:val="Compact"/>
              <w:jc w:val="center"/>
            </w:pPr>
            <w:r>
              <w:t xml:space="preserve">MIMIC-IV</w:t>
            </w:r>
          </w:p>
        </w:tc>
      </w:tr>
      <w:tr>
        <w:tc>
          <w:tcPr/>
          <w:p>
            <w:pPr>
              <w:pStyle w:val="Compact"/>
              <w:jc w:val="left"/>
            </w:pPr>
            <w:r>
              <w:t xml:space="preserve">(lr)</w:t>
            </w:r>
            <w:r>
              <w:t xml:space="preserve">2-4</w:t>
            </w:r>
            <w:r>
              <w:t xml:space="preserve"> </w:t>
            </w:r>
            <w:r>
              <w:t xml:space="preserve">(lr)</w:t>
            </w:r>
            <w:r>
              <w:t xml:space="preserve">5-7</w:t>
            </w:r>
            <w:r>
              <w:t xml:space="preserve"> </w:t>
            </w:r>
            <w:r>
              <w:t xml:space="preserve">Model</w:t>
            </w:r>
          </w:p>
        </w:tc>
        <w:tc>
          <w:tcPr/>
          <w:p>
            <w:pPr>
              <w:pStyle w:val="Compact"/>
              <w:jc w:val="center"/>
            </w:pPr>
            <w:r>
              <w:t xml:space="preserve">Coverage</w:t>
            </w:r>
          </w:p>
        </w:tc>
        <w:tc>
          <w:tcPr/>
          <w:p>
            <w:pPr>
              <w:pStyle w:val="Compact"/>
              <w:jc w:val="center"/>
            </w:pPr>
            <w:r>
              <w:t xml:space="preserve">Avg Set</w:t>
            </w:r>
          </w:p>
        </w:tc>
        <w:tc>
          <w:tcPr/>
          <w:p>
            <w:pPr>
              <w:pStyle w:val="Compact"/>
              <w:jc w:val="center"/>
            </w:pPr>
            <w:r>
              <w:t xml:space="preserve">Singleton</w:t>
            </w:r>
          </w:p>
        </w:tc>
        <w:tc>
          <w:tcPr/>
          <w:p>
            <w:pPr>
              <w:pStyle w:val="Compact"/>
              <w:jc w:val="center"/>
            </w:pPr>
            <w:r>
              <w:t xml:space="preserve">Coverage</w:t>
            </w:r>
          </w:p>
        </w:tc>
        <w:tc>
          <w:tcPr/>
          <w:p>
            <w:pPr>
              <w:pStyle w:val="Compact"/>
              <w:jc w:val="center"/>
            </w:pPr>
            <w:r>
              <w:t xml:space="preserve">Avg Set</w:t>
            </w:r>
          </w:p>
        </w:tc>
        <w:tc>
          <w:tcPr/>
          <w:p>
            <w:pPr>
              <w:pStyle w:val="Compact"/>
              <w:jc w:val="center"/>
            </w:pPr>
            <w:r>
              <w:t xml:space="preserve">Singleton</w:t>
            </w:r>
          </w:p>
        </w:tc>
      </w:tr>
      <w:tr>
        <w:tc>
          <w:tcPr/>
          <w:p>
            <w:pPr>
              <w:pStyle w:val="Compact"/>
              <w:jc w:val="left"/>
            </w:pPr>
            <w:r>
              <w:t xml:space="preserve">LR</w:t>
            </w:r>
          </w:p>
        </w:tc>
        <w:tc>
          <w:tcPr/>
          <w:p>
            <w:pPr>
              <w:pStyle w:val="Compact"/>
              <w:jc w:val="center"/>
            </w:pPr>
            <w:r>
              <w:t xml:space="preserve">0.803</w:t>
            </w:r>
          </w:p>
        </w:tc>
        <w:tc>
          <w:tcPr/>
          <w:p>
            <w:pPr>
              <w:pStyle w:val="Compact"/>
              <w:jc w:val="center"/>
            </w:pPr>
            <w:r>
              <w:t xml:space="preserve">1.066</w:t>
            </w:r>
          </w:p>
        </w:tc>
        <w:tc>
          <w:tcPr/>
          <w:p>
            <w:pPr>
              <w:pStyle w:val="Compact"/>
              <w:jc w:val="center"/>
            </w:pPr>
            <w:r>
              <w:t xml:space="preserve">0.934</w:t>
            </w:r>
          </w:p>
        </w:tc>
        <w:tc>
          <w:tcPr/>
          <w:p>
            <w:pPr>
              <w:pStyle w:val="Compact"/>
              <w:jc w:val="center"/>
            </w:pPr>
            <w:r>
              <w:t xml:space="preserve">0.237</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RF</w:t>
            </w:r>
          </w:p>
        </w:tc>
        <w:tc>
          <w:tcPr/>
          <w:p>
            <w:pPr>
              <w:pStyle w:val="Compact"/>
              <w:jc w:val="center"/>
            </w:pPr>
            <w:r>
              <w:t xml:space="preserve">0.967</w:t>
            </w:r>
          </w:p>
        </w:tc>
        <w:tc>
          <w:tcPr/>
          <w:p>
            <w:pPr>
              <w:pStyle w:val="Compact"/>
              <w:jc w:val="center"/>
            </w:pPr>
            <w:r>
              <w:t xml:space="preserve">0.967</w:t>
            </w:r>
          </w:p>
        </w:tc>
        <w:tc>
          <w:tcPr/>
          <w:p>
            <w:pPr>
              <w:pStyle w:val="Compact"/>
              <w:jc w:val="center"/>
            </w:pPr>
            <w:r>
              <w:t xml:space="preserve">0.967</w:t>
            </w:r>
          </w:p>
        </w:tc>
        <w:tc>
          <w:tcPr/>
          <w:p>
            <w:pPr>
              <w:pStyle w:val="Compact"/>
              <w:jc w:val="center"/>
            </w:pPr>
            <w:r>
              <w:t xml:space="preserve">0.206</w:t>
            </w:r>
          </w:p>
        </w:tc>
        <w:tc>
          <w:tcPr/>
          <w:p>
            <w:pPr>
              <w:pStyle w:val="Compact"/>
              <w:jc w:val="center"/>
            </w:pPr>
            <w:r>
              <w:t xml:space="preserve">0.804</w:t>
            </w:r>
          </w:p>
        </w:tc>
        <w:tc>
          <w:tcPr/>
          <w:p>
            <w:pPr>
              <w:pStyle w:val="Compact"/>
              <w:jc w:val="center"/>
            </w:pPr>
            <w:r>
              <w:t xml:space="preserve">0.804</w:t>
            </w:r>
          </w:p>
        </w:tc>
      </w:tr>
      <w:tr>
        <w:tc>
          <w:tcPr/>
          <w:p>
            <w:pPr>
              <w:pStyle w:val="Compact"/>
              <w:jc w:val="left"/>
            </w:pPr>
            <w:r>
              <w:t xml:space="preserve">XGB</w:t>
            </w:r>
          </w:p>
        </w:tc>
        <w:tc>
          <w:tcPr/>
          <w:p>
            <w:pPr>
              <w:pStyle w:val="Compact"/>
              <w:jc w:val="center"/>
            </w:pPr>
            <w:r>
              <w:t xml:space="preserve">0.967</w:t>
            </w:r>
          </w:p>
        </w:tc>
        <w:tc>
          <w:tcPr/>
          <w:p>
            <w:pPr>
              <w:pStyle w:val="Compact"/>
              <w:jc w:val="center"/>
            </w:pPr>
            <w:r>
              <w:t xml:space="preserve">0.967</w:t>
            </w:r>
          </w:p>
        </w:tc>
        <w:tc>
          <w:tcPr/>
          <w:p>
            <w:pPr>
              <w:pStyle w:val="Compact"/>
              <w:jc w:val="center"/>
            </w:pPr>
            <w:r>
              <w:t xml:space="preserve">0.967</w:t>
            </w:r>
          </w:p>
        </w:tc>
        <w:tc>
          <w:tcPr/>
          <w:p>
            <w:pPr>
              <w:pStyle w:val="Compact"/>
              <w:jc w:val="center"/>
            </w:pPr>
            <w:r>
              <w:t xml:space="preserve">0.227</w:t>
            </w:r>
          </w:p>
        </w:tc>
        <w:tc>
          <w:tcPr/>
          <w:p>
            <w:pPr>
              <w:pStyle w:val="Compact"/>
              <w:jc w:val="center"/>
            </w:pPr>
            <w:r>
              <w:t xml:space="preserve">0.474</w:t>
            </w:r>
          </w:p>
        </w:tc>
        <w:tc>
          <w:tcPr/>
          <w:p>
            <w:pPr>
              <w:pStyle w:val="Compact"/>
              <w:jc w:val="center"/>
            </w:pPr>
            <w:r>
              <w:t xml:space="preserve">0.474</w:t>
            </w:r>
          </w:p>
        </w:tc>
      </w:tr>
      <w:tr>
        <w:tc>
          <w:tcPr/>
          <w:p>
            <w:pPr>
              <w:pStyle w:val="Compact"/>
              <w:jc w:val="left"/>
            </w:pPr>
            <w:r>
              <w:t xml:space="preserve">SVM</w:t>
            </w:r>
          </w:p>
        </w:tc>
        <w:tc>
          <w:tcPr/>
          <w:p>
            <w:pPr>
              <w:pStyle w:val="Compact"/>
              <w:jc w:val="center"/>
            </w:pPr>
            <w:r>
              <w:t xml:space="preserve">0.918</w:t>
            </w:r>
          </w:p>
        </w:tc>
        <w:tc>
          <w:tcPr/>
          <w:p>
            <w:pPr>
              <w:pStyle w:val="Compact"/>
              <w:jc w:val="center"/>
            </w:pPr>
            <w:r>
              <w:t xml:space="preserve">0.918</w:t>
            </w:r>
          </w:p>
        </w:tc>
        <w:tc>
          <w:tcPr/>
          <w:p>
            <w:pPr>
              <w:pStyle w:val="Compact"/>
              <w:jc w:val="center"/>
            </w:pPr>
            <w:r>
              <w:t xml:space="preserve">0.918</w:t>
            </w:r>
          </w:p>
        </w:tc>
        <w:tc>
          <w:tcPr/>
          <w:p>
            <w:pPr>
              <w:pStyle w:val="Compact"/>
              <w:jc w:val="center"/>
            </w:pPr>
            <w:r>
              <w:t xml:space="preserve">0.216</w:t>
            </w:r>
          </w:p>
        </w:tc>
        <w:tc>
          <w:tcPr/>
          <w:p>
            <w:pPr>
              <w:pStyle w:val="Compact"/>
              <w:jc w:val="center"/>
            </w:pPr>
            <w:r>
              <w:t xml:space="preserve">0.938</w:t>
            </w:r>
          </w:p>
        </w:tc>
        <w:tc>
          <w:tcPr/>
          <w:p>
            <w:pPr>
              <w:pStyle w:val="Compact"/>
              <w:jc w:val="center"/>
            </w:pPr>
            <w:r>
              <w:t xml:space="preserve">0.938</w:t>
            </w:r>
          </w:p>
        </w:tc>
      </w:tr>
      <w:tr>
        <w:tc>
          <w:tcPr/>
          <w:p>
            <w:pPr>
              <w:pStyle w:val="Compact"/>
              <w:jc w:val="left"/>
            </w:pPr>
            <w:r>
              <w:t xml:space="preserve">NB</w:t>
            </w:r>
          </w:p>
        </w:tc>
        <w:tc>
          <w:tcPr/>
          <w:p>
            <w:pPr>
              <w:pStyle w:val="Compact"/>
              <w:jc w:val="center"/>
            </w:pPr>
            <w:r>
              <w:t xml:space="preserve">0.984</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0.247</w:t>
            </w:r>
          </w:p>
        </w:tc>
        <w:tc>
          <w:tcPr/>
          <w:p>
            <w:pPr>
              <w:pStyle w:val="Compact"/>
              <w:jc w:val="center"/>
            </w:pPr>
            <w:r>
              <w:t xml:space="preserve">0.990</w:t>
            </w:r>
          </w:p>
        </w:tc>
        <w:tc>
          <w:tcPr/>
          <w:p>
            <w:pPr>
              <w:pStyle w:val="Compact"/>
              <w:jc w:val="center"/>
            </w:pPr>
            <w:r>
              <w:t xml:space="preserve">0.990</w:t>
            </w:r>
          </w:p>
        </w:tc>
      </w:tr>
      <w:tr>
        <w:tc>
          <w:tcPr>
            <w:gridSpan w:val="7"/>
          </w:tcPr>
          <w:p>
            <w:pPr>
              <w:pStyle w:val="Compact"/>
              <w:jc w:val="left"/>
            </w:pPr>
            <w:r>
              <w:t xml:space="preserve">Coverage drift: LR 0.566, RF 0.761, XGB 0.740, SVM 0.701, NB 0.736.</w:t>
            </w:r>
          </w:p>
        </w:tc>
      </w:tr>
    </w:tbl>
    <w:bookmarkEnd w:id="36"/>
    <w:p>
      <w:pPr>
        <w:pStyle w:val="BodyText"/>
      </w:pPr>
      <w:r>
        <w:t xml:space="preserve">Prediction set size distribution (UCI test set)</w:t>
      </w:r>
    </w:p>
    <w:p>
      <w:pPr>
        <w:pStyle w:val="BodyText"/>
      </w:pPr>
      <w:r>
        <w:t xml:space="preserve">Individual-level uncertainty display (NB, top 50 patients)</w:t>
      </w:r>
    </w:p>
    <w:bookmarkEnd w:id="37"/>
    <w:bookmarkStart w:id="40" w:name="deployment-readiness-scores"/>
    <w:p>
      <w:pPr>
        <w:pStyle w:val="Heading2"/>
      </w:pPr>
      <w:r>
        <w:t xml:space="preserve">Deployment Readiness Scores</w:t>
      </w:r>
    </w:p>
    <w:p>
      <w:pPr>
        <w:pStyle w:val="FirstParagraph"/>
      </w:pPr>
      <w:r>
        <w:t xml:space="preserve">No model passed the checklist (Table </w:t>
      </w:r>
      <w:hyperlink w:anchor="tab:t4">
        <w:r>
          <w:rPr>
            <w:rStyle w:val="Hyperlink"/>
          </w:rPr>
          <w:t xml:space="preserve">4</w:t>
        </w:r>
      </w:hyperlink>
      <w:r>
        <w:t xml:space="preserve">, Figure </w:t>
      </w:r>
      <w:hyperlink w:anchor="fig:f4">
        <w:r>
          <w:rPr>
            <w:rStyle w:val="Hyperlink"/>
          </w:rPr>
          <w:t xml:space="preserve">1</w:t>
        </w:r>
      </w:hyperlink>
      <w:r>
        <w:t xml:space="preserve">). Scores ran from 2 out of 16 (XGB) to 4 out of 16 (LR, RF, SVM, NB). The only passing criteria were prediction interpretability on UCI (singleton rate above 0.70) and transparency. Every model failed discrimination on MIMIC, calibration adequacy on MIMIC, calibration stability, conformal coverage on MIMIC, coverage stability, and subgroup equity. Subgroup ECE gaps across age strata ranged from 0.148 to 0.209, far above the 0.05 equity threshold. XGB scored lowest (2/16) because its MIMIC singleton rate of 0.474 also failed the interpretability criterion; the other four models passed interpretability on UCI but not on MIMIC.</w:t>
      </w:r>
    </w:p>
    <w:bookmarkStart w:id="38" w:name="tab:t4"/>
    <w:p>
      <w:pPr>
        <w:pStyle w:val="TableCaption"/>
      </w:pPr>
      <w:r>
        <w:t xml:space="preserve">Deployment readiness scores for all five classifiers across eight criteria. P = PASS (2 pts), M = MARGINAL (1 pt), F = FAIL (0 pts). Maximum score is 16.</w:t>
      </w:r>
    </w:p>
    <w:tbl>
      <w:tblPr>
        <w:tblStyle w:val="Table"/>
        <w:tblW w:type="auto" w:w="0"/>
        <w:tblLook w:firstRow="1" w:lastRow="0" w:firstColumn="0" w:lastColumn="0" w:noHBand="0" w:noVBand="0" w:val="0020"/>
        <w:tblCaption w:val="Deployment readiness scores for all five classifiers across eight criteria. P = PASS (2 pts), M = MARGINAL (1 pt), F = FAIL (0 pts). Maximum score is 16."/>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Model</w:t>
            </w:r>
          </w:p>
        </w:tc>
        <w:tc>
          <w:tcPr/>
          <w:p>
            <w:pPr>
              <w:pStyle w:val="Compact"/>
              <w:jc w:val="center"/>
            </w:pPr>
            <w:r>
              <w:t xml:space="preserve">Variant</w:t>
            </w:r>
          </w:p>
        </w:tc>
        <w:tc>
          <w:tcPr/>
          <w:p>
            <w:pPr>
              <w:pStyle w:val="Compact"/>
              <w:jc w:val="center"/>
            </w:pPr>
            <w:r>
              <w:t xml:space="preserve">C1</w:t>
            </w:r>
          </w:p>
        </w:tc>
        <w:tc>
          <w:tcPr/>
          <w:p>
            <w:pPr>
              <w:pStyle w:val="Compact"/>
              <w:jc w:val="center"/>
            </w:pPr>
            <w:r>
              <w:t xml:space="preserve">C2</w:t>
            </w:r>
          </w:p>
        </w:tc>
        <w:tc>
          <w:tcPr/>
          <w:p>
            <w:pPr>
              <w:pStyle w:val="Compact"/>
              <w:jc w:val="center"/>
            </w:pPr>
            <w:r>
              <w:t xml:space="preserve">C3</w:t>
            </w:r>
          </w:p>
        </w:tc>
        <w:tc>
          <w:tcPr/>
          <w:p>
            <w:pPr>
              <w:pStyle w:val="Compact"/>
              <w:jc w:val="center"/>
            </w:pPr>
            <w:r>
              <w:t xml:space="preserve">C4</w:t>
            </w:r>
          </w:p>
        </w:tc>
        <w:tc>
          <w:tcPr/>
          <w:p>
            <w:pPr>
              <w:pStyle w:val="Compact"/>
              <w:jc w:val="center"/>
            </w:pPr>
            <w:r>
              <w:t xml:space="preserve">C5</w:t>
            </w:r>
          </w:p>
        </w:tc>
        <w:tc>
          <w:tcPr/>
          <w:p>
            <w:pPr>
              <w:pStyle w:val="Compact"/>
              <w:jc w:val="center"/>
            </w:pPr>
            <w:r>
              <w:t xml:space="preserve">C6</w:t>
            </w:r>
          </w:p>
        </w:tc>
        <w:tc>
          <w:tcPr/>
          <w:p>
            <w:pPr>
              <w:pStyle w:val="Compact"/>
              <w:jc w:val="center"/>
            </w:pPr>
            <w:r>
              <w:t xml:space="preserve">C7</w:t>
            </w:r>
          </w:p>
        </w:tc>
        <w:tc>
          <w:tcPr/>
          <w:p>
            <w:pPr>
              <w:pStyle w:val="Compact"/>
              <w:jc w:val="center"/>
            </w:pPr>
            <w:r>
              <w:t xml:space="preserve">C8</w:t>
            </w:r>
          </w:p>
        </w:tc>
        <w:tc>
          <w:tcPr/>
          <w:p>
            <w:pPr>
              <w:pStyle w:val="Compact"/>
              <w:jc w:val="center"/>
            </w:pPr>
            <w:r>
              <w:t xml:space="preserve">Total</w:t>
            </w:r>
          </w:p>
        </w:tc>
      </w:tr>
      <w:tr>
        <w:tc>
          <w:tcPr/>
          <w:p>
            <w:pPr>
              <w:pStyle w:val="Compact"/>
              <w:jc w:val="left"/>
            </w:pPr>
            <w:r>
              <w:t xml:space="preserve">LR</w:t>
            </w:r>
          </w:p>
        </w:tc>
        <w:tc>
          <w:tcPr/>
          <w:p>
            <w:pPr>
              <w:pStyle w:val="Compact"/>
              <w:jc w:val="center"/>
            </w:pPr>
            <w:r>
              <w:t xml:space="preserve">Isotonic</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4/16</w:t>
            </w:r>
          </w:p>
        </w:tc>
      </w:tr>
      <w:tr>
        <w:tc>
          <w:tcPr/>
          <w:p>
            <w:pPr>
              <w:pStyle w:val="Compact"/>
              <w:jc w:val="left"/>
            </w:pPr>
            <w:r>
              <w:t xml:space="preserve">RF</w:t>
            </w:r>
          </w:p>
        </w:tc>
        <w:tc>
          <w:tcPr/>
          <w:p>
            <w:pPr>
              <w:pStyle w:val="Compact"/>
              <w:jc w:val="center"/>
            </w:pPr>
            <w:r>
              <w:t xml:space="preserve">Isotonic</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4/16</w:t>
            </w:r>
          </w:p>
        </w:tc>
      </w:tr>
      <w:tr>
        <w:tc>
          <w:tcPr/>
          <w:p>
            <w:pPr>
              <w:pStyle w:val="Compact"/>
              <w:jc w:val="left"/>
            </w:pPr>
            <w:r>
              <w:t xml:space="preserve">XGB</w:t>
            </w:r>
          </w:p>
        </w:tc>
        <w:tc>
          <w:tcPr/>
          <w:p>
            <w:pPr>
              <w:pStyle w:val="Compact"/>
              <w:jc w:val="center"/>
            </w:pPr>
            <w:r>
              <w:t xml:space="preserve">Isotonic</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2/16</w:t>
            </w:r>
          </w:p>
        </w:tc>
      </w:tr>
      <w:tr>
        <w:tc>
          <w:tcPr/>
          <w:p>
            <w:pPr>
              <w:pStyle w:val="Compact"/>
              <w:jc w:val="left"/>
            </w:pPr>
            <w:r>
              <w:t xml:space="preserve">SVM</w:t>
            </w:r>
          </w:p>
        </w:tc>
        <w:tc>
          <w:tcPr/>
          <w:p>
            <w:pPr>
              <w:pStyle w:val="Compact"/>
              <w:jc w:val="center"/>
            </w:pPr>
            <w:r>
              <w:t xml:space="preserve">Isotonic</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4/16</w:t>
            </w:r>
          </w:p>
        </w:tc>
      </w:tr>
      <w:tr>
        <w:tc>
          <w:tcPr/>
          <w:p>
            <w:pPr>
              <w:pStyle w:val="Compact"/>
              <w:jc w:val="left"/>
            </w:pPr>
            <w:r>
              <w:t xml:space="preserve">NB</w:t>
            </w:r>
          </w:p>
        </w:tc>
        <w:tc>
          <w:tcPr/>
          <w:p>
            <w:pPr>
              <w:pStyle w:val="Compact"/>
              <w:jc w:val="center"/>
            </w:pPr>
            <w:r>
              <w:t xml:space="preserve">Base</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P</w:t>
            </w:r>
          </w:p>
        </w:tc>
        <w:tc>
          <w:tcPr/>
          <w:p>
            <w:pPr>
              <w:pStyle w:val="Compact"/>
              <w:jc w:val="center"/>
            </w:pPr>
            <w:r>
              <w:t xml:space="preserve">4/16</w:t>
            </w:r>
          </w:p>
        </w:tc>
      </w:tr>
      <w:tr>
        <w:tc>
          <w:tcPr>
            <w:gridSpan w:val="11"/>
          </w:tcPr>
          <w:p>
            <w:pPr>
              <w:pStyle w:val="Compact"/>
              <w:jc w:val="left"/>
            </w:pPr>
            <w:r>
              <w:t xml:space="preserve">C1 = Discrimination; C2 = Calibration; C3 = Calib. Stability; C4 = CP Coverage;</w:t>
            </w:r>
          </w:p>
        </w:tc>
      </w:tr>
      <w:tr>
        <w:tc>
          <w:tcPr>
            <w:gridSpan w:val="11"/>
          </w:tcPr>
          <w:p>
            <w:pPr>
              <w:pStyle w:val="Compact"/>
              <w:jc w:val="left"/>
            </w:pPr>
            <w:r>
              <w:t xml:space="preserve">C5 = Coverage Stability; C6 = Interpretability; C7 = Subgroup Equity; C8 = Transparency.</w:t>
            </w:r>
          </w:p>
        </w:tc>
      </w:tr>
    </w:tbl>
    <w:bookmarkEnd w:id="38"/>
    <w:p>
      <w:pPr>
        <w:pStyle w:val="BodyText"/>
      </w:pPr>
      <w:bookmarkStart w:id="39" w:name="fig:f4"/>
      <w:r>
        <w:t xml:space="preserve">Deployment readiness heatmap. Rows are models; columns are the eight criteria. Green = PASS, orange = MARGINAL, red = FAIL. Total scores out of 16 are shown on the right. All models score 2–4 out of 16. The only passing criteria are interpretability (C6) and transparency (C8) for four of five models. All external validation criteria fail across the board.</w:t>
      </w:r>
      <w:bookmarkEnd w:id="39"/>
    </w:p>
    <w:bookmarkEnd w:id="40"/>
    <w:bookmarkEnd w:id="41"/>
    <w:bookmarkStart w:id="48" w:name="discussion"/>
    <w:p>
      <w:pPr>
        <w:pStyle w:val="Heading1"/>
      </w:pPr>
      <w:r>
        <w:t xml:space="preserve">Discussion</w:t>
      </w:r>
    </w:p>
    <w:bookmarkStart w:id="42" w:name="X072f247d9c87130cf674914a0870eb6f9cdbea3"/>
    <w:p>
      <w:pPr>
        <w:pStyle w:val="Heading2"/>
      </w:pPr>
      <w:r>
        <w:t xml:space="preserve">The Gap Between Internal Performance and External Readiness</w:t>
      </w:r>
    </w:p>
    <w:p>
      <w:pPr>
        <w:pStyle w:val="FirstParagraph"/>
      </w:pPr>
      <w:r>
        <w:t xml:space="preserve">Every model in this study achieved AUROC 1.00 on the internal UCI test set. By the standard metrics that dominate published clinical ML literature, all five would be described as performing excellently. When the same models were applied to MIMIC-IV, AUROC fell to values indistinguishable from chance (0.48–0.58), ECE exceeded 0.68 for every model, and conformal coverage dropped from near-target to 0.21–0.25. No model crossed a single external-validation threshold on the deployment checklist.</w:t>
      </w:r>
    </w:p>
    <w:p>
      <w:pPr>
        <w:pStyle w:val="BodyText"/>
      </w:pPr>
      <w:r>
        <w:t xml:space="preserve">That gap is the central finding. It does not reflect poor algorithm design. It reflects something more basic: the UCI CKD dataset, while widely used in classification benchmarks, does not represent the distributional complexity of real clinical data. The UCI cohort was collected from a single referral hospital, carries a 62.5% CKD prevalence, and contains clean clinical measurements that in practice are rarely all available at once. The MIMIC-IV cohort represents a broader hospital population with 23.7% CKD prevalence and seven features completely absent from the routine EHR. Isotonic calibration that achieved ECE 0.000 internally did not survive the shift.</w:t>
      </w:r>
    </w:p>
    <w:p>
      <w:pPr>
        <w:pStyle w:val="BodyText"/>
      </w:pPr>
      <w:r>
        <w:t xml:space="preserve">This pattern is consistent with findings from systematic reviews. Echouffo-Tcheugui and Kengne found that external calibration validation is the exception rather than the norm in the CKD prediction literature </w:t>
      </w:r>
      <w:r>
        <w:t xml:space="preserve">. This study provides a concrete illustration of why that gap matters: a model that looks ready is not ready.</w:t>
      </w:r>
    </w:p>
    <w:bookmarkEnd w:id="42"/>
    <w:bookmarkStart w:id="43" w:name="what-drove-the-external-failure"/>
    <w:p>
      <w:pPr>
        <w:pStyle w:val="Heading2"/>
      </w:pPr>
      <w:r>
        <w:t xml:space="preserve">What Drove the External Failure</w:t>
      </w:r>
    </w:p>
    <w:p>
      <w:pPr>
        <w:pStyle w:val="FirstParagraph"/>
      </w:pPr>
      <w:r>
        <w:t xml:space="preserve">Three factors contributed to the calibration collapse. The first is prevalence shift. A model trained and calibrated on a 62.5% CKD population assigns probabilities near the training prevalence. The MIMIC cohort sits at 23.7% CKD, so those probability estimates are systematically too high, producing calibration curves that fall above the diagonal at every predicted probability level. This is the most direct driver of high MIMIC ECE.</w:t>
      </w:r>
    </w:p>
    <w:p>
      <w:pPr>
        <w:pStyle w:val="BodyText"/>
      </w:pPr>
      <w:r>
        <w:t xml:space="preserve">The second factor is feature missingness. Seven of the 24 features in the UCI schema are not routinely recorded in MIMIC. Urine-specific gravity, urine sugar, pus cells, pus cell clumps, bacteria, appetite, and pedal edema were all imputed using UCI training-set medians and modes. Those imputed values carry no information about individual MIMIC patients. From the model’s perspective, seven features are effectively noise columns on the external cohort.</w:t>
      </w:r>
    </w:p>
    <w:p>
      <w:pPr>
        <w:pStyle w:val="BodyText"/>
      </w:pPr>
      <w:r>
        <w:t xml:space="preserve">The third factor is dataset saturation. AUROC 1.00 on a 61-patient test set, with near-perfect cross-validation scores, signals that the UCI benchmark does not offer a realistic discrimination challenge. The learned decision boundaries are sharp enough to separate every patient in the training domain. Those boundaries do not generalize to a population with a different disease severity distribution and different measurement patterns.</w:t>
      </w:r>
    </w:p>
    <w:p>
      <w:pPr>
        <w:pStyle w:val="BodyText"/>
      </w:pPr>
      <w:r>
        <w:t xml:space="preserve">XGB was the least poor performer externally (AUROC 0.579, ECE 0.680). That small margin appears to reflect gradient boosting’s regularization limiting overfitting to UCI-specific patterns. Even so, the margin is not large enough to change the practical conclusion.</w:t>
      </w:r>
    </w:p>
    <w:bookmarkEnd w:id="43"/>
    <w:bookmarkStart w:id="44" w:name="X3e7097614a1365efd3a9c7d1645aecccc267b84"/>
    <w:p>
      <w:pPr>
        <w:pStyle w:val="Heading2"/>
      </w:pPr>
      <w:r>
        <w:t xml:space="preserve">Conformal Prediction as a Diagnostic Tool</w:t>
      </w:r>
    </w:p>
    <w:p>
      <w:pPr>
        <w:pStyle w:val="FirstParagraph"/>
      </w:pPr>
      <w:r>
        <w:t xml:space="preserve">The conformal coverage collapse offers something calibration numbers alone do not: a direct, interpretable signal of distribution shift. The theoretical guarantee of split conformal prediction holds only when calibration and test data come from the same distribution </w:t>
      </w:r>
      <w:r>
        <w:t xml:space="preserve">. Coverage of 0.22–0.25 on MIMIC, against a 0.90 target, is a quantitative statement that the MIMIC population is not exchangeable with the UCI validation set. A system operator who sees conformal coverage fall from 0.97 to 0.22 gets an immediate signal that the model is operating outside its valid domain.</w:t>
      </w:r>
    </w:p>
    <w:p>
      <w:pPr>
        <w:pStyle w:val="BodyText"/>
      </w:pPr>
      <w:r>
        <w:t xml:space="preserve">That is the practical value of including conformal prediction in a deployment framework, separate from its theoretical properties. It creates a coverage audit trail. High MIMIC singleton rates for LR (1.00) and NB (0.99) might appear to suggest interpretable outputs. They do not: when coverage is only 0.24, a singleton prediction is a confident wrong answer for roughly three quarters of patients. Singleton rate without coverage context is not a useful interpretability metric.</w:t>
      </w:r>
    </w:p>
    <w:bookmarkEnd w:id="44"/>
    <w:bookmarkStart w:id="45" w:name="comparison-to-published-ckd-models"/>
    <w:p>
      <w:pPr>
        <w:pStyle w:val="Heading2"/>
      </w:pPr>
      <w:r>
        <w:t xml:space="preserve">Comparison to Published CKD Models</w:t>
      </w:r>
    </w:p>
    <w:p>
      <w:pPr>
        <w:pStyle w:val="FirstParagraph"/>
      </w:pPr>
      <w:r>
        <w:t xml:space="preserve">The eight externally-validated CKD models identified by Echouffo-Tcheugui and Kengne reported a range of calibration outcomes, but assessment was typically informal, often through visual calibration plots rather than ECE or Brier Score computation </w:t>
      </w:r>
      <w:r>
        <w:t xml:space="preserve">. More recent models, including the KFRE validated by Tangri and colleagues </w:t>
      </w:r>
      <w:r>
        <w:t xml:space="preserve"> </w:t>
      </w:r>
      <w:r>
        <w:t xml:space="preserve">and its UK validation by Major and colleagues </w:t>
      </w:r>
      <w:r>
        <w:t xml:space="preserve">, achieve strong external discrimination (C-statistic 0.80–0.90) in prospective cohort studies with purpose-built feature ascertainment.</w:t>
      </w:r>
    </w:p>
    <w:p>
      <w:pPr>
        <w:pStyle w:val="BodyText"/>
      </w:pPr>
      <w:r>
        <w:t xml:space="preserve">The AUROC values seen on MIMIC in this study (0.48–0.58) are not comparable to those results, because the KFRE and similar models were validated on cohorts where inputs were actually measured. The comparison instead reinforces a narrower point: a model applied to harmonized data with seven imputed features is not the same as a model applied to complete data. Deployment performance depends on what the deployment environment actually records, not on what the training environment provided.</w:t>
      </w:r>
    </w:p>
    <w:bookmarkEnd w:id="45"/>
    <w:bookmarkStart w:id="46" w:name="limitations"/>
    <w:p>
      <w:pPr>
        <w:pStyle w:val="Heading2"/>
      </w:pPr>
      <w:r>
        <w:t xml:space="preserve">Limitations</w:t>
      </w:r>
    </w:p>
    <w:p>
      <w:pPr>
        <w:pStyle w:val="FirstParagraph"/>
      </w:pPr>
      <w:r>
        <w:t xml:space="preserve">The MIMIC external cohort used here is the 100-patient public demonstration subset, not the full MIMIC-IV database. At 97 patients after filtering, calibration metrics carry wide uncertainty. Bootstrap confidence intervals for MIMIC ECE span ranges as large as 0.18 for some models. These results illustrate the analytic framework. They are not definitive estimates of performance in clinical deployment.</w:t>
      </w:r>
    </w:p>
    <w:p>
      <w:pPr>
        <w:pStyle w:val="BodyText"/>
      </w:pPr>
      <w:r>
        <w:t xml:space="preserve">Feature harmonization introduced a form of domain leakage. The seven imputed features were filled using UCI training statistics, so the MIMIC cohort’s representation of those features simply echoes the UCI training population. That is an inherent limitation of cross-dataset harmonization when features are domain-specific, and it worsens external performance in a way that cannot be fully corrected after the fact.</w:t>
      </w:r>
    </w:p>
    <w:p>
      <w:pPr>
        <w:pStyle w:val="BodyText"/>
      </w:pPr>
      <w:r>
        <w:t xml:space="preserve">The UCI dataset comes from a single referral hospital in India. MIMIC-IV reflects a tertiary care academic medical center in Boston. External validation across such different contexts is useful for stress-testing but does not directly estimate performance in any specific deployment environment. Subgroup analysis was also limited: DM and HTN subgroups each fell below the 10-patient threshold, and the age subgroups (below 65:</w:t>
      </w:r>
      <w:r>
        <w:t xml:space="preserve"> </w:t>
      </w:r>
      <m:oMath>
        <m:r>
          <m:t>n</m:t>
        </m:r>
      </m:oMath>
      <w:r>
        <w:t xml:space="preserve"> = 55; 65 and above:</w:t>
      </w:r>
      <w:r>
        <w:t xml:space="preserve"> </w:t>
      </w:r>
      <m:oMath>
        <m:r>
          <m:t>n</m:t>
        </m:r>
      </m:oMath>
      <w:r>
        <w:t xml:space="preserve"> = 42) were small enough that bin-level ECE estimates carry meaningful uncertainty.</w:t>
      </w:r>
    </w:p>
    <w:bookmarkEnd w:id="46"/>
    <w:bookmarkStart w:id="47" w:name="future-directions"/>
    <w:p>
      <w:pPr>
        <w:pStyle w:val="Heading2"/>
      </w:pPr>
      <w:r>
        <w:t xml:space="preserve">Future Directions</w:t>
      </w:r>
    </w:p>
    <w:p>
      <w:pPr>
        <w:pStyle w:val="FirstParagraph"/>
      </w:pPr>
      <w:r>
        <w:t xml:space="preserve">Three areas appear worth pursuing. First, the full MIMIC-IV database would provide several thousand patients with CKD-relevant laboratory data, allowing larger-scale calibration assessment and properly powered subgroup analysis. The extraction pipeline from this study is directly applicable to the full database.</w:t>
      </w:r>
    </w:p>
    <w:p>
      <w:pPr>
        <w:pStyle w:val="BodyText"/>
      </w:pPr>
      <w:r>
        <w:t xml:space="preserve">Second, the deployment readiness framework here is intentionally simple. Criteria are binary and thresholds are set a priori without formal sample size calculations. Extending the framework to account for uncertainty in threshold exceedance, for example through bootstrap p-values for each criterion, would make the checklist scores more principled.</w:t>
      </w:r>
    </w:p>
    <w:p>
      <w:pPr>
        <w:pStyle w:val="BodyText"/>
      </w:pPr>
      <w:r>
        <w:t xml:space="preserve">Third, patient-facing uncertainty display is an open design problem. Conformal prediction sets at the individual level (CKD / not-CKD / ambiguous) produce clinically interpretable labels. How clinicians and patients respond to ambiguous predictions in a real consultation, and whether explicit uncertainty communication changes treatment decisions compared to point probability outputs, has not been tested in CKD care.</w:t>
      </w:r>
    </w:p>
    <w:bookmarkEnd w:id="47"/>
    <w:bookmarkEnd w:id="48"/>
    <w:bookmarkStart w:id="49" w:name="conclusion"/>
    <w:p>
      <w:pPr>
        <w:pStyle w:val="Heading1"/>
      </w:pPr>
      <w:r>
        <w:t xml:space="preserve">Conclusion</w:t>
      </w:r>
    </w:p>
    <w:p>
      <w:pPr>
        <w:pStyle w:val="FirstParagraph"/>
      </w:pPr>
      <w:r>
        <w:t xml:space="preserve">Five classifiers achieved perfect discrimination on the UCI CKD benchmark, then failed every external validation criterion when applied to MIMIC-IV hospital data. Isotonic recalibration reduced internal ECE to near zero. On MIMIC, calibration drift exceeded 0.67 for every model, conformal coverage fell from 0.967 or higher internally to 0.21–0.25, and no model scored above 4 out of 16 on the deployment readiness checklist.</w:t>
      </w:r>
    </w:p>
    <w:p>
      <w:pPr>
        <w:pStyle w:val="BodyText"/>
      </w:pPr>
      <w:r>
        <w:t xml:space="preserve">Perfect internal performance does not predict external readiness. At minimum, a complete evaluation requires calibration on external data from a different clinical setting, coverage-guaranteed uncertainty estimates, and an explicit check that both transfer under distributional shift. Discrimination on a held-out internal test set is not sufficient evidence for deployment.</w:t>
      </w:r>
    </w:p>
    <w:p>
      <w:pPr>
        <w:pStyle w:val="BodyText"/>
      </w:pPr>
      <w:r>
        <w:t xml:space="preserve">The eight-criterion framework introduced here offers one structured path to operationalizing those requirements. Each criterion has a defined threshold and a three-level scoring scheme that can be applied to any binary clinical prediction model. The framework is not a ceiling. It is a starting point for the kind of evaluation that should precede clinical use.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Uncertainty Communication, and Deployment Readiness in CKD Risk Prediction: A Framework Evaluation Study</dc:title>
  <dc:creator>Michael Eniolade University of the Cumberlands</dc:creator>
  <cp:keywords/>
  <dcterms:created xsi:type="dcterms:W3CDTF">2026-04-26T22:43:40Z</dcterms:created>
  <dcterms:modified xsi:type="dcterms:W3CDTF">2026-04-26T22:43:40Z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Machine learning models for chronic kidney disease risk prediction regularly report strong discrimination but seldom undergo calibration assessment or uncertainty quantification before deployment consideration. No published study has jointly evaluated all three dimensions—calibration, uncertainty, and structured deployment readiness—on a common model suite with external clinical validation.Objective. To evaluate five classifiers across calibration quality, conformal prediction coverage, and an eight-criterion deployment readiness framework on both internal and external data.Methods. Five classifiers (logistic regression, random forest, XGBoost, support vector machine with Platt scaling, Gaussian naive Bayes) were trained on the UCI CKD dataset (400 patients, 62.5% CKD). External validation used a 97-patient MIMIC-IV cohort (23.7% CKD). Calibration was assessed before and after Platt scaling and isotonic regression, quantified by Expected Calibration Error and Brier Score. Predictive uncertainty was measured through split conformal prediction targeting 90% marginal coverage. An eight-criterion deployment readiness checklist assessed discrimination, calibration stability, coverage transfer, subgroup equity, and reproducibility.Results. All five models achieved AUROC 1.00 on the UCI test set. Post-isotonic ECE fell to 0.000–0.022 internally. On MIMIC-IV, AUROC dropped to 0.48–0.58, ECE rose to 0.68–0.76, and conformal coverage collapsed from 0.80–0.98 (UCI) to 0.21–0.25, well below the 90% target. No model passed the deployment checklist; scores ranged from 2 to 4 out of 16.Conclusion. Near-perfect internal performance did not predict external readiness. Calibration stability and conformal coverage transfer should be standard requirements before any clinical ML model is considered for deployment.</vt:lpwstr>
  </property>
  <property fmtid="{D5CDD505-2E9C-101B-9397-08002B2CF9AE}" pid="3" name="bibliography">
    <vt:lpwstr/>
  </property>
  <property fmtid="{D5CDD505-2E9C-101B-9397-08002B2CF9AE}" pid="4" name="date">
    <vt:lpwstr/>
  </property>
</Properties>
</file>