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Check each service folder for it’s own T&amp;C.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Later, T&amp;C will be combined into one page &amp; posted online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 T &amp;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 Payment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Quotes are valid till “valid date” stated, otherwise quotes are valid for 14 days from issue date.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Full payment must be made within 7 days of work completion.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All outgoing costs must be paid upfront, plus a minimum of 40% of the remaining balance is required before commencing work unless otherwise agreed upon. For this quote/invoice, a deposit of $_ is required.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We retain ownership of all products &amp; services until all invoices are fully paid. Failure to pay on due date may lead to suspension of any and all existing and new services.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 Graphic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Unless otherwise stated, all graphic design services DO NOT include providing print-ready files. All graphic design costs are for the purpose of creating artwork to be printed with us.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 Web Design: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1"/>
          <w:szCs w:val="21"/>
          <w:rtl w:val="0"/>
        </w:rPr>
        <w:t xml:space="preserve">- Website design is completed according to previously agreed on design &amp; development proposal.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 Printing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 Privacy Policies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==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Useful Info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https://legalvision.com.au/5-key-clauses-in-a-client-agreement/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Description of Services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Payment and Payment Terms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Dispute Resolution and Mediation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Termination of Client Agreement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Limitation on Liability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== Example T &amp; C</w:t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https://www.accessallareastraining.com.au/terms-and-conditions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 Example Contracts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Popular open-source contract for web designers and developers.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https://stuffandnonsense.co.uk/projects/contract-killer/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galvision.com.au/5-key-clauses-in-a-client-agreement/" TargetMode="External"/><Relationship Id="rId7" Type="http://schemas.openxmlformats.org/officeDocument/2006/relationships/hyperlink" Target="https://www.accessallareastraining.com.au/terms-and-conditions" TargetMode="External"/><Relationship Id="rId8" Type="http://schemas.openxmlformats.org/officeDocument/2006/relationships/hyperlink" Target="https://stuffandnonsense.co.uk/projects/contract-ki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