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10/12/23</w:t>
      </w:r>
    </w:p>
    <w:p w:rsidR="00000000" w:rsidDel="00000000" w:rsidP="00000000" w:rsidRDefault="00000000" w:rsidRPr="00000000" w14:paraId="00000002">
      <w:pPr>
        <w:rPr/>
      </w:pPr>
      <w:r w:rsidDel="00000000" w:rsidR="00000000" w:rsidRPr="00000000">
        <w:rPr>
          <w:rtl w:val="0"/>
        </w:rPr>
        <w:t xml:space="preserve">Bray Team Lecture 15 Assignment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Winch. Some team members selected the same method with their Pugh chart, but 2 of us preferred the rotating “I” beam.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Across the entire team, yes. Our team agrees with the final result of the selection process. Although the results are different from our individual Pugh charts, this selection process shows an overall average of our assessments of each individual item.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It was difficult to objectively and quantitatively give a score to each device without a datum to compare to. However, it was fairly easy to determine the stance of each team member and their options on the importance of each selection criteria.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Pretty Valid. Although some individual team member bias may appear in our final results, the purpose of weighing our scores against each other is to reflect on average how we as a group feel about the different criteria.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Not entirely. The method could allow half-baked or difficult ideas to be selected without a proper amount of thought or time to defend design choices. Improper weighting and intuitive rankings can also introduce too much bias into a problem that needs an objective solution.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Our team would prefer to change the method to more quantitatively rank or score each method based on its selection criteria.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