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基于多模态特征的加密货币短期收益预测</w:t>
      </w:r>
      <w:r>
        <w:br/>
      </w:r>
      <w:r>
        <w:rPr>
          <w:bCs/>
          <w:b/>
        </w:rPr>
        <w:t xml:space="preserve">——深度学习模型对比研究</w:t>
      </w:r>
    </w:p>
    <w:p>
      <w:pPr>
        <w:pStyle w:val="Author"/>
      </w:pPr>
      <w:r>
        <w:t xml:space="preserve">作 者 姓 名</w:t>
      </w:r>
      <w:r>
        <w:br/>
      </w:r>
      <w:r>
        <w:t xml:space="preserve">某某大学 计算机学院 北京 100000</w:t>
      </w:r>
    </w:p>
    <w:p>
      <w:pPr>
        <w:pStyle w:val="FirstParagraph"/>
      </w:pPr>
      <w:r>
        <w:t xml:space="preserve">加密货币市场的非线性、高波动特性使得传统时间序列预测方法难以有效捕捉其价格动态。本文系统对比了八种深度学习与机器学习模型——CNN-Transformer、LSTM-Transformer、Transformer、LSTM、TCN、ModernTCN、PatchTST和XGBoost，在比特币（BTC）4小时级别对数收益率预测任务上的表现。基于六种递增式特征组合（纯价格、价格+资金费率、价格+资金费率+恐慌贪婪指数、价格+链上数据、价格+长期链上指标、全特征融合），本文进行了特征消融实验，以探究不同模态信息对预测的边际贡献。模型训练采用Huber损失与排序损失联合优化的方式，评估体系涵盖Rank IC、Pearson IC、方向准确率、夏普比率以及最大回撤等量化金融核心指标。实验结果表明：（1）CNN-Transformer在全特征集上表现最优，测试集夏普比率为5.65，年化收益达230.6%；（2）CNN-Transformer与Transformer在不同特征集和随机种子下展示出最强的稳健性；（3）资金费率和恐慌贪婪指数的引入能显著提升预测效果，而链上数据的边际贡献相对有限；（4）ModernTCN在所有特征集上均表现出极端过拟合，训练集指标远高于验证集和测试集。本文的对比实验为加密货币量化交易中模型选择与特征工程提供了系统的实证参考。</w:t>
      </w:r>
    </w:p>
    <w:p>
      <w:pPr>
        <w:pStyle w:val="BodyText"/>
      </w:pPr>
      <w:r>
        <w:rPr>
          <w:bCs/>
          <w:b/>
        </w:rPr>
        <w:t xml:space="preserve">关键词：</w:t>
      </w:r>
      <w:r>
        <w:t xml:space="preserve">加密货币；收益预测；深度学习；特征工程；量化交易</w:t>
      </w:r>
    </w:p>
    <w:p>
      <w:pPr>
        <w:pStyle w:val="BodyText"/>
      </w:pPr>
      <w:r>
        <w:t xml:space="preserve">The non-linear and highly volatile nature of cryptocurrency markets renders traditional time-series forecasting methods inadequate for capturing price dynamics. This paper systematically compares eight deep learning and machine learning models—CNN-Transformer, LSTM-Transformer, Transformer, LSTM, TCN, ModernTCN, PatchTST, and XGBoost—on the task of predicting Bitcoin (BTC) 4-hour log-returns. Six incremental feature configurations (price-only, price+funding, price+funding+Fear-Greed-Index, price+on-chain, price+long-term on-chain, and full fusion) are designed for feature ablation experiments to investigate the marginal contribution of each modality. The models are trained with a hybrid loss combining Huber loss and ranking loss. The evaluation framework incorporates Rank IC, Pearson IC, directional accuracy, Sharpe ratio, and maximum drawdown as core quantitative finance metrics. Experimental results demonstrate that: (1) CNN-Transformer achieves the best performance on the full feature set, with a test Sharpe ratio of 5.65 and annualized return of 230.6%; (2) CNN-Transformer and Transformer exhibit the strongest robustness across different feature configurations and random seeds; (3) incorporating funding rate and Fear-Greed Index significantly improves prediction performance, while on-chain data provides only limited marginal gains; (4) ModernTCN exhibits extreme overfitting across all feature sets, with training metrics far exceeding those on validation and test sets. This comparative study provides systematic empirical evidence for model selection and feature engineering in cryptocurrency quantitative trading.</w:t>
      </w:r>
    </w:p>
    <w:p>
      <w:pPr>
        <w:pStyle w:val="BodyText"/>
      </w:pPr>
      <w:r>
        <w:rPr>
          <w:bCs/>
          <w:b/>
        </w:rPr>
        <w:t xml:space="preserve">Keywords:</w:t>
      </w:r>
      <w:r>
        <w:t xml:space="preserve"> </w:t>
      </w:r>
      <w:r>
        <w:t xml:space="preserve">cryptocurrency; return prediction; deep learning; feature engineering; quantitative trading</w:t>
      </w:r>
    </w:p>
    <w:bookmarkStart w:id="20" w:name="引言"/>
    <w:p>
      <w:pPr>
        <w:pStyle w:val="Heading1"/>
      </w:pPr>
      <w:r>
        <w:t xml:space="preserve">引言</w:t>
      </w:r>
    </w:p>
    <w:p>
      <w:pPr>
        <w:pStyle w:val="FirstParagraph"/>
      </w:pPr>
      <w:r>
        <w:t xml:space="preserve">近年来，加密货币市场快速发展，已成为全球金融市场的重要组成部分。截至2025年，全球加密货币总市值已超过3万亿美元，其中比特币（Bitcoin，BTC）作为市值最大的加密资产，其价格波动对全球投资者和监管机构具有重要影响。然而，加密货币价格的高波动性和非线性特性使得精准的价格预测成为一项极具挑战性的问题。传统的时间序列方法如ARIMA和GARCH族模型难以捕捉加密货币市场的复杂动态特征，这促使研究者转向深度学习方法，以期提升预测精度。</w:t>
      </w:r>
    </w:p>
    <w:p>
      <w:pPr>
        <w:pStyle w:val="BodyText"/>
      </w:pPr>
      <w:r>
        <w:t xml:space="preserve">深度学习在金融时间序列预测领域已取得显著进展。循环神经网络（RNN）及其变体LSTM和GRU已被广泛用于股票和加密货币价格预测；Transformer架构凭借其自注意力机制，也被证明能有效捕捉长距离时间依赖。然而，现有研究多聚焦于单一或少数量模型的性能对比，缺乏在统一实验框架下对多种主流模型的系统比较。此外，加密货币市场具有独特的数据特征——资金费率反映合约市场的多空力量，链上数据记录网络层面的交易活动，恐慌贪婪指数衡量市场情绪——这些异构模态数据的融合策略在文献中鲜有系统评估。</w:t>
      </w:r>
    </w:p>
    <w:p>
      <w:pPr>
        <w:pStyle w:val="BodyText"/>
      </w:pPr>
      <w:r>
        <w:t xml:space="preserve">为填补上述研究空白，本文在比特币4小时K线数据上构建了一个统一的深度学习预测框架，系统对比了八种代表性模型在六种特征组合下的表现。本文的主要贡献如下：</w:t>
      </w:r>
    </w:p>
    <w:p>
      <w:pPr>
        <w:numPr>
          <w:ilvl w:val="0"/>
          <w:numId w:val="1001"/>
        </w:numPr>
      </w:pPr>
      <w:r>
        <w:t xml:space="preserve">构建了包含五大类多模态特征（价格形态、资金费率、恐慌贪婪指数、链上指标、长期链上指标）的综合特征体系，并设计了六种递增特征组合进行消融实验。</w:t>
      </w:r>
    </w:p>
    <w:p>
      <w:pPr>
        <w:numPr>
          <w:ilvl w:val="0"/>
          <w:numId w:val="1001"/>
        </w:numPr>
      </w:pPr>
      <w:r>
        <w:t xml:space="preserve">在统一训练框架下（Huber损失+排序损失联合优化、鲁棒标准化、相同的数据划分）对八种模型进行了公平对比。</w:t>
      </w:r>
    </w:p>
    <w:p>
      <w:pPr>
        <w:numPr>
          <w:ilvl w:val="0"/>
          <w:numId w:val="1001"/>
        </w:numPr>
      </w:pPr>
      <w:r>
        <w:t xml:space="preserve">采用量化金融领域核心评估指标（Rank IC、夏普比率、最大回撤等）进行多维度的策略层面评估，而非仅报告预测误差。</w:t>
      </w:r>
    </w:p>
    <w:p>
      <w:pPr>
        <w:numPr>
          <w:ilvl w:val="0"/>
          <w:numId w:val="1001"/>
        </w:numPr>
      </w:pPr>
      <w:r>
        <w:t xml:space="preserve">通过多次随机种子（seed=0, 1, 42, 123）重复实验，验证了研究结论的统计可靠性。</w:t>
      </w:r>
    </w:p>
    <w:bookmarkEnd w:id="20"/>
    <w:bookmarkStart w:id="24" w:name="相关工作"/>
    <w:p>
      <w:pPr>
        <w:pStyle w:val="Heading1"/>
      </w:pPr>
      <w:r>
        <w:t xml:space="preserve">相关工作</w:t>
      </w:r>
    </w:p>
    <w:bookmarkStart w:id="21" w:name="加密货币收益预测"/>
    <w:p>
      <w:pPr>
        <w:pStyle w:val="Heading2"/>
      </w:pPr>
      <w:r>
        <w:t xml:space="preserve">加密货币收益预测</w:t>
      </w:r>
    </w:p>
    <w:p>
      <w:pPr>
        <w:pStyle w:val="FirstParagraph"/>
      </w:pPr>
      <w:r>
        <w:t xml:space="preserve">加密货币价格预测的研究可分为三类：基于传统计量经济学的方法、基于机器学习的方法和基于深度学习的方法。传统方法如ARIMA、GARCH及其变体过度依赖线性假设，在加密货币的高波动场景下表现不佳。Catania等人</w:t>
      </w:r>
      <w:r>
        <w:t xml:space="preserve">采用GAS模型对多种加密货币进行波动率预测，但样本外预测能力仍然有限。</w:t>
      </w:r>
    </w:p>
    <w:p>
      <w:pPr>
        <w:pStyle w:val="BodyText"/>
      </w:pPr>
      <w:r>
        <w:t xml:space="preserve">在机器学习方法方面，XGBoost凭借其在表格数据上的优异表现成为金融预测的常用基准工具。然而，树模型无法直接利用时间序列的结构特性，需要将序列展平为二维特征矩阵，这会损失部分时序依赖信息。</w:t>
      </w:r>
    </w:p>
    <w:p>
      <w:pPr>
        <w:pStyle w:val="BodyText"/>
      </w:pPr>
      <w:r>
        <w:t xml:space="preserve">深度学习方法方面，LSTM已被广泛用于金融时间序列预测。McNally等人</w:t>
      </w:r>
      <w:r>
        <w:t xml:space="preserve">将LSTM和RNN应用于比特币价格预测，取得了优于ARIMA的结果。近年来，Transformer架构在时间序列领域受到广泛关注。Lim等人</w:t>
      </w:r>
      <w:r>
        <w:t xml:space="preserve">指出标准Transformer在长序列预测中的计算效率挑战但肯定了自注意力机制在捕捉长距离依赖方面的能力。PatchTST</w:t>
      </w:r>
      <w:r>
        <w:t xml:space="preserve">通过将时间序列分割为patch并应用通道独立策略，在长序列预测基准上取得了领先结果。ModernTCN</w:t>
      </w:r>
      <w:r>
        <w:t xml:space="preserve">则借鉴现代卷积架构的设计理念（大卷积核、深度可分离卷积等），在多个基准上超越了Transformer类模型。</w:t>
      </w:r>
    </w:p>
    <w:bookmarkEnd w:id="21"/>
    <w:bookmarkStart w:id="22" w:name="多模态数据融合"/>
    <w:p>
      <w:pPr>
        <w:pStyle w:val="Heading2"/>
      </w:pPr>
      <w:r>
        <w:t xml:space="preserve">多模态数据融合</w:t>
      </w:r>
    </w:p>
    <w:p>
      <w:pPr>
        <w:pStyle w:val="FirstParagraph"/>
      </w:pPr>
      <w:r>
        <w:t xml:space="preserve">将多种数据源融合以提升金融预测的研究方兴未艾。资金费率作为永续合约市场特有的指标，反映了多空双方的持仓成本差异，对短期价格走势具有指示作用。恐慌贪婪指数通过聚合交易量、波动率、社交媒体情绪等指标量化市场情绪。链上数据如已花费产出利润率（SOPR）、币天销毁（CDD）、活跃地址数等则从网络层面揭示供需动态。然而，现有研究大多仅使用单一或两类数据源，缺乏对不同模态数据边际贡献的系统评估。</w:t>
      </w:r>
    </w:p>
    <w:bookmarkEnd w:id="22"/>
    <w:bookmarkStart w:id="23" w:name="现有工作的局限"/>
    <w:p>
      <w:pPr>
        <w:pStyle w:val="Heading2"/>
      </w:pPr>
      <w:r>
        <w:t xml:space="preserve">现有工作的局限</w:t>
      </w:r>
    </w:p>
    <w:p>
      <w:pPr>
        <w:pStyle w:val="FirstParagraph"/>
      </w:pPr>
      <w:r>
        <w:t xml:space="preserve">综观现有研究，存在以下不足：（1）缺乏在统一实验框架下对多种模型架构的公平对比；（2）特征消融研究不系统，难以评估不同模态数据的独立贡献；（3）评估指标多停留在MSE、MAE等预测误差层面，缺少量化金融视角的策略层面评估；（4）大多数研究仅报告单一种子的结果，结论的统计可靠性不足。本文针对上述不足进行了系统改进。</w:t>
      </w:r>
    </w:p>
    <w:bookmarkEnd w:id="23"/>
    <w:bookmarkEnd w:id="24"/>
    <w:bookmarkStart w:id="32" w:name="数据与特征工程"/>
    <w:p>
      <w:pPr>
        <w:pStyle w:val="Heading1"/>
      </w:pPr>
      <w:r>
        <w:t xml:space="preserve">数据与特征工程</w:t>
      </w:r>
    </w:p>
    <w:bookmarkStart w:id="25" w:name="数据来源与预处理"/>
    <w:p>
      <w:pPr>
        <w:pStyle w:val="Heading2"/>
      </w:pPr>
      <w:r>
        <w:t xml:space="preserve">数据来源与预处理</w:t>
      </w:r>
    </w:p>
    <w:p>
      <w:pPr>
        <w:pStyle w:val="FirstParagraph"/>
      </w:pPr>
      <w:r>
        <w:t xml:space="preserve">本文使用的原始数据包含以下来源：</w:t>
      </w:r>
    </w:p>
    <w:p>
      <w:pPr>
        <w:numPr>
          <w:ilvl w:val="0"/>
          <w:numId w:val="1002"/>
        </w:numPr>
      </w:pPr>
      <w:r>
        <w:rPr>
          <w:bCs/>
          <w:b/>
        </w:rPr>
        <w:t xml:space="preserve">价格与交易量数据：</w:t>
      </w:r>
      <w:r>
        <w:t xml:space="preserve">来自币安交易所的BTC/USDT永续合约4小时K线数据，包含开盘价、最高价、最低价、收盘价和交易量。</w:t>
      </w:r>
    </w:p>
    <w:p>
      <w:pPr>
        <w:numPr>
          <w:ilvl w:val="0"/>
          <w:numId w:val="1002"/>
        </w:numPr>
      </w:pPr>
      <w:r>
        <w:rPr>
          <w:bCs/>
          <w:b/>
        </w:rPr>
        <w:t xml:space="preserve">资金费率：</w:t>
      </w:r>
      <w:r>
        <w:t xml:space="preserve">对应时间窗口的永续合约资金费率数据。</w:t>
      </w:r>
    </w:p>
    <w:p>
      <w:pPr>
        <w:numPr>
          <w:ilvl w:val="0"/>
          <w:numId w:val="1002"/>
        </w:numPr>
      </w:pPr>
      <w:r>
        <w:rPr>
          <w:bCs/>
          <w:b/>
        </w:rPr>
        <w:t xml:space="preserve">恐慌贪婪指数：</w:t>
      </w:r>
      <w:r>
        <w:t xml:space="preserve">来自Alternative.me，反映市场情绪的每日数据，按4小时频率前向填充。</w:t>
      </w:r>
    </w:p>
    <w:p>
      <w:pPr>
        <w:numPr>
          <w:ilvl w:val="0"/>
          <w:numId w:val="1002"/>
        </w:numPr>
      </w:pPr>
      <w:r>
        <w:rPr>
          <w:bCs/>
          <w:b/>
        </w:rPr>
        <w:t xml:space="preserve">链上指标：</w:t>
      </w:r>
      <w:r>
        <w:t xml:space="preserve">来自Dune Analytics和OKLink，包括SOPR（已花费产出利润率）、CDD（币天销毁）、交易所BTC余额、活跃地址数和BTC净流量。</w:t>
      </w:r>
    </w:p>
    <w:p>
      <w:pPr>
        <w:pStyle w:val="FirstParagraph"/>
      </w:pPr>
      <w:r>
        <w:t xml:space="preserve">所有数据按时间对齐并合并为4小时频率的统一数据集，缺失值采用前向填充处理。最终数据集覆盖约2020年至2025年的历史区间。</w:t>
      </w:r>
    </w:p>
    <w:bookmarkEnd w:id="25"/>
    <w:bookmarkStart w:id="29" w:name="特征构建"/>
    <w:p>
      <w:pPr>
        <w:pStyle w:val="Heading2"/>
      </w:pPr>
      <w:r>
        <w:t xml:space="preserve">特征构建</w:t>
      </w:r>
    </w:p>
    <w:p>
      <w:pPr>
        <w:pStyle w:val="FirstParagraph"/>
      </w:pPr>
      <w:r>
        <w:t xml:space="preserve">特征工程遵循量化金融领域的经典方法，重点关注价格形态特征、波动率特征和多尺度的统计指标。以下为核心特征构建方式：</w:t>
      </w:r>
    </w:p>
    <w:bookmarkStart w:id="26" w:name="价格形态特征"/>
    <w:p>
      <w:pPr>
        <w:pStyle w:val="Heading3"/>
      </w:pPr>
      <w:r>
        <w:t xml:space="preserve">价格形态特征</w:t>
      </w:r>
    </w:p>
    <w:p>
      <w:pPr>
        <w:pStyle w:val="FirstParagraph"/>
      </w:pPr>
      <w:r>
        <w:t xml:space="preserve">对每个滞后步长</w:t>
      </w:r>
      <m:oMath>
        <m:r>
          <m:t>l</m:t>
        </m:r>
        <m:r>
          <m:rPr>
            <m:sty m:val="p"/>
          </m:rPr>
          <m:t>∈</m:t>
        </m:r>
        <m:r>
          <m:rPr>
            <m:sty m:val="p"/>
          </m:rPr>
          <m:t>{</m:t>
        </m:r>
        <m:r>
          <m:t>1</m:t>
        </m:r>
        <m:r>
          <m:rPr>
            <m:sty m:val="p"/>
          </m:rPr>
          <m:t>,</m:t>
        </m:r>
        <m:r>
          <m:t>2</m:t>
        </m:r>
        <m:r>
          <m:rPr>
            <m:sty m:val="p"/>
          </m:rPr>
          <m:t>,</m:t>
        </m:r>
        <m:r>
          <m:t>3</m:t>
        </m:r>
        <m:r>
          <m:rPr>
            <m:sty m:val="p"/>
          </m:rPr>
          <m:t>,</m:t>
        </m:r>
        <m:r>
          <m:t>4</m:t>
        </m:r>
        <m:r>
          <m:rPr>
            <m:sty m:val="p"/>
          </m:rPr>
          <m:t>,</m:t>
        </m:r>
        <m:r>
          <m:t>6</m:t>
        </m:r>
        <m:r>
          <m:rPr>
            <m:sty m:val="p"/>
          </m:rPr>
          <m:t>,</m:t>
        </m:r>
        <m:r>
          <m:t>8</m:t>
        </m:r>
        <m:r>
          <m:rPr>
            <m:sty m:val="p"/>
          </m:rPr>
          <m:t>,</m:t>
        </m:r>
        <m:r>
          <m:t>12</m:t>
        </m:r>
        <m:r>
          <m:rPr>
            <m:sty m:val="p"/>
          </m:rPr>
          <m:t>}</m:t>
        </m:r>
      </m:oMath>
      <w:r>
        <w:t xml:space="preserve">计算对数收益率：</w:t>
      </w:r>
    </w:p>
    <w:p>
      <w:pPr>
        <w:pStyle w:val="BodyText"/>
      </w:pPr>
      <m:oMathPara>
        <m:oMathParaPr>
          <m:jc m:val="center"/>
        </m:oMathParaPr>
        <m:oMath>
          <m:sSub>
            <m:e>
              <m:r>
                <m:rPr>
                  <m:nor/>
                  <m:sty m:val="p"/>
                </m:rPr>
                <m:t>ret</m:t>
              </m:r>
            </m:e>
            <m:sub>
              <m:r>
                <m:t>l</m:t>
              </m:r>
            </m:sub>
          </m:sSub>
          <m:r>
            <m:rPr>
              <m:sty m:val="p"/>
            </m:rPr>
            <m:t>=</m:t>
          </m:r>
          <m:r>
            <m:rPr>
              <m:nor/>
              <m:sty m:val="p"/>
            </m:rPr>
            <m:t>ln</m:t>
          </m:r>
          <m:f>
            <m:fPr>
              <m:type m:val="bar"/>
            </m:fPr>
            <m:num>
              <m:sSub>
                <m:e>
                  <m:r>
                    <m:rPr>
                      <m:nor/>
                      <m:sty m:val="p"/>
                    </m:rPr>
                    <m:t>close</m:t>
                  </m:r>
                </m:e>
                <m:sub>
                  <m:r>
                    <m:t>t</m:t>
                  </m:r>
                </m:sub>
              </m:sSub>
            </m:num>
            <m:den>
              <m:sSub>
                <m:e>
                  <m:r>
                    <m:rPr>
                      <m:nor/>
                      <m:sty m:val="p"/>
                    </m:rPr>
                    <m:t>close</m:t>
                  </m:r>
                </m:e>
                <m:sub>
                  <m:r>
                    <m:t>t</m:t>
                  </m:r>
                  <m:r>
                    <m:rPr>
                      <m:sty m:val="p"/>
                    </m:rPr>
                    <m:t>−</m:t>
                  </m:r>
                  <m:r>
                    <m:t>l</m:t>
                  </m:r>
                </m:sub>
              </m:sSub>
            </m:den>
          </m:f>
        </m:oMath>
      </m:oMathPara>
    </w:p>
    <w:p>
      <w:pPr>
        <w:pStyle w:val="FirstParagraph"/>
      </w:pPr>
      <w:r>
        <w:t xml:space="preserve">还包括收益加速度（两个不同滞后期收益的差）、对数成交量及其变动率，以及基于最高价和最低价计算的价格位置指标（HH、LL和价格位置比）。</w:t>
      </w:r>
    </w:p>
    <w:bookmarkEnd w:id="26"/>
    <w:bookmarkStart w:id="27" w:name="多尺度统计特征"/>
    <w:p>
      <w:pPr>
        <w:pStyle w:val="Heading3"/>
      </w:pPr>
      <w:r>
        <w:t xml:space="preserve">多尺度统计特征</w:t>
      </w:r>
    </w:p>
    <w:p>
      <w:pPr>
        <w:pStyle w:val="FirstParagraph"/>
      </w:pPr>
      <w:r>
        <w:t xml:space="preserve">对每个连续型因子，在窗口</w:t>
      </w:r>
      <m:oMath>
        <m:r>
          <m:t>w</m:t>
        </m:r>
        <m:r>
          <m:rPr>
            <m:sty m:val="p"/>
          </m:rPr>
          <m:t>∈</m:t>
        </m:r>
        <m:r>
          <m:rPr>
            <m:sty m:val="p"/>
          </m:rPr>
          <m:t>{</m:t>
        </m:r>
        <m:r>
          <m:t>4</m:t>
        </m:r>
        <m:r>
          <m:rPr>
            <m:sty m:val="p"/>
          </m:rPr>
          <m:t>,</m:t>
        </m:r>
        <m:r>
          <m:t>8</m:t>
        </m:r>
        <m:r>
          <m:rPr>
            <m:sty m:val="p"/>
          </m:rPr>
          <m:t>,</m:t>
        </m:r>
        <m:r>
          <m:t>12</m:t>
        </m:r>
        <m:r>
          <m:rPr>
            <m:sty m:val="p"/>
          </m:rPr>
          <m:t>,</m:t>
        </m:r>
        <m:r>
          <m:t>24</m:t>
        </m:r>
        <m:r>
          <m:rPr>
            <m:sty m:val="p"/>
          </m:rPr>
          <m:t>}</m:t>
        </m:r>
      </m:oMath>
      <w:r>
        <w:t xml:space="preserve">上计算：</w:t>
      </w:r>
    </w:p>
    <w:p>
      <w:pPr>
        <w:pStyle w:val="BodyText"/>
      </w:pPr>
      <m:oMathPara>
        <m:oMathParaPr>
          <m:jc m:val="center"/>
        </m:oMathParaPr>
        <m:oMath>
          <m:sSub>
            <m:e>
              <m:r>
                <m:t>z</m:t>
              </m:r>
            </m:e>
            <m:sub>
              <m:r>
                <m:t>w</m:t>
              </m:r>
            </m:sub>
          </m:sSub>
          <m:r>
            <m:rPr>
              <m:sty m:val="p"/>
            </m:rPr>
            <m:t>=</m:t>
          </m:r>
          <m:f>
            <m:fPr>
              <m:type m:val="bar"/>
            </m:fPr>
            <m:num>
              <m:sSub>
                <m:e>
                  <m:r>
                    <m:t>x</m:t>
                  </m:r>
                </m:e>
                <m:sub>
                  <m:r>
                    <m:t>t</m:t>
                  </m:r>
                </m:sub>
              </m:sSub>
              <m:r>
                <m:rPr>
                  <m:sty m:val="p"/>
                </m:rPr>
                <m:t>−</m:t>
              </m:r>
              <m:sSub>
                <m:e>
                  <m:r>
                    <m:t>μ</m:t>
                  </m:r>
                </m:e>
                <m:sub>
                  <m:r>
                    <m:t>w</m:t>
                  </m:r>
                </m:sub>
              </m:sSub>
            </m:num>
            <m:den>
              <m:sSub>
                <m:e>
                  <m:r>
                    <m:t>σ</m:t>
                  </m:r>
                </m:e>
                <m:sub>
                  <m:r>
                    <m:t>w</m:t>
                  </m:r>
                </m:sub>
              </m:sSub>
              <m:r>
                <m:rPr>
                  <m:sty m:val="p"/>
                </m:rPr>
                <m:t>+</m:t>
              </m:r>
              <m:r>
                <m:t>ϵ</m:t>
              </m:r>
            </m:den>
          </m:f>
        </m:oMath>
      </m:oMathPara>
    </w:p>
    <w:p>
      <w:pPr>
        <w:pStyle w:val="FirstParagraph"/>
      </w:pPr>
      <m:oMathPara>
        <m:oMathParaPr>
          <m:jc m:val="center"/>
        </m:oMathParaPr>
        <m:oMath>
          <m:sSub>
            <m:e>
              <m:r>
                <m:rPr>
                  <m:nor/>
                  <m:sty m:val="p"/>
                </m:rPr>
                <m:t>mom</m:t>
              </m:r>
            </m:e>
            <m:sub>
              <m:r>
                <m:t>w</m:t>
              </m:r>
            </m:sub>
          </m:sSub>
          <m:r>
            <m:rPr>
              <m:sty m:val="p"/>
            </m:rPr>
            <m:t>=</m:t>
          </m:r>
          <m:f>
            <m:fPr>
              <m:type m:val="bar"/>
            </m:fPr>
            <m:num>
              <m:sSub>
                <m:e>
                  <m:r>
                    <m:t>x</m:t>
                  </m:r>
                </m:e>
                <m:sub>
                  <m:r>
                    <m:t>t</m:t>
                  </m:r>
                </m:sub>
              </m:sSub>
            </m:num>
            <m:den>
              <m:sSub>
                <m:e>
                  <m:r>
                    <m:t>x</m:t>
                  </m:r>
                </m:e>
                <m:sub>
                  <m:r>
                    <m:t>t</m:t>
                  </m:r>
                  <m:r>
                    <m:rPr>
                      <m:sty m:val="p"/>
                    </m:rPr>
                    <m:t>−</m:t>
                  </m:r>
                  <m:r>
                    <m:t>w</m:t>
                  </m:r>
                </m:sub>
              </m:sSub>
            </m:den>
          </m:f>
          <m:r>
            <m:rPr>
              <m:sty m:val="p"/>
            </m:rPr>
            <m:t>−</m:t>
          </m:r>
          <m:r>
            <m:t>1</m:t>
          </m:r>
        </m:oMath>
      </m:oMathPara>
    </w:p>
    <w:p>
      <w:pPr>
        <w:pStyle w:val="FirstParagraph"/>
      </w:pPr>
      <w:r>
        <w:t xml:space="preserve">分别代表标准化偏离和窗口期动量。</w:t>
      </w:r>
    </w:p>
    <w:bookmarkEnd w:id="27"/>
    <w:bookmarkStart w:id="28" w:name="跨模态交互特征"/>
    <w:p>
      <w:pPr>
        <w:pStyle w:val="Heading3"/>
      </w:pPr>
      <w:r>
        <w:t xml:space="preserve">跨模态交互特征</w:t>
      </w:r>
    </w:p>
    <w:p>
      <w:pPr>
        <w:pStyle w:val="FirstParagraph"/>
      </w:pPr>
      <w:r>
        <w:t xml:space="preserve">对全特征集，本文还构建了跨模态交互特征，例如资金费率z-score与价格波动率的乘积、恐慌贪婪极端情绪与短期收益的交互等，以捕捉不同模态之间的非线性耦合关系。</w:t>
      </w:r>
    </w:p>
    <w:bookmarkEnd w:id="28"/>
    <w:bookmarkEnd w:id="29"/>
    <w:bookmarkStart w:id="31" w:name="特征组合设计消融实验"/>
    <w:p>
      <w:pPr>
        <w:pStyle w:val="Heading2"/>
      </w:pPr>
      <w:r>
        <w:t xml:space="preserve">特征组合设计（消融实验）</w:t>
      </w:r>
    </w:p>
    <w:p>
      <w:pPr>
        <w:pStyle w:val="FirstParagraph"/>
      </w:pPr>
      <w:r>
        <w:t xml:space="preserve">为系统评估不同模态信息对预测的边际贡献，本文设计了六种递增式特征组合，如表</w:t>
      </w:r>
      <w:hyperlink w:anchor="tab:feature_sets">
        <w:r>
          <w:rPr>
            <w:rStyle w:val="Hyperlink"/>
          </w:rPr>
          <w:t xml:space="preserve">1</w:t>
        </w:r>
      </w:hyperlink>
      <w:r>
        <w:t xml:space="preserve">所示。</w:t>
      </w:r>
    </w:p>
    <w:bookmarkStart w:id="30" w:name="tab:feature_sets"/>
    <w:p>
      <w:pPr>
        <w:pStyle w:val="TableCaption"/>
      </w:pPr>
      <w:r>
        <w:t xml:space="preserve">六种特征组合及其包含的数据模态</w:t>
      </w:r>
    </w:p>
    <w:tbl>
      <w:tblPr>
        <w:tblStyle w:val="Table"/>
        <w:tblW w:type="pct" w:w="0.0"/>
        <w:tblLook w:firstRow="0" w:lastRow="0" w:firstColumn="0" w:lastColumn="0" w:noHBand="0" w:noVBand="0" w:val="0000"/>
        <w:tblCaption w:val="六种特征组合及其包含的数据模态"/>
      </w:tblPr>
      <w:tblGrid/>
      <w:tr>
        <w:tc>
          <w:p>
            <w:pPr>
              <w:pStyle w:val="Compact"/>
              <w:jc w:val="left"/>
            </w:pPr>
            <w:r>
              <w:t xml:space="preserve">特征组合</w:t>
            </w:r>
          </w:p>
        </w:tc>
        <w:tc>
          <w:p>
            <w:pPr>
              <w:pStyle w:val="Compact"/>
              <w:jc w:val="center"/>
            </w:pPr>
            <w:r>
              <w:t xml:space="preserve">数据模态</w:t>
            </w:r>
          </w:p>
        </w:tc>
        <w:tc>
          <w:p/>
        </w:tc>
        <w:tc>
          <w:p/>
        </w:tc>
        <w:tc>
          <w:p/>
        </w:tc>
      </w:tr>
      <w:tr>
        <w:tc>
          <w:p/>
        </w:tc>
        <w:tc>
          <w:p>
            <w:pPr>
              <w:pStyle w:val="Compact"/>
              <w:jc w:val="center"/>
            </w:pPr>
            <w:r>
              <w:t xml:space="preserve">价格</w:t>
            </w:r>
          </w:p>
        </w:tc>
        <w:tc>
          <w:p>
            <w:pPr>
              <w:pStyle w:val="Compact"/>
              <w:jc w:val="center"/>
            </w:pPr>
            <w:r>
              <w:t xml:space="preserve">资金费率</w:t>
            </w:r>
          </w:p>
        </w:tc>
        <w:tc>
          <w:p>
            <w:pPr>
              <w:pStyle w:val="Compact"/>
              <w:jc w:val="center"/>
            </w:pPr>
            <w:r>
              <w:t xml:space="preserve">恐慌贪婪</w:t>
            </w:r>
          </w:p>
        </w:tc>
        <w:tc>
          <w:p>
            <w:pPr>
              <w:pStyle w:val="Compact"/>
              <w:jc w:val="center"/>
            </w:pPr>
            <w:r>
              <w:t xml:space="preserve">链上</w:t>
            </w:r>
          </w:p>
        </w:tc>
      </w:tr>
      <w:tr>
        <w:tc>
          <w:p>
            <w:pPr>
              <w:pStyle w:val="Compact"/>
              <w:jc w:val="left"/>
            </w:pPr>
            <w:r>
              <w:t xml:space="preserve">price_only</w:t>
            </w:r>
          </w:p>
        </w:tc>
        <w:tc>
          <w:p/>
        </w:tc>
        <w:tc>
          <w:p/>
        </w:tc>
        <w:tc>
          <w:p/>
        </w:tc>
        <w:tc>
          <w:p/>
        </w:tc>
      </w:tr>
      <w:tr>
        <w:tc>
          <w:p>
            <w:pPr>
              <w:pStyle w:val="Compact"/>
              <w:jc w:val="left"/>
            </w:pPr>
            <w:r>
              <w:t xml:space="preserve">price_funding</w:t>
            </w:r>
          </w:p>
        </w:tc>
        <w:tc>
          <w:p/>
        </w:tc>
        <w:tc>
          <w:p/>
        </w:tc>
        <w:tc>
          <w:p/>
        </w:tc>
        <w:tc>
          <w:p/>
        </w:tc>
      </w:tr>
      <w:tr>
        <w:tc>
          <w:p>
            <w:pPr>
              <w:pStyle w:val="Compact"/>
              <w:jc w:val="left"/>
            </w:pPr>
            <w:r>
              <w:t xml:space="preserve">price_funding_fng</w:t>
            </w:r>
          </w:p>
        </w:tc>
        <w:tc>
          <w:p/>
        </w:tc>
        <w:tc>
          <w:p/>
        </w:tc>
        <w:tc>
          <w:p/>
        </w:tc>
        <w:tc>
          <w:p/>
        </w:tc>
      </w:tr>
      <w:tr>
        <w:tc>
          <w:p>
            <w:pPr>
              <w:pStyle w:val="Compact"/>
              <w:jc w:val="left"/>
            </w:pPr>
            <w:r>
              <w:t xml:space="preserve">price_onchain</w:t>
            </w:r>
          </w:p>
        </w:tc>
        <w:tc>
          <w:p/>
        </w:tc>
        <w:tc>
          <w:p/>
        </w:tc>
        <w:tc>
          <w:p/>
        </w:tc>
        <w:tc>
          <w:p/>
        </w:tc>
      </w:tr>
      <w:tr>
        <w:tc>
          <w:p>
            <w:pPr>
              <w:pStyle w:val="Compact"/>
              <w:jc w:val="left"/>
            </w:pPr>
            <w:r>
              <w:t xml:space="preserve">price_long_onchain</w:t>
            </w:r>
          </w:p>
        </w:tc>
        <w:tc>
          <w:p/>
        </w:tc>
        <w:tc>
          <w:p/>
        </w:tc>
        <w:tc>
          <w:p/>
        </w:tc>
        <w:tc>
          <w:p/>
        </w:tc>
      </w:tr>
      <w:tr>
        <w:tc>
          <w:p>
            <w:pPr>
              <w:pStyle w:val="Compact"/>
              <w:jc w:val="left"/>
            </w:pPr>
            <w:r>
              <w:t xml:space="preserve">full</w:t>
            </w:r>
          </w:p>
        </w:tc>
        <w:tc>
          <w:p/>
        </w:tc>
        <w:tc>
          <w:p/>
        </w:tc>
        <w:tc>
          <w:p/>
        </w:tc>
        <w:tc>
          <w:p/>
        </w:tc>
      </w:tr>
      <w:tr>
        <w:tc>
          <w:p>
            <w:pPr>
              <w:pStyle w:val="Compact"/>
              <w:jc w:val="left"/>
            </w:pPr>
            <w:r>
              <w:t xml:space="preserve">long_onchain包含长期链上指标（交易所余额、活跃地址、净流量）</w:t>
            </w:r>
          </w:p>
        </w:tc>
        <w:tc>
          <w:p/>
        </w:tc>
        <w:tc>
          <w:p/>
        </w:tc>
        <w:tc>
          <w:p/>
        </w:tc>
        <w:tc>
          <w:p/>
        </w:tc>
      </w:tr>
    </w:tbl>
    <w:bookmarkEnd w:id="30"/>
    <w:p>
      <w:pPr>
        <w:pStyle w:val="BodyText"/>
      </w:pPr>
      <w:r>
        <w:t xml:space="preserve">序列构建采用滑动窗口方式，回溯窗口</w:t>
      </w:r>
      <m:oMath>
        <m:r>
          <m:t>L</m:t>
        </m:r>
        <m:r>
          <m:rPr>
            <m:sty m:val="p"/>
          </m:rPr>
          <m:t>=</m:t>
        </m:r>
        <m:r>
          <m:t>48</m:t>
        </m:r>
      </m:oMath>
      <w:r>
        <w:t xml:space="preserve">（即过去48个4小时K线，约8天），预测窗口</w:t>
      </w:r>
      <m:oMath>
        <m:r>
          <m:t>H</m:t>
        </m:r>
        <m:r>
          <m:rPr>
            <m:sty m:val="p"/>
          </m:rPr>
          <m:t>=</m:t>
        </m:r>
        <m:r>
          <m:t>1</m:t>
        </m:r>
      </m:oMath>
      <w:r>
        <w:t xml:space="preserve">（下个4小时的对数收益率），总特征维度在不同特征组合下从</w:t>
      </w:r>
      <m:oMath>
        <m:r>
          <m:rPr>
            <m:sty m:val="p"/>
          </m:rPr>
          <m:t>∼</m:t>
        </m:r>
      </m:oMath>
      <w:r>
        <w:t xml:space="preserve">30维到</w:t>
      </w:r>
      <m:oMath>
        <m:r>
          <m:rPr>
            <m:sty m:val="p"/>
          </m:rPr>
          <m:t>∼</m:t>
        </m:r>
      </m:oMath>
      <w:r>
        <w:t xml:space="preserve">130维不等（全特征集为64维）。</w:t>
      </w:r>
    </w:p>
    <w:p>
      <w:pPr>
        <w:pStyle w:val="BodyText"/>
      </w:pPr>
      <w:r>
        <w:t xml:space="preserve">数据集按时间顺序划分为训练集（前70%）、验证集（中间15%）和测试集（后15%）。特征标准化采用鲁棒标准化（RobustScaler，5%–95%分位数），以减轻极端值对深度学习训练的影响。</w:t>
      </w:r>
    </w:p>
    <w:bookmarkEnd w:id="31"/>
    <w:bookmarkEnd w:id="32"/>
    <w:bookmarkStart w:id="37" w:name="模型方法"/>
    <w:p>
      <w:pPr>
        <w:pStyle w:val="Heading1"/>
      </w:pPr>
      <w:r>
        <w:t xml:space="preserve">模型方法</w:t>
      </w:r>
    </w:p>
    <w:bookmarkStart w:id="34" w:name="模型总览"/>
    <w:p>
      <w:pPr>
        <w:pStyle w:val="Heading2"/>
      </w:pPr>
      <w:r>
        <w:t xml:space="preserve">模型总览</w:t>
      </w:r>
    </w:p>
    <w:p>
      <w:pPr>
        <w:pStyle w:val="FirstParagraph"/>
      </w:pPr>
      <w:r>
        <w:t xml:space="preserve">本文对比了以下八种模型，涵盖循环神经网络、Transformer、卷积网络、混合架构和梯度提升树五大类别：</w:t>
      </w:r>
    </w:p>
    <w:p>
      <w:pPr>
        <w:numPr>
          <w:ilvl w:val="0"/>
          <w:numId w:val="1003"/>
        </w:numPr>
      </w:pPr>
      <w:r>
        <w:rPr>
          <w:bCs/>
          <w:b/>
        </w:rPr>
        <w:t xml:space="preserve">LSTM</w:t>
      </w:r>
      <w:r>
        <w:rPr>
          <w:bCs/>
          <w:b/>
        </w:rPr>
        <w:t xml:space="preserve">：</w:t>
      </w:r>
      <w:r>
        <w:t xml:space="preserve">双层单向LSTM，隐层维度192，作为循环神经网络类方法的基准代表。</w:t>
      </w:r>
    </w:p>
    <w:p>
      <w:pPr>
        <w:numPr>
          <w:ilvl w:val="0"/>
          <w:numId w:val="1003"/>
        </w:numPr>
      </w:pPr>
      <w:r>
        <w:rPr>
          <w:bCs/>
          <w:b/>
        </w:rPr>
        <w:t xml:space="preserve">Transformer</w:t>
      </w:r>
      <w:r>
        <w:rPr>
          <w:bCs/>
          <w:b/>
        </w:rPr>
        <w:t xml:space="preserve">：</w:t>
      </w:r>
      <w:r>
        <w:t xml:space="preserve">标准Transformer编码器，d_model=192，4头注意力，2层。使用可学习位置编码。</w:t>
      </w:r>
    </w:p>
    <w:p>
      <w:pPr>
        <w:numPr>
          <w:ilvl w:val="0"/>
          <w:numId w:val="1003"/>
        </w:numPr>
      </w:pPr>
      <w:r>
        <w:rPr>
          <w:bCs/>
          <w:b/>
        </w:rPr>
        <w:t xml:space="preserve">TCN</w:t>
      </w:r>
      <w:r>
        <w:rPr>
          <w:bCs/>
          <w:b/>
        </w:rPr>
        <w:t xml:space="preserve">：</w:t>
      </w:r>
      <w:r>
        <w:t xml:space="preserve">时间卷积网络，2层残差块，卷积核大小3，隐层维度96，使用因果卷积保证因果性。</w:t>
      </w:r>
    </w:p>
    <w:p>
      <w:pPr>
        <w:numPr>
          <w:ilvl w:val="0"/>
          <w:numId w:val="1003"/>
        </w:numPr>
      </w:pPr>
      <w:r>
        <w:rPr>
          <w:bCs/>
          <w:b/>
        </w:rPr>
        <w:t xml:space="preserve">CNN-Transformer：</w:t>
      </w:r>
      <w:r>
        <w:t xml:space="preserve">三阶段架构——首先通过三层膨胀卷积提取局部时序模式，然后由位置编码注入时序信息，最后通过Transformer编码器捕捉长距离依赖。卷积通道数192，Transformer部分d_model=192，12头注意力，2层。</w:t>
      </w:r>
    </w:p>
    <w:p>
      <w:pPr>
        <w:numPr>
          <w:ilvl w:val="0"/>
          <w:numId w:val="1003"/>
        </w:numPr>
      </w:pPr>
      <w:r>
        <w:rPr>
          <w:bCs/>
          <w:b/>
        </w:rPr>
        <w:t xml:space="preserve">LSTM-Transformer：</w:t>
      </w:r>
      <w:r>
        <w:t xml:space="preserve">先通过双层LSTM编码序列，再通过Transformer编码器进一步融合全局上下文信息。LSTM隐层192维，Transformer部分d_model=192，4头注意力，2层。</w:t>
      </w:r>
    </w:p>
    <w:p>
      <w:pPr>
        <w:numPr>
          <w:ilvl w:val="0"/>
          <w:numId w:val="1003"/>
        </w:numPr>
      </w:pPr>
      <w:r>
        <w:rPr>
          <w:bCs/>
          <w:b/>
        </w:rPr>
        <w:t xml:space="preserve">PatchTST</w:t>
      </w:r>
      <w:r>
        <w:rPr>
          <w:bCs/>
          <w:b/>
        </w:rPr>
        <w:t xml:space="preserve">：</w:t>
      </w:r>
      <w:r>
        <w:t xml:space="preserve">将时间序列分割为patch（patch_len=8, stride=2），然后通过Transformer编码。采用通道独立策略——每个特征通道共享相同的PatchTST编码器权重。</w:t>
      </w:r>
    </w:p>
    <w:p>
      <w:pPr>
        <w:numPr>
          <w:ilvl w:val="0"/>
          <w:numId w:val="1003"/>
        </w:numPr>
      </w:pPr>
      <w:r>
        <w:rPr>
          <w:bCs/>
          <w:b/>
        </w:rPr>
        <w:t xml:space="preserve">ModernTCN</w:t>
      </w:r>
      <w:r>
        <w:rPr>
          <w:bCs/>
          <w:b/>
        </w:rPr>
        <w:t xml:space="preserve">：</w:t>
      </w:r>
      <w:r>
        <w:t xml:space="preserve">采用现代卷积架构设计，大卷积核（kernel_size=31），3层深度可分离卷积，隐层维度96。</w:t>
      </w:r>
    </w:p>
    <w:p>
      <w:pPr>
        <w:numPr>
          <w:ilvl w:val="0"/>
          <w:numId w:val="1003"/>
        </w:numPr>
      </w:pPr>
      <w:r>
        <w:rPr>
          <w:bCs/>
          <w:b/>
        </w:rPr>
        <w:t xml:space="preserve">XGBoost</w:t>
      </w:r>
      <w:r>
        <w:rPr>
          <w:bCs/>
          <w:b/>
        </w:rPr>
        <w:t xml:space="preserve">：</w:t>
      </w:r>
      <w:r>
        <w:t xml:space="preserve">梯度提升树模型，学习率0.05，最大深度5，2000棵树，作为传统机器学习方法的基准。</w:t>
      </w:r>
    </w:p>
    <w:p>
      <w:pPr>
        <w:pStyle w:val="FirstParagraph"/>
      </w:pPr>
      <w:r>
        <w:t xml:space="preserve">各模型的详细超参数配置如表</w:t>
      </w:r>
      <w:hyperlink w:anchor="tab:model_config">
        <w:r>
          <w:rPr>
            <w:rStyle w:val="Hyperlink"/>
          </w:rPr>
          <w:t xml:space="preserve">2</w:t>
        </w:r>
      </w:hyperlink>
      <w:r>
        <w:t xml:space="preserve">所示。</w:t>
      </w:r>
    </w:p>
    <w:bookmarkStart w:id="33" w:name="tab:model_config"/>
    <w:p>
      <w:pPr>
        <w:pStyle w:val="TableCaption"/>
      </w:pPr>
      <w:r>
        <w:t xml:space="preserve">各模型核心超参数配置</w:t>
      </w:r>
    </w:p>
    <w:tbl>
      <w:tblPr>
        <w:tblStyle w:val="Table"/>
        <w:tblW w:type="pct" w:w="0.0"/>
        <w:tblLook w:firstRow="1" w:lastRow="0" w:firstColumn="0" w:lastColumn="0" w:noHBand="0" w:noVBand="0" w:val="0020"/>
        <w:tblCaption w:val="各模型核心超参数配置"/>
      </w:tblPr>
      <w:tblGrid/>
      <w:tr>
        <w:tc>
          <w:p>
            <w:pPr>
              <w:pStyle w:val="Compact"/>
              <w:jc w:val="left"/>
            </w:pPr>
            <w:r>
              <w:t xml:space="preserve">模型</w:t>
            </w:r>
          </w:p>
        </w:tc>
        <w:tc>
          <w:p>
            <w:pPr>
              <w:pStyle w:val="Compact"/>
              <w:jc w:val="center"/>
            </w:pPr>
            <w:r>
              <w:t xml:space="preserve">隐层维度</w:t>
            </w:r>
          </w:p>
        </w:tc>
        <w:tc>
          <w:p>
            <w:pPr>
              <w:pStyle w:val="Compact"/>
              <w:jc w:val="center"/>
            </w:pPr>
            <w:r>
              <w:t xml:space="preserve">层数</w:t>
            </w:r>
          </w:p>
        </w:tc>
        <w:tc>
          <w:p>
            <w:pPr>
              <w:pStyle w:val="Compact"/>
              <w:jc w:val="center"/>
            </w:pPr>
            <w:r>
              <w:t xml:space="preserve">头数/核大小</w:t>
            </w:r>
          </w:p>
        </w:tc>
        <w:tc>
          <w:p>
            <w:pPr>
              <w:pStyle w:val="Compact"/>
              <w:jc w:val="center"/>
            </w:pPr>
            <w:r>
              <w:t xml:space="preserve">Dropout</w:t>
            </w:r>
          </w:p>
        </w:tc>
        <w:tc>
          <w:p>
            <w:pPr>
              <w:pStyle w:val="Compact"/>
              <w:jc w:val="center"/>
            </w:pPr>
            <w:r>
              <w:t xml:space="preserve">学习率</w:t>
            </w:r>
          </w:p>
        </w:tc>
      </w:tr>
      <w:tr>
        <w:tc>
          <w:p>
            <w:pPr>
              <w:pStyle w:val="Compact"/>
              <w:jc w:val="left"/>
            </w:pPr>
            <w:r>
              <w:t xml:space="preserve">LSTM</w:t>
            </w:r>
          </w:p>
        </w:tc>
        <w:tc>
          <w:p>
            <w:pPr>
              <w:pStyle w:val="Compact"/>
              <w:jc w:val="center"/>
            </w:pPr>
            <w:r>
              <w:t xml:space="preserve">192</w:t>
            </w:r>
          </w:p>
        </w:tc>
        <w:tc>
          <w:p>
            <w:pPr>
              <w:pStyle w:val="Compact"/>
              <w:jc w:val="center"/>
            </w:pPr>
            <w:r>
              <w:t xml:space="preserve">2</w:t>
            </w:r>
          </w:p>
        </w:tc>
        <w:tc>
          <w:p>
            <w:pPr>
              <w:pStyle w:val="Compact"/>
              <w:jc w:val="center"/>
            </w:pPr>
            <w:r>
              <w:t xml:space="preserve">–</w:t>
            </w:r>
          </w:p>
        </w:tc>
        <w:tc>
          <w:p>
            <w:pPr>
              <w:pStyle w:val="Compact"/>
              <w:jc w:val="center"/>
            </w:pPr>
            <w:r>
              <w:t xml:space="preserve">0.13</w:t>
            </w:r>
          </w:p>
        </w:tc>
        <w:tc>
          <w:p>
            <w:pPr>
              <w:pStyle w:val="Compact"/>
              <w:jc w:val="center"/>
            </w:pPr>
            <w:r>
              <w:t xml:space="preserve">1e-4</w:t>
            </w:r>
          </w:p>
        </w:tc>
      </w:tr>
      <w:tr>
        <w:tc>
          <w:p>
            <w:pPr>
              <w:pStyle w:val="Compact"/>
              <w:jc w:val="left"/>
            </w:pPr>
            <w:r>
              <w:t xml:space="preserve">Transformer</w:t>
            </w:r>
          </w:p>
        </w:tc>
        <w:tc>
          <w:p>
            <w:pPr>
              <w:pStyle w:val="Compact"/>
              <w:jc w:val="center"/>
            </w:pPr>
            <w:r>
              <w:t xml:space="preserve">192</w:t>
            </w:r>
          </w:p>
        </w:tc>
        <w:tc>
          <w:p>
            <w:pPr>
              <w:pStyle w:val="Compact"/>
              <w:jc w:val="center"/>
            </w:pPr>
            <w:r>
              <w:t xml:space="preserve">2</w:t>
            </w:r>
          </w:p>
        </w:tc>
        <w:tc>
          <w:p>
            <w:pPr>
              <w:pStyle w:val="Compact"/>
              <w:jc w:val="center"/>
            </w:pPr>
            <w:r>
              <w:t xml:space="preserve">4</w:t>
            </w:r>
          </w:p>
        </w:tc>
        <w:tc>
          <w:p>
            <w:pPr>
              <w:pStyle w:val="Compact"/>
              <w:jc w:val="center"/>
            </w:pPr>
            <w:r>
              <w:t xml:space="preserve">0.13</w:t>
            </w:r>
          </w:p>
        </w:tc>
        <w:tc>
          <w:p>
            <w:pPr>
              <w:pStyle w:val="Compact"/>
              <w:jc w:val="center"/>
            </w:pPr>
            <w:r>
              <w:t xml:space="preserve">1e-4</w:t>
            </w:r>
          </w:p>
        </w:tc>
      </w:tr>
      <w:tr>
        <w:tc>
          <w:p>
            <w:pPr>
              <w:pStyle w:val="Compact"/>
              <w:jc w:val="left"/>
            </w:pPr>
            <w:r>
              <w:t xml:space="preserve">TCN</w:t>
            </w:r>
          </w:p>
        </w:tc>
        <w:tc>
          <w:p>
            <w:pPr>
              <w:pStyle w:val="Compact"/>
              <w:jc w:val="center"/>
            </w:pPr>
            <w:r>
              <w:t xml:space="preserve">96</w:t>
            </w:r>
          </w:p>
        </w:tc>
        <w:tc>
          <w:p>
            <w:pPr>
              <w:pStyle w:val="Compact"/>
              <w:jc w:val="center"/>
            </w:pPr>
            <w:r>
              <w:t xml:space="preserve">2</w:t>
            </w:r>
          </w:p>
        </w:tc>
        <w:tc>
          <w:p>
            <w:pPr>
              <w:pStyle w:val="Compact"/>
              <w:jc w:val="center"/>
            </w:pPr>
            <w:r>
              <w:t xml:space="preserve">3</w:t>
            </w:r>
          </w:p>
        </w:tc>
        <w:tc>
          <w:p>
            <w:pPr>
              <w:pStyle w:val="Compact"/>
              <w:jc w:val="center"/>
            </w:pPr>
            <w:r>
              <w:t xml:space="preserve">0.13</w:t>
            </w:r>
          </w:p>
        </w:tc>
        <w:tc>
          <w:p>
            <w:pPr>
              <w:pStyle w:val="Compact"/>
              <w:jc w:val="center"/>
            </w:pPr>
            <w:r>
              <w:t xml:space="preserve">1e-4</w:t>
            </w:r>
          </w:p>
        </w:tc>
      </w:tr>
      <w:tr>
        <w:tc>
          <w:p>
            <w:pPr>
              <w:pStyle w:val="Compact"/>
              <w:jc w:val="left"/>
            </w:pPr>
            <w:r>
              <w:t xml:space="preserve">CNN-Transformer</w:t>
            </w:r>
          </w:p>
        </w:tc>
        <w:tc>
          <w:p>
            <w:pPr>
              <w:pStyle w:val="Compact"/>
              <w:jc w:val="center"/>
            </w:pPr>
            <w:r>
              <w:t xml:space="preserve">192</w:t>
            </w:r>
          </w:p>
        </w:tc>
        <w:tc>
          <w:p>
            <w:pPr>
              <w:pStyle w:val="Compact"/>
              <w:jc w:val="center"/>
            </w:pPr>
            <w:r>
              <w:t xml:space="preserve">2+3</w:t>
            </w:r>
          </w:p>
        </w:tc>
        <w:tc>
          <w:p>
            <w:pPr>
              <w:pStyle w:val="Compact"/>
              <w:jc w:val="center"/>
            </w:pPr>
            <w:r>
              <w:t xml:space="preserve">12 / 5</w:t>
            </w:r>
          </w:p>
        </w:tc>
        <w:tc>
          <w:p>
            <w:pPr>
              <w:pStyle w:val="Compact"/>
              <w:jc w:val="center"/>
            </w:pPr>
            <w:r>
              <w:t xml:space="preserve">0.13</w:t>
            </w:r>
          </w:p>
        </w:tc>
        <w:tc>
          <w:p>
            <w:pPr>
              <w:pStyle w:val="Compact"/>
              <w:jc w:val="center"/>
            </w:pPr>
            <w:r>
              <w:t xml:space="preserve">1e-4</w:t>
            </w:r>
          </w:p>
        </w:tc>
      </w:tr>
      <w:tr>
        <w:tc>
          <w:p>
            <w:pPr>
              <w:pStyle w:val="Compact"/>
              <w:jc w:val="left"/>
            </w:pPr>
            <w:r>
              <w:t xml:space="preserve">LSTM-Transformer</w:t>
            </w:r>
          </w:p>
        </w:tc>
        <w:tc>
          <w:p>
            <w:pPr>
              <w:pStyle w:val="Compact"/>
              <w:jc w:val="center"/>
            </w:pPr>
            <w:r>
              <w:t xml:space="preserve">192</w:t>
            </w:r>
          </w:p>
        </w:tc>
        <w:tc>
          <w:p>
            <w:pPr>
              <w:pStyle w:val="Compact"/>
              <w:jc w:val="center"/>
            </w:pPr>
            <w:r>
              <w:t xml:space="preserve">2+2</w:t>
            </w:r>
          </w:p>
        </w:tc>
        <w:tc>
          <w:p>
            <w:pPr>
              <w:pStyle w:val="Compact"/>
              <w:jc w:val="center"/>
            </w:pPr>
            <w:r>
              <w:t xml:space="preserve">4</w:t>
            </w:r>
          </w:p>
        </w:tc>
        <w:tc>
          <w:p>
            <w:pPr>
              <w:pStyle w:val="Compact"/>
              <w:jc w:val="center"/>
            </w:pPr>
            <w:r>
              <w:t xml:space="preserve">0.13</w:t>
            </w:r>
          </w:p>
        </w:tc>
        <w:tc>
          <w:p>
            <w:pPr>
              <w:pStyle w:val="Compact"/>
              <w:jc w:val="center"/>
            </w:pPr>
            <w:r>
              <w:t xml:space="preserve">1e-4</w:t>
            </w:r>
          </w:p>
        </w:tc>
      </w:tr>
      <w:tr>
        <w:tc>
          <w:p>
            <w:pPr>
              <w:pStyle w:val="Compact"/>
              <w:jc w:val="left"/>
            </w:pPr>
            <w:r>
              <w:t xml:space="preserve">PatchTST</w:t>
            </w:r>
          </w:p>
        </w:tc>
        <w:tc>
          <w:p>
            <w:pPr>
              <w:pStyle w:val="Compact"/>
              <w:jc w:val="center"/>
            </w:pPr>
            <w:r>
              <w:t xml:space="preserve">192</w:t>
            </w:r>
          </w:p>
        </w:tc>
        <w:tc>
          <w:p>
            <w:pPr>
              <w:pStyle w:val="Compact"/>
              <w:jc w:val="center"/>
            </w:pPr>
            <w:r>
              <w:t xml:space="preserve">2</w:t>
            </w:r>
          </w:p>
        </w:tc>
        <w:tc>
          <w:p>
            <w:pPr>
              <w:pStyle w:val="Compact"/>
              <w:jc w:val="center"/>
            </w:pPr>
            <w:r>
              <w:t xml:space="preserve">8</w:t>
            </w:r>
          </w:p>
        </w:tc>
        <w:tc>
          <w:p>
            <w:pPr>
              <w:pStyle w:val="Compact"/>
              <w:jc w:val="center"/>
            </w:pPr>
            <w:r>
              <w:t xml:space="preserve">0.13</w:t>
            </w:r>
          </w:p>
        </w:tc>
        <w:tc>
          <w:p>
            <w:pPr>
              <w:pStyle w:val="Compact"/>
              <w:jc w:val="center"/>
            </w:pPr>
            <w:r>
              <w:t xml:space="preserve">1e-4</w:t>
            </w:r>
          </w:p>
        </w:tc>
      </w:tr>
      <w:tr>
        <w:tc>
          <w:p>
            <w:pPr>
              <w:pStyle w:val="Compact"/>
              <w:jc w:val="left"/>
            </w:pPr>
            <w:r>
              <w:t xml:space="preserve">ModernTCN</w:t>
            </w:r>
          </w:p>
        </w:tc>
        <w:tc>
          <w:p>
            <w:pPr>
              <w:pStyle w:val="Compact"/>
              <w:jc w:val="center"/>
            </w:pPr>
            <w:r>
              <w:t xml:space="preserve">96</w:t>
            </w:r>
          </w:p>
        </w:tc>
        <w:tc>
          <w:p>
            <w:pPr>
              <w:pStyle w:val="Compact"/>
              <w:jc w:val="center"/>
            </w:pPr>
            <w:r>
              <w:t xml:space="preserve">3</w:t>
            </w:r>
          </w:p>
        </w:tc>
        <w:tc>
          <w:p>
            <w:pPr>
              <w:pStyle w:val="Compact"/>
              <w:jc w:val="center"/>
            </w:pPr>
            <w:r>
              <w:t xml:space="preserve">31</w:t>
            </w:r>
          </w:p>
        </w:tc>
        <w:tc>
          <w:p>
            <w:pPr>
              <w:pStyle w:val="Compact"/>
              <w:jc w:val="center"/>
            </w:pPr>
            <w:r>
              <w:t xml:space="preserve">0.13</w:t>
            </w:r>
          </w:p>
        </w:tc>
        <w:tc>
          <w:p>
            <w:pPr>
              <w:pStyle w:val="Compact"/>
              <w:jc w:val="center"/>
            </w:pPr>
            <w:r>
              <w:t xml:space="preserve">1e-4</w:t>
            </w:r>
          </w:p>
        </w:tc>
      </w:tr>
      <w:tr>
        <w:tc>
          <w:p>
            <w:pPr>
              <w:pStyle w:val="Compact"/>
              <w:jc w:val="left"/>
            </w:pPr>
            <w:r>
              <w:t xml:space="preserve">XGBoost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0.05</w:t>
            </w:r>
          </w:p>
        </w:tc>
      </w:tr>
      <w:tr>
        <w:tc>
          <w:p>
            <w:pPr>
              <w:pStyle w:val="Compact"/>
              <w:jc w:val="left"/>
            </w:pPr>
            <w:r>
              <w:t xml:space="preserve">CNN-Transformer的"2+3"表示2层Transformer + 3层卷积</w:t>
            </w:r>
          </w:p>
        </w:tc>
        <w:tc>
          <w:p/>
        </w:tc>
        <w:tc>
          <w:p/>
        </w:tc>
        <w:tc>
          <w:p/>
        </w:tc>
        <w:tc>
          <w:p/>
        </w:tc>
        <w:tc>
          <w:p/>
        </w:tc>
      </w:tr>
    </w:tbl>
    <w:bookmarkEnd w:id="33"/>
    <w:bookmarkEnd w:id="34"/>
    <w:bookmarkStart w:id="35" w:name="损失函数设计"/>
    <w:p>
      <w:pPr>
        <w:pStyle w:val="Heading2"/>
      </w:pPr>
      <w:r>
        <w:t xml:space="preserve">损失函数设计</w:t>
      </w:r>
    </w:p>
    <w:p>
      <w:pPr>
        <w:pStyle w:val="FirstParagraph"/>
      </w:pPr>
      <w:r>
        <w:t xml:space="preserve">借鉴量化金融中的排序学习（learning-to-rank）理念，本文设计了一种组合损失函数，兼顾预测值的绝对精度和样本间的相对排序。总损失函数如下：</w:t>
      </w:r>
    </w:p>
    <w:p>
      <w:pPr>
        <w:pStyle w:val="BodyText"/>
      </w:pPr>
      <m:oMathPara>
        <m:oMathParaPr>
          <m:jc m:val="center"/>
        </m:oMathParaPr>
        <m:oMath>
          <m:r>
            <m:rPr>
              <m:sty m:val="p"/>
              <m:scr m:val="script"/>
            </m:rPr>
            <m:t>L</m:t>
          </m:r>
          <m:r>
            <m:rPr>
              <m:sty m:val="p"/>
            </m:rPr>
            <m:t>=</m:t>
          </m:r>
          <m:r>
            <m:rPr>
              <m:sty m:val="p"/>
            </m:rPr>
            <m:t>(</m:t>
          </m:r>
          <m:r>
            <m:t>1</m:t>
          </m:r>
          <m:r>
            <m:rPr>
              <m:sty m:val="p"/>
            </m:rPr>
            <m:t>−</m:t>
          </m:r>
          <m:sSub>
            <m:e>
              <m:r>
                <m:t>λ</m:t>
              </m:r>
            </m:e>
            <m:sub>
              <m:r>
                <m:rPr>
                  <m:nor/>
                  <m:sty m:val="p"/>
                </m:rPr>
                <m:t>rank</m:t>
              </m:r>
            </m:sub>
          </m:sSub>
          <m:r>
            <m:rPr>
              <m:sty m:val="p"/>
            </m:rPr>
            <m:t>)</m:t>
          </m:r>
          <m:r>
            <m:rPr>
              <m:sty m:val="p"/>
            </m:rPr>
            <m:t>⋅</m:t>
          </m:r>
          <m:sSub>
            <m:e>
              <m:r>
                <m:rPr>
                  <m:sty m:val="p"/>
                  <m:scr m:val="script"/>
                </m:rPr>
                <m:t>L</m:t>
              </m:r>
            </m:e>
            <m:sub>
              <m:r>
                <m:rPr>
                  <m:nor/>
                  <m:sty m:val="p"/>
                </m:rPr>
                <m:t>Huber</m:t>
              </m:r>
            </m:sub>
          </m:sSub>
          <m:r>
            <m:rPr>
              <m:sty m:val="p"/>
            </m:rPr>
            <m:t>+</m:t>
          </m:r>
          <m:sSub>
            <m:e>
              <m:r>
                <m:t>λ</m:t>
              </m:r>
            </m:e>
            <m:sub>
              <m:r>
                <m:rPr>
                  <m:nor/>
                  <m:sty m:val="p"/>
                </m:rPr>
                <m:t>rank</m:t>
              </m:r>
            </m:sub>
          </m:sSub>
          <m:r>
            <m:rPr>
              <m:sty m:val="p"/>
            </m:rPr>
            <m:t>⋅</m:t>
          </m:r>
          <m:sSub>
            <m:e>
              <m:r>
                <m:rPr>
                  <m:sty m:val="p"/>
                  <m:scr m:val="script"/>
                </m:rPr>
                <m:t>L</m:t>
              </m:r>
            </m:e>
            <m:sub>
              <m:r>
                <m:rPr>
                  <m:nor/>
                  <m:sty m:val="p"/>
                </m:rPr>
                <m:t>Ranking</m:t>
              </m:r>
            </m:sub>
          </m:sSub>
        </m:oMath>
      </m:oMathPara>
    </w:p>
    <w:p>
      <w:pPr>
        <w:pStyle w:val="FirstParagraph"/>
      </w:pPr>
      <w:r>
        <w:t xml:space="preserve">其中</w:t>
      </w:r>
      <m:oMath>
        <m:sSub>
          <m:e>
            <m:r>
              <m:rPr>
                <m:sty m:val="p"/>
                <m:scr m:val="script"/>
              </m:rPr>
              <m:t>L</m:t>
            </m:r>
          </m:e>
          <m:sub>
            <m:r>
              <m:rPr>
                <m:nor/>
                <m:sty m:val="p"/>
              </m:rPr>
              <m:t>Huber</m:t>
            </m:r>
          </m:sub>
        </m:sSub>
      </m:oMath>
      <w:r>
        <w:t xml:space="preserve">为Huber损失（</w:t>
      </w:r>
      <m:oMath>
        <m:r>
          <m:t>δ</m:t>
        </m:r>
        <m:r>
          <m:rPr>
            <m:sty m:val="p"/>
          </m:rPr>
          <m:t>=</m:t>
        </m:r>
        <m:r>
          <m:t>0.3</m:t>
        </m:r>
      </m:oMath>
      <w:r>
        <w:t xml:space="preserve">），对极端离群值具有鲁棒性；</w:t>
      </w:r>
      <m:oMath>
        <m:sSub>
          <m:e>
            <m:r>
              <m:rPr>
                <m:sty m:val="p"/>
                <m:scr m:val="script"/>
              </m:rPr>
              <m:t>L</m:t>
            </m:r>
          </m:e>
          <m:sub>
            <m:r>
              <m:rPr>
                <m:nor/>
                <m:sty m:val="p"/>
              </m:rPr>
              <m:t>Ranking</m:t>
            </m:r>
          </m:sub>
        </m:sSub>
      </m:oMath>
      <w:r>
        <w:t xml:space="preserve">为Margin Ranking Loss：</w:t>
      </w:r>
    </w:p>
    <w:p>
      <w:pPr>
        <w:pStyle w:val="BodyText"/>
      </w:pPr>
      <m:oMathPara>
        <m:oMathParaPr>
          <m:jc m:val="center"/>
        </m:oMathParaPr>
        <m:oMath>
          <m:sSub>
            <m:e>
              <m:r>
                <m:rPr>
                  <m:sty m:val="p"/>
                  <m:scr m:val="script"/>
                </m:rPr>
                <m:t>L</m:t>
              </m:r>
            </m:e>
            <m:sub>
              <m:r>
                <m:rPr>
                  <m:nor/>
                  <m:sty m:val="p"/>
                </m:rPr>
                <m:t>Ranking</m:t>
              </m:r>
            </m:sub>
          </m:sSub>
          <m:r>
            <m:rPr>
              <m:sty m:val="p"/>
            </m:rPr>
            <m:t>=</m:t>
          </m:r>
          <m:f>
            <m:fPr>
              <m:type m:val="bar"/>
            </m:fPr>
            <m:num>
              <m:r>
                <m:t>1</m:t>
              </m:r>
            </m:num>
            <m:den>
              <m:r>
                <m:t>N</m:t>
              </m:r>
            </m:den>
          </m:f>
          <m:nary>
            <m:naryPr>
              <m:chr m:val="∑"/>
              <m:limLoc m:val="undOvr"/>
              <m:subHide m:val="0"/>
              <m:supHide m:val="1"/>
            </m:naryPr>
            <m:sub>
              <m:r>
                <m:rPr>
                  <m:sty m:val="p"/>
                </m:rPr>
                <m:t>(</m:t>
              </m:r>
              <m:r>
                <m:t>i</m:t>
              </m:r>
              <m:r>
                <m:rPr>
                  <m:sty m:val="p"/>
                </m:rPr>
                <m:t>,</m:t>
              </m:r>
              <m:r>
                <m:t>j</m:t>
              </m:r>
              <m:r>
                <m:rPr>
                  <m:sty m:val="p"/>
                </m:rPr>
                <m:t>)</m:t>
              </m:r>
            </m:sub>
            <m:sup>
              <m:r>
                <m:t>​</m:t>
              </m:r>
            </m:sup>
            <m:e>
              <m:r>
                <m:rPr>
                  <m:nor/>
                  <m:sty m:val="p"/>
                </m:rPr>
                <m:t>max</m:t>
              </m:r>
            </m:e>
          </m:nary>
          <m:d>
            <m:dPr>
              <m:begChr m:val="("/>
              <m:endChr m:val=")"/>
              <m:grow/>
            </m:dPr>
            <m:e>
              <m:r>
                <m:t>0</m:t>
              </m:r>
              <m:r>
                <m:rPr>
                  <m:sty m:val="p"/>
                </m:rPr>
                <m:t>,</m:t>
              </m:r>
              <m:r>
                <m:rPr>
                  <m:sty m:val="p"/>
                </m:rPr>
                <m:t>−</m:t>
              </m:r>
              <m:r>
                <m:rPr>
                  <m:nor/>
                  <m:sty m:val="p"/>
                </m:rPr>
                <m:t>sign</m:t>
              </m:r>
              <m:r>
                <m:rPr>
                  <m:sty m:val="p"/>
                </m:rPr>
                <m:t>(</m:t>
              </m:r>
              <m:sSub>
                <m:e>
                  <m:r>
                    <m:t>y</m:t>
                  </m:r>
                </m:e>
                <m:sub>
                  <m:r>
                    <m:t>i</m:t>
                  </m:r>
                </m:sub>
              </m:sSub>
              <m:r>
                <m:rPr>
                  <m:sty m:val="p"/>
                </m:rPr>
                <m:t>−</m:t>
              </m:r>
              <m:sSub>
                <m:e>
                  <m:r>
                    <m:t>y</m:t>
                  </m:r>
                </m:e>
                <m:sub>
                  <m:r>
                    <m:t>j</m:t>
                  </m:r>
                </m:sub>
              </m:sSub>
              <m:r>
                <m:rPr>
                  <m:sty m:val="p"/>
                </m:rPr>
                <m:t>)</m:t>
              </m:r>
              <m:r>
                <m:rPr>
                  <m:sty m:val="p"/>
                </m:rPr>
                <m:t>⋅</m:t>
              </m:r>
              <m:r>
                <m:rPr>
                  <m:sty m:val="p"/>
                </m:rPr>
                <m:t>(</m:t>
              </m:r>
              <m:sSub>
                <m:e>
                  <m:acc>
                    <m:accPr>
                      <m:chr m:val="̂"/>
                    </m:accPr>
                    <m:e>
                      <m:r>
                        <m:t>y</m:t>
                      </m:r>
                    </m:e>
                  </m:acc>
                </m:e>
                <m:sub>
                  <m:r>
                    <m:t>i</m:t>
                  </m:r>
                </m:sub>
              </m:sSub>
              <m:r>
                <m:rPr>
                  <m:sty m:val="p"/>
                </m:rPr>
                <m:t>−</m:t>
              </m:r>
              <m:sSub>
                <m:e>
                  <m:acc>
                    <m:accPr>
                      <m:chr m:val="̂"/>
                    </m:accPr>
                    <m:e>
                      <m:r>
                        <m:t>y</m:t>
                      </m:r>
                    </m:e>
                  </m:acc>
                </m:e>
                <m:sub>
                  <m:r>
                    <m:t>j</m:t>
                  </m:r>
                </m:sub>
              </m:sSub>
              <m:r>
                <m:rPr>
                  <m:sty m:val="p"/>
                </m:rPr>
                <m:t>)</m:t>
              </m:r>
              <m:r>
                <m:rPr>
                  <m:sty m:val="p"/>
                </m:rPr>
                <m:t>+</m:t>
              </m:r>
              <m:r>
                <m:t>m</m:t>
              </m:r>
            </m:e>
          </m:d>
        </m:oMath>
      </m:oMathPara>
    </w:p>
    <w:p>
      <w:pPr>
        <w:pStyle w:val="FirstParagraph"/>
      </w:pPr>
      <w:r>
        <w:t xml:space="preserve">该损失惩罚预测排序与真实排序不一致的样本对，</w:t>
      </w:r>
      <m:oMath>
        <m:r>
          <m:t>m</m:t>
        </m:r>
        <m:r>
          <m:rPr>
            <m:sty m:val="p"/>
          </m:rPr>
          <m:t>=</m:t>
        </m:r>
        <m:r>
          <m:t>0.0005</m:t>
        </m:r>
      </m:oMath>
      <w:r>
        <w:t xml:space="preserve">为排序间隔。在量化交易中，准确的相对排序往往比精确的绝对值更为重要——只要预测方向正确，交易策略即可获利。排序损失权重</w:t>
      </w:r>
      <m:oMath>
        <m:sSub>
          <m:e>
            <m:r>
              <m:t>λ</m:t>
            </m:r>
          </m:e>
          <m:sub>
            <m:r>
              <m:rPr>
                <m:nor/>
                <m:sty m:val="p"/>
              </m:rPr>
              <m:t>rank</m:t>
            </m:r>
          </m:sub>
        </m:sSub>
        <m:r>
          <m:rPr>
            <m:sty m:val="p"/>
          </m:rPr>
          <m:t>=</m:t>
        </m:r>
        <m:r>
          <m:t>0.13</m:t>
        </m:r>
      </m:oMath>
      <w:r>
        <w:t xml:space="preserve">。</w:t>
      </w:r>
    </w:p>
    <w:bookmarkEnd w:id="35"/>
    <w:bookmarkStart w:id="36" w:name="训练设置"/>
    <w:p>
      <w:pPr>
        <w:pStyle w:val="Heading2"/>
      </w:pPr>
      <w:r>
        <w:t xml:space="preserve">训练设置</w:t>
      </w:r>
    </w:p>
    <w:p>
      <w:pPr>
        <w:pStyle w:val="FirstParagraph"/>
      </w:pPr>
      <w:r>
        <w:t xml:space="preserve">所有深度学习模型统一采用以下训练配置：批量大小64，AdamW优化器，权重衰减1e-4，最大训练轮次200，早停耐心值20轮，学习率调度器采用ReduceLROnPlateau（mode=’min’, factor=0.5, patience=10），梯度裁剪阈值1.0。预测值在评估时裁剪至</w:t>
      </w:r>
      <m:oMath>
        <m:r>
          <m:rPr>
            <m:sty m:val="p"/>
          </m:rPr>
          <m:t>[</m:t>
        </m:r>
        <m:r>
          <m:rPr>
            <m:sty m:val="p"/>
          </m:rPr>
          <m:t>−</m:t>
        </m:r>
        <m:r>
          <m:t>0.05</m:t>
        </m:r>
        <m:r>
          <m:rPr>
            <m:sty m:val="p"/>
          </m:rPr>
          <m:t>,</m:t>
        </m:r>
        <m:r>
          <m:t>0.05</m:t>
        </m:r>
        <m:r>
          <m:rPr>
            <m:sty m:val="p"/>
          </m:rPr>
          <m:t>]</m:t>
        </m:r>
      </m:oMath>
      <w:r>
        <w:t xml:space="preserve">区间，以剔除极端预测值对策略指标的干扰。所有实验基于PyTorch 2.x实现。</w:t>
      </w:r>
    </w:p>
    <w:bookmarkEnd w:id="36"/>
    <w:bookmarkEnd w:id="37"/>
    <w:bookmarkStart w:id="40" w:name="实验设计"/>
    <w:p>
      <w:pPr>
        <w:pStyle w:val="Heading1"/>
      </w:pPr>
      <w:r>
        <w:t xml:space="preserve">实验设计</w:t>
      </w:r>
    </w:p>
    <w:bookmarkStart w:id="38" w:name="评估指标"/>
    <w:p>
      <w:pPr>
        <w:pStyle w:val="Heading2"/>
      </w:pPr>
      <w:r>
        <w:t xml:space="preserve">评估指标</w:t>
      </w:r>
    </w:p>
    <w:p>
      <w:pPr>
        <w:pStyle w:val="FirstParagraph"/>
      </w:pPr>
      <w:r>
        <w:t xml:space="preserve">本文从预测能力和策略表现两个维度建立评估体系。预测能力维度包含：</w:t>
      </w:r>
    </w:p>
    <w:p>
      <w:pPr>
        <w:numPr>
          <w:ilvl w:val="0"/>
          <w:numId w:val="1004"/>
        </w:numPr>
      </w:pPr>
      <w:r>
        <w:rPr>
          <w:bCs/>
          <w:b/>
        </w:rPr>
        <w:t xml:space="preserve">Rank IC（IC）：</w:t>
      </w:r>
      <w:r>
        <w:t xml:space="preserve">预测值与真实值之间的Spearman等级相关系数，衡量预测的排序准确性。</w:t>
      </w:r>
    </w:p>
    <w:p>
      <w:pPr>
        <w:numPr>
          <w:ilvl w:val="0"/>
          <w:numId w:val="1004"/>
        </w:numPr>
      </w:pPr>
      <w:r>
        <w:rPr>
          <w:bCs/>
          <w:b/>
        </w:rPr>
        <w:t xml:space="preserve">Pearson IC（PIC）：</w:t>
      </w:r>
      <w:r>
        <w:t xml:space="preserve">预测值与真实值之间的Pearson线性相关系数。</w:t>
      </w:r>
    </w:p>
    <w:p>
      <w:pPr>
        <w:numPr>
          <w:ilvl w:val="0"/>
          <w:numId w:val="1004"/>
        </w:numPr>
      </w:pPr>
      <w:r>
        <w:rPr>
          <w:bCs/>
          <w:b/>
        </w:rPr>
        <w:t xml:space="preserve">方向准确率（DA）：</w:t>
      </w:r>
      <w:r>
        <w:t xml:space="preserve">预测方向（正/负）与真实方向一致的样本比例。</w:t>
      </w:r>
    </w:p>
    <w:p>
      <w:pPr>
        <w:numPr>
          <w:ilvl w:val="0"/>
          <w:numId w:val="1004"/>
        </w:numPr>
      </w:pPr>
      <w:r>
        <w:rPr>
          <w:bCs/>
          <w:b/>
        </w:rPr>
        <w:t xml:space="preserve">均方误差（MSE）：</w:t>
      </w:r>
      <w:r>
        <w:t xml:space="preserve">预测值与真实值之间的均方误差。</w:t>
      </w:r>
    </w:p>
    <w:p>
      <w:pPr>
        <w:pStyle w:val="FirstParagraph"/>
      </w:pPr>
      <w:r>
        <w:t xml:space="preserve">策略表现维度基于一个模拟交易策略计算：当预测值为正时做多，为负时做空，持仓规模为</w:t>
      </w:r>
      <m:oMath>
        <m:r>
          <m:rPr>
            <m:nor/>
            <m:sty m:val="p"/>
          </m:rPr>
          <m:t>sign</m:t>
        </m:r>
        <m:r>
          <m:rPr>
            <m:sty m:val="p"/>
          </m:rPr>
          <m:t>(</m:t>
        </m:r>
        <m:acc>
          <m:accPr>
            <m:chr m:val="̂"/>
          </m:accPr>
          <m:e>
            <m:r>
              <m:t>y</m:t>
            </m:r>
          </m:e>
        </m:acc>
        <m:r>
          <m:rPr>
            <m:sty m:val="p"/>
          </m:rPr>
          <m:t>)</m:t>
        </m:r>
      </m:oMath>
      <w:r>
        <w:t xml:space="preserve">，并考虑0.05%（5 bps）的双边交易成本。在此基础上计算：</w:t>
      </w:r>
    </w:p>
    <w:p>
      <w:pPr>
        <w:numPr>
          <w:ilvl w:val="0"/>
          <w:numId w:val="1005"/>
        </w:numPr>
      </w:pPr>
      <w:r>
        <w:rPr>
          <w:bCs/>
          <w:b/>
        </w:rPr>
        <w:t xml:space="preserve">夏普比率（Sharpe）：</w:t>
      </w:r>
      <w:r>
        <w:t xml:space="preserve">年化夏普比率，时间频率换算系数为2190（年化4小时周期数）。</w:t>
      </w:r>
    </w:p>
    <w:p>
      <w:pPr>
        <w:numPr>
          <w:ilvl w:val="0"/>
          <w:numId w:val="1005"/>
        </w:numPr>
      </w:pPr>
      <w:r>
        <w:rPr>
          <w:bCs/>
          <w:b/>
        </w:rPr>
        <w:t xml:space="preserve">信息比率（IR）：</w:t>
      </w:r>
      <w:r>
        <w:t xml:space="preserve">基于48期滚动Rank IC的均值与标准差之比，衡量信号一致性。</w:t>
      </w:r>
    </w:p>
    <w:p>
      <w:pPr>
        <w:numPr>
          <w:ilvl w:val="0"/>
          <w:numId w:val="1005"/>
        </w:numPr>
      </w:pPr>
      <w:r>
        <w:rPr>
          <w:bCs/>
          <w:b/>
        </w:rPr>
        <w:t xml:space="preserve">最大回撤（MaxDD）：</w:t>
      </w:r>
      <w:r>
        <w:t xml:space="preserve">模拟权益曲线的最大回撤幅度。</w:t>
      </w:r>
    </w:p>
    <w:p>
      <w:pPr>
        <w:numPr>
          <w:ilvl w:val="0"/>
          <w:numId w:val="1005"/>
        </w:numPr>
      </w:pPr>
      <w:r>
        <w:rPr>
          <w:bCs/>
          <w:b/>
        </w:rPr>
        <w:t xml:space="preserve">年化收益（Annual Return）：</w:t>
      </w:r>
      <w:r>
        <w:t xml:space="preserve">年化后的策略平均收益。</w:t>
      </w:r>
    </w:p>
    <w:bookmarkEnd w:id="38"/>
    <w:bookmarkStart w:id="39" w:name="实验设置"/>
    <w:p>
      <w:pPr>
        <w:pStyle w:val="Heading2"/>
      </w:pPr>
      <w:r>
        <w:t xml:space="preserve">实验设置</w:t>
      </w:r>
    </w:p>
    <w:p>
      <w:pPr>
        <w:pStyle w:val="FirstParagraph"/>
      </w:pPr>
      <w:r>
        <w:t xml:space="preserve">本文设计了以下三组实验：</w:t>
      </w:r>
    </w:p>
    <w:p>
      <w:pPr>
        <w:numPr>
          <w:ilvl w:val="0"/>
          <w:numId w:val="1006"/>
        </w:numPr>
      </w:pPr>
      <w:r>
        <w:rPr>
          <w:bCs/>
          <w:b/>
        </w:rPr>
        <w:t xml:space="preserve">全特征集模型对比：</w:t>
      </w:r>
      <w:r>
        <w:t xml:space="preserve">在full特征集上对比全部8个模型的测试集表现，检验不同架构的预测能力。</w:t>
      </w:r>
    </w:p>
    <w:p>
      <w:pPr>
        <w:numPr>
          <w:ilvl w:val="0"/>
          <w:numId w:val="1006"/>
        </w:numPr>
      </w:pPr>
      <w:r>
        <w:rPr>
          <w:bCs/>
          <w:b/>
        </w:rPr>
        <w:t xml:space="preserve">特征消融实验：</w:t>
      </w:r>
      <w:r>
        <w:t xml:space="preserve">在6种特征组合上分别训练8个模型，分析不同模态特征对预测的边际贡献。</w:t>
      </w:r>
    </w:p>
    <w:p>
      <w:pPr>
        <w:numPr>
          <w:ilvl w:val="0"/>
          <w:numId w:val="1006"/>
        </w:numPr>
      </w:pPr>
      <w:r>
        <w:rPr>
          <w:bCs/>
          <w:b/>
        </w:rPr>
        <w:t xml:space="preserve">多种子稳定性分析：</w:t>
      </w:r>
      <w:r>
        <w:t xml:space="preserve">使用4个不同随机种子（0, 1, 42, 123）重复实验，检验结论的统计可靠性。</w:t>
      </w:r>
    </w:p>
    <w:bookmarkEnd w:id="39"/>
    <w:bookmarkEnd w:id="40"/>
    <w:bookmarkStart w:id="49" w:name="实验结果与分析"/>
    <w:p>
      <w:pPr>
        <w:pStyle w:val="Heading1"/>
      </w:pPr>
      <w:r>
        <w:t xml:space="preserve">实验结果与分析</w:t>
      </w:r>
    </w:p>
    <w:bookmarkStart w:id="42" w:name="全特征集模型对比"/>
    <w:p>
      <w:pPr>
        <w:pStyle w:val="Heading2"/>
      </w:pPr>
      <w:r>
        <w:t xml:space="preserve">全特征集模型对比</w:t>
      </w:r>
    </w:p>
    <w:p>
      <w:pPr>
        <w:pStyle w:val="FirstParagraph"/>
      </w:pPr>
      <w:r>
        <w:t xml:space="preserve">表</w:t>
      </w:r>
      <w:hyperlink w:anchor="tab:full_results">
        <w:r>
          <w:rPr>
            <w:rStyle w:val="Hyperlink"/>
          </w:rPr>
          <w:t xml:space="preserve">3</w:t>
        </w:r>
      </w:hyperlink>
      <w:r>
        <w:t xml:space="preserve">展示了全部8个模型在full特征集上（seed=1）的测试集完整评估结果。</w:t>
      </w:r>
    </w:p>
    <w:bookmarkStart w:id="41" w:name="tab:full_results"/>
    <w:p>
      <w:pPr>
        <w:pStyle w:val="TableCaption"/>
      </w:pPr>
      <w:r>
        <w:t xml:space="preserve">全特征集（full）各模型测试集表现对比（seed=1）</w:t>
      </w:r>
    </w:p>
    <w:tbl>
      <w:tblPr>
        <w:tblStyle w:val="Table"/>
        <w:tblW w:type="pct" w:w="0.0"/>
        <w:tblLook w:firstRow="1" w:lastRow="0" w:firstColumn="0" w:lastColumn="0" w:noHBand="0" w:noVBand="0" w:val="0020"/>
        <w:tblCaption w:val="全特征集（full）各模型测试集表现对比（seed=1）"/>
      </w:tblPr>
      <w:tblGrid/>
      <w:tr>
        <w:tc>
          <w:p>
            <w:pPr>
              <w:pStyle w:val="Compact"/>
              <w:jc w:val="left"/>
            </w:pPr>
            <w:r>
              <w:t xml:space="preserve">模型</w:t>
            </w:r>
          </w:p>
        </w:tc>
        <w:tc>
          <w:p>
            <w:pPr>
              <w:pStyle w:val="Compact"/>
              <w:jc w:val="center"/>
            </w:pPr>
            <w:r>
              <w:t xml:space="preserve">IC</w:t>
            </w:r>
          </w:p>
        </w:tc>
        <w:tc>
          <w:p>
            <w:pPr>
              <w:pStyle w:val="Compact"/>
              <w:jc w:val="center"/>
            </w:pPr>
            <w:r>
              <w:t xml:space="preserve">PIC</w:t>
            </w:r>
          </w:p>
        </w:tc>
        <w:tc>
          <w:p>
            <w:pPr>
              <w:pStyle w:val="Compact"/>
              <w:jc w:val="center"/>
            </w:pPr>
            <w:r>
              <w:t xml:space="preserve">DA</w:t>
            </w:r>
          </w:p>
        </w:tc>
        <w:tc>
          <w:p>
            <w:pPr>
              <w:pStyle w:val="Compact"/>
              <w:jc w:val="center"/>
            </w:pPr>
            <w:r>
              <w:t xml:space="preserve">MSE</w:t>
            </w:r>
          </w:p>
        </w:tc>
        <w:tc>
          <w:p>
            <w:pPr>
              <w:pStyle w:val="Compact"/>
              <w:jc w:val="center"/>
            </w:pPr>
            <w:r>
              <w:t xml:space="preserve">Sharpe</w:t>
            </w:r>
          </w:p>
        </w:tc>
        <w:tc>
          <w:p>
            <w:pPr>
              <w:pStyle w:val="Compact"/>
              <w:jc w:val="center"/>
            </w:pPr>
            <w:r>
              <w:t xml:space="preserve">IR</w:t>
            </w:r>
          </w:p>
        </w:tc>
        <w:tc>
          <w:p>
            <w:pPr>
              <w:pStyle w:val="Compact"/>
              <w:jc w:val="center"/>
            </w:pPr>
            <w:r>
              <w:t xml:space="preserve">MaxDD</w:t>
            </w:r>
          </w:p>
        </w:tc>
        <w:tc>
          <w:p>
            <w:pPr>
              <w:pStyle w:val="Compact"/>
              <w:jc w:val="center"/>
            </w:pPr>
            <w:r>
              <w:t xml:space="preserve">AnnRet</w:t>
            </w:r>
          </w:p>
        </w:tc>
      </w:tr>
      <w:tr>
        <w:tc>
          <w:p>
            <w:pPr>
              <w:pStyle w:val="Compact"/>
              <w:jc w:val="left"/>
            </w:pPr>
            <w:r>
              <w:t xml:space="preserve">CNN-Transformer</w:t>
            </w:r>
          </w:p>
        </w:tc>
        <w:tc>
          <w:p>
            <w:pPr>
              <w:pStyle w:val="Compact"/>
              <w:jc w:val="center"/>
            </w:pPr>
            <w:r>
              <w:rPr>
                <w:bCs/>
                <w:b/>
              </w:rPr>
              <w:t xml:space="preserve">0.149</w:t>
            </w:r>
          </w:p>
        </w:tc>
        <w:tc>
          <w:p>
            <w:pPr>
              <w:pStyle w:val="Compact"/>
              <w:jc w:val="center"/>
            </w:pPr>
            <w:r>
              <w:rPr>
                <w:bCs/>
                <w:b/>
              </w:rPr>
              <w:t xml:space="preserve">0.148</w:t>
            </w:r>
          </w:p>
        </w:tc>
        <w:tc>
          <w:p>
            <w:pPr>
              <w:pStyle w:val="Compact"/>
              <w:jc w:val="center"/>
            </w:pPr>
            <w:r>
              <w:rPr>
                <w:bCs/>
                <w:b/>
              </w:rPr>
              <w:t xml:space="preserve">0.549</w:t>
            </w:r>
          </w:p>
        </w:tc>
        <w:tc>
          <w:p>
            <w:pPr>
              <w:pStyle w:val="Compact"/>
              <w:jc w:val="center"/>
            </w:pPr>
            <w:r>
              <w:t xml:space="preserve">0.0001</w:t>
            </w:r>
          </w:p>
        </w:tc>
        <w:tc>
          <w:p>
            <w:pPr>
              <w:pStyle w:val="Compact"/>
              <w:jc w:val="center"/>
            </w:pPr>
            <w:r>
              <w:rPr>
                <w:bCs/>
                <w:b/>
              </w:rPr>
              <w:t xml:space="preserve">5.652</w:t>
            </w:r>
          </w:p>
        </w:tc>
        <w:tc>
          <w:p>
            <w:pPr>
              <w:pStyle w:val="Compact"/>
              <w:jc w:val="center"/>
            </w:pPr>
            <w:r>
              <w:rPr>
                <w:bCs/>
                <w:b/>
              </w:rPr>
              <w:t xml:space="preserve">1.126</w:t>
            </w:r>
          </w:p>
        </w:tc>
        <w:tc>
          <w:p>
            <w:pPr>
              <w:pStyle w:val="Compact"/>
              <w:jc w:val="center"/>
            </w:pPr>
            <w:r>
              <w:t xml:space="preserve">0.186</w:t>
            </w:r>
          </w:p>
        </w:tc>
        <w:tc>
          <w:p>
            <w:pPr>
              <w:pStyle w:val="Compact"/>
              <w:jc w:val="center"/>
            </w:pPr>
            <w:r>
              <w:rPr>
                <w:bCs/>
                <w:b/>
              </w:rPr>
              <w:t xml:space="preserve">2.306</w:t>
            </w:r>
          </w:p>
        </w:tc>
      </w:tr>
      <w:tr>
        <w:tc>
          <w:p>
            <w:pPr>
              <w:pStyle w:val="Compact"/>
              <w:jc w:val="left"/>
            </w:pPr>
            <w:r>
              <w:t xml:space="preserve">LSTM-Transformer</w:t>
            </w:r>
          </w:p>
        </w:tc>
        <w:tc>
          <w:p>
            <w:pPr>
              <w:pStyle w:val="Compact"/>
              <w:jc w:val="center"/>
            </w:pPr>
            <w:r>
              <w:t xml:space="preserve">0.108</w:t>
            </w:r>
          </w:p>
        </w:tc>
        <w:tc>
          <w:p>
            <w:pPr>
              <w:pStyle w:val="Compact"/>
              <w:jc w:val="center"/>
            </w:pPr>
            <w:r>
              <w:t xml:space="preserve">0.131</w:t>
            </w:r>
          </w:p>
        </w:tc>
        <w:tc>
          <w:p>
            <w:pPr>
              <w:pStyle w:val="Compact"/>
              <w:jc w:val="center"/>
            </w:pPr>
            <w:r>
              <w:t xml:space="preserve">0.530</w:t>
            </w:r>
          </w:p>
        </w:tc>
        <w:tc>
          <w:p>
            <w:pPr>
              <w:pStyle w:val="Compact"/>
              <w:jc w:val="center"/>
            </w:pPr>
            <w:r>
              <w:t xml:space="preserve">0.0001</w:t>
            </w:r>
          </w:p>
        </w:tc>
        <w:tc>
          <w:p>
            <w:pPr>
              <w:pStyle w:val="Compact"/>
              <w:jc w:val="center"/>
            </w:pPr>
            <w:r>
              <w:t xml:space="preserve">3.259</w:t>
            </w:r>
          </w:p>
        </w:tc>
        <w:tc>
          <w:p>
            <w:pPr>
              <w:pStyle w:val="Compact"/>
              <w:jc w:val="center"/>
            </w:pPr>
            <w:r>
              <w:t xml:space="preserve">0.865</w:t>
            </w:r>
          </w:p>
        </w:tc>
        <w:tc>
          <w:p>
            <w:pPr>
              <w:pStyle w:val="Compact"/>
              <w:jc w:val="center"/>
            </w:pPr>
            <w:r>
              <w:t xml:space="preserve">0.255</w:t>
            </w:r>
          </w:p>
        </w:tc>
        <w:tc>
          <w:p>
            <w:pPr>
              <w:pStyle w:val="Compact"/>
              <w:jc w:val="center"/>
            </w:pPr>
            <w:r>
              <w:t xml:space="preserve">1.334</w:t>
            </w:r>
          </w:p>
        </w:tc>
      </w:tr>
      <w:tr>
        <w:tc>
          <w:p>
            <w:pPr>
              <w:pStyle w:val="Compact"/>
              <w:jc w:val="left"/>
            </w:pPr>
            <w:r>
              <w:t xml:space="preserve">Transformer</w:t>
            </w:r>
          </w:p>
        </w:tc>
        <w:tc>
          <w:p>
            <w:pPr>
              <w:pStyle w:val="Compact"/>
              <w:jc w:val="center"/>
            </w:pPr>
            <w:r>
              <w:t xml:space="preserve">0.135</w:t>
            </w:r>
          </w:p>
        </w:tc>
        <w:tc>
          <w:p>
            <w:pPr>
              <w:pStyle w:val="Compact"/>
              <w:jc w:val="center"/>
            </w:pPr>
            <w:r>
              <w:t xml:space="preserve">0.159</w:t>
            </w:r>
          </w:p>
        </w:tc>
        <w:tc>
          <w:p>
            <w:pPr>
              <w:pStyle w:val="Compact"/>
              <w:jc w:val="center"/>
            </w:pPr>
            <w:r>
              <w:t xml:space="preserve">0.545</w:t>
            </w:r>
          </w:p>
        </w:tc>
        <w:tc>
          <w:p>
            <w:pPr>
              <w:pStyle w:val="Compact"/>
              <w:jc w:val="center"/>
            </w:pPr>
            <w:r>
              <w:t xml:space="preserve">0.0001</w:t>
            </w:r>
          </w:p>
        </w:tc>
        <w:tc>
          <w:p>
            <w:pPr>
              <w:pStyle w:val="Compact"/>
              <w:jc w:val="center"/>
            </w:pPr>
            <w:r>
              <w:t xml:space="preserve">4.333</w:t>
            </w:r>
          </w:p>
        </w:tc>
        <w:tc>
          <w:p>
            <w:pPr>
              <w:pStyle w:val="Compact"/>
              <w:jc w:val="center"/>
            </w:pPr>
            <w:r>
              <w:t xml:space="preserve">0.983</w:t>
            </w:r>
          </w:p>
        </w:tc>
        <w:tc>
          <w:p>
            <w:pPr>
              <w:pStyle w:val="Compact"/>
              <w:jc w:val="center"/>
            </w:pPr>
            <w:r>
              <w:t xml:space="preserve">0.207</w:t>
            </w:r>
          </w:p>
        </w:tc>
        <w:tc>
          <w:p>
            <w:pPr>
              <w:pStyle w:val="Compact"/>
              <w:jc w:val="center"/>
            </w:pPr>
            <w:r>
              <w:t xml:space="preserve">1.773</w:t>
            </w:r>
          </w:p>
        </w:tc>
      </w:tr>
      <w:tr>
        <w:tc>
          <w:p>
            <w:pPr>
              <w:pStyle w:val="Compact"/>
              <w:jc w:val="left"/>
            </w:pPr>
            <w:r>
              <w:t xml:space="preserve">LSTM</w:t>
            </w:r>
          </w:p>
        </w:tc>
        <w:tc>
          <w:p>
            <w:pPr>
              <w:pStyle w:val="Compact"/>
              <w:jc w:val="center"/>
            </w:pPr>
            <w:r>
              <w:t xml:space="preserve">0.119</w:t>
            </w:r>
          </w:p>
        </w:tc>
        <w:tc>
          <w:p>
            <w:pPr>
              <w:pStyle w:val="Compact"/>
              <w:jc w:val="center"/>
            </w:pPr>
            <w:r>
              <w:t xml:space="preserve">0.093</w:t>
            </w:r>
          </w:p>
        </w:tc>
        <w:tc>
          <w:p>
            <w:pPr>
              <w:pStyle w:val="Compact"/>
              <w:jc w:val="center"/>
            </w:pPr>
            <w:r>
              <w:t xml:space="preserve">0.519</w:t>
            </w:r>
          </w:p>
        </w:tc>
        <w:tc>
          <w:p>
            <w:pPr>
              <w:pStyle w:val="Compact"/>
              <w:jc w:val="center"/>
            </w:pPr>
            <w:r>
              <w:t xml:space="preserve">0.0001</w:t>
            </w:r>
          </w:p>
        </w:tc>
        <w:tc>
          <w:p>
            <w:pPr>
              <w:pStyle w:val="Compact"/>
              <w:jc w:val="center"/>
            </w:pPr>
            <w:r>
              <w:t xml:space="preserve">2.257</w:t>
            </w:r>
          </w:p>
        </w:tc>
        <w:tc>
          <w:p>
            <w:pPr>
              <w:pStyle w:val="Compact"/>
              <w:jc w:val="center"/>
            </w:pPr>
            <w:r>
              <w:t xml:space="preserve">0.991</w:t>
            </w:r>
          </w:p>
        </w:tc>
        <w:tc>
          <w:p>
            <w:pPr>
              <w:pStyle w:val="Compact"/>
              <w:jc w:val="center"/>
            </w:pPr>
            <w:r>
              <w:t xml:space="preserve">0.291</w:t>
            </w:r>
          </w:p>
        </w:tc>
        <w:tc>
          <w:p>
            <w:pPr>
              <w:pStyle w:val="Compact"/>
              <w:jc w:val="center"/>
            </w:pPr>
            <w:r>
              <w:t xml:space="preserve">0.925</w:t>
            </w:r>
          </w:p>
        </w:tc>
      </w:tr>
      <w:tr>
        <w:tc>
          <w:p>
            <w:pPr>
              <w:pStyle w:val="Compact"/>
              <w:jc w:val="left"/>
            </w:pPr>
            <w:r>
              <w:t xml:space="preserve">TCN</w:t>
            </w:r>
          </w:p>
        </w:tc>
        <w:tc>
          <w:p>
            <w:pPr>
              <w:pStyle w:val="Compact"/>
              <w:jc w:val="center"/>
            </w:pPr>
            <w:r>
              <w:t xml:space="preserve">0.062</w:t>
            </w:r>
          </w:p>
        </w:tc>
        <w:tc>
          <w:p>
            <w:pPr>
              <w:pStyle w:val="Compact"/>
              <w:jc w:val="center"/>
            </w:pPr>
            <w:r>
              <w:t xml:space="preserve">0.029</w:t>
            </w:r>
          </w:p>
        </w:tc>
        <w:tc>
          <w:p>
            <w:pPr>
              <w:pStyle w:val="Compact"/>
              <w:jc w:val="center"/>
            </w:pPr>
            <w:r>
              <w:t xml:space="preserve">0.512</w:t>
            </w:r>
          </w:p>
        </w:tc>
        <w:tc>
          <w:p>
            <w:pPr>
              <w:pStyle w:val="Compact"/>
              <w:jc w:val="center"/>
            </w:pPr>
            <w:r>
              <w:t xml:space="preserve">0.0001</w:t>
            </w:r>
          </w:p>
        </w:tc>
        <w:tc>
          <w:p>
            <w:pPr>
              <w:pStyle w:val="Compact"/>
              <w:jc w:val="center"/>
            </w:pPr>
            <w:r>
              <w:t xml:space="preserve">0.050</w:t>
            </w:r>
          </w:p>
        </w:tc>
        <w:tc>
          <w:p>
            <w:pPr>
              <w:pStyle w:val="Compact"/>
              <w:jc w:val="center"/>
            </w:pPr>
            <w:r>
              <w:t xml:space="preserve">0.496</w:t>
            </w:r>
          </w:p>
        </w:tc>
        <w:tc>
          <w:p>
            <w:pPr>
              <w:pStyle w:val="Compact"/>
              <w:jc w:val="center"/>
            </w:pPr>
            <w:r>
              <w:t xml:space="preserve">0.366</w:t>
            </w:r>
          </w:p>
        </w:tc>
        <w:tc>
          <w:p>
            <w:pPr>
              <w:pStyle w:val="Compact"/>
              <w:jc w:val="center"/>
            </w:pPr>
            <w:r>
              <w:t xml:space="preserve">0.021</w:t>
            </w:r>
          </w:p>
        </w:tc>
      </w:tr>
      <w:tr>
        <w:tc>
          <w:p>
            <w:pPr>
              <w:pStyle w:val="Compact"/>
              <w:jc w:val="left"/>
            </w:pPr>
            <w:r>
              <w:t xml:space="preserve">ModernTCN</w:t>
            </w:r>
          </w:p>
        </w:tc>
        <w:tc>
          <w:p>
            <w:pPr>
              <w:pStyle w:val="Compact"/>
              <w:jc w:val="center"/>
            </w:pPr>
            <w:r>
              <w:t xml:space="preserve">0.063</w:t>
            </w:r>
          </w:p>
        </w:tc>
        <w:tc>
          <w:p>
            <w:pPr>
              <w:pStyle w:val="Compact"/>
              <w:jc w:val="center"/>
            </w:pPr>
            <w:r>
              <w:t xml:space="preserve">0.023</w:t>
            </w:r>
          </w:p>
        </w:tc>
        <w:tc>
          <w:p>
            <w:pPr>
              <w:pStyle w:val="Compact"/>
              <w:jc w:val="center"/>
            </w:pPr>
            <w:r>
              <w:t xml:space="preserve">0.513</w:t>
            </w:r>
          </w:p>
        </w:tc>
        <w:tc>
          <w:p>
            <w:pPr>
              <w:pStyle w:val="Compact"/>
              <w:jc w:val="center"/>
            </w:pPr>
            <w:r>
              <w:t xml:space="preserve">0.0001</w:t>
            </w:r>
          </w:p>
        </w:tc>
        <w:tc>
          <w:p>
            <w:pPr>
              <w:pStyle w:val="Compact"/>
              <w:jc w:val="center"/>
            </w:pPr>
            <w:r>
              <w:t xml:space="preserve">0.168</w:t>
            </w:r>
          </w:p>
        </w:tc>
        <w:tc>
          <w:p>
            <w:pPr>
              <w:pStyle w:val="Compact"/>
              <w:jc w:val="center"/>
            </w:pPr>
            <w:r>
              <w:t xml:space="preserve">0.455</w:t>
            </w:r>
          </w:p>
        </w:tc>
        <w:tc>
          <w:p>
            <w:pPr>
              <w:pStyle w:val="Compact"/>
              <w:jc w:val="center"/>
            </w:pPr>
            <w:r>
              <w:t xml:space="preserve">0.415</w:t>
            </w:r>
          </w:p>
        </w:tc>
        <w:tc>
          <w:p>
            <w:pPr>
              <w:pStyle w:val="Compact"/>
              <w:jc w:val="center"/>
            </w:pPr>
            <w:r>
              <w:t xml:space="preserve">0.069</w:t>
            </w:r>
          </w:p>
        </w:tc>
      </w:tr>
      <w:tr>
        <w:tc>
          <w:p>
            <w:pPr>
              <w:pStyle w:val="Compact"/>
              <w:jc w:val="left"/>
            </w:pPr>
            <w:r>
              <w:t xml:space="preserve">PatchTST</w:t>
            </w:r>
          </w:p>
        </w:tc>
        <w:tc>
          <w:p>
            <w:pPr>
              <w:pStyle w:val="Compact"/>
              <w:jc w:val="center"/>
            </w:pPr>
            <w:r>
              <w:t xml:space="preserve">0.090</w:t>
            </w:r>
          </w:p>
        </w:tc>
        <w:tc>
          <w:p>
            <w:pPr>
              <w:pStyle w:val="Compact"/>
              <w:jc w:val="center"/>
            </w:pPr>
            <w:r>
              <w:t xml:space="preserve">0.109</w:t>
            </w:r>
          </w:p>
        </w:tc>
        <w:tc>
          <w:p>
            <w:pPr>
              <w:pStyle w:val="Compact"/>
              <w:jc w:val="center"/>
            </w:pPr>
            <w:r>
              <w:t xml:space="preserve">0.525</w:t>
            </w:r>
          </w:p>
        </w:tc>
        <w:tc>
          <w:p>
            <w:pPr>
              <w:pStyle w:val="Compact"/>
              <w:jc w:val="center"/>
            </w:pPr>
            <w:r>
              <w:t xml:space="preserve">0.0001</w:t>
            </w:r>
          </w:p>
        </w:tc>
        <w:tc>
          <w:p>
            <w:pPr>
              <w:pStyle w:val="Compact"/>
              <w:jc w:val="center"/>
            </w:pPr>
            <w:r>
              <w:t xml:space="preserve">2.270</w:t>
            </w:r>
          </w:p>
        </w:tc>
        <w:tc>
          <w:p>
            <w:pPr>
              <w:pStyle w:val="Compact"/>
              <w:jc w:val="center"/>
            </w:pPr>
            <w:r>
              <w:t xml:space="preserve">0.685</w:t>
            </w:r>
          </w:p>
        </w:tc>
        <w:tc>
          <w:p>
            <w:pPr>
              <w:pStyle w:val="Compact"/>
              <w:jc w:val="center"/>
            </w:pPr>
            <w:r>
              <w:t xml:space="preserve">0.258</w:t>
            </w:r>
          </w:p>
        </w:tc>
        <w:tc>
          <w:p>
            <w:pPr>
              <w:pStyle w:val="Compact"/>
              <w:jc w:val="center"/>
            </w:pPr>
            <w:r>
              <w:t xml:space="preserve">0.933</w:t>
            </w:r>
          </w:p>
        </w:tc>
      </w:tr>
      <w:tr>
        <w:tc>
          <w:p>
            <w:pPr>
              <w:pStyle w:val="Compact"/>
              <w:jc w:val="left"/>
            </w:pPr>
            <w:r>
              <w:t xml:space="preserve">XGBoost</w:t>
            </w:r>
          </w:p>
        </w:tc>
        <w:tc>
          <w:p>
            <w:pPr>
              <w:pStyle w:val="Compact"/>
              <w:jc w:val="center"/>
            </w:pPr>
            <w:r>
              <w:t xml:space="preserve">0.128</w:t>
            </w:r>
          </w:p>
        </w:tc>
        <w:tc>
          <w:p>
            <w:pPr>
              <w:pStyle w:val="Compact"/>
              <w:jc w:val="center"/>
            </w:pPr>
            <w:r>
              <w:t xml:space="preserve">0.144</w:t>
            </w:r>
          </w:p>
        </w:tc>
        <w:tc>
          <w:p>
            <w:pPr>
              <w:pStyle w:val="Compact"/>
              <w:jc w:val="center"/>
            </w:pPr>
            <w:r>
              <w:t xml:space="preserve">0.542</w:t>
            </w:r>
          </w:p>
        </w:tc>
        <w:tc>
          <w:p>
            <w:pPr>
              <w:pStyle w:val="Compact"/>
              <w:jc w:val="center"/>
            </w:pPr>
            <w:r>
              <w:t xml:space="preserve">0.0001</w:t>
            </w:r>
          </w:p>
        </w:tc>
        <w:tc>
          <w:p>
            <w:pPr>
              <w:pStyle w:val="Compact"/>
              <w:jc w:val="center"/>
            </w:pPr>
            <w:r>
              <w:t xml:space="preserve">4.496</w:t>
            </w:r>
          </w:p>
        </w:tc>
        <w:tc>
          <w:p>
            <w:pPr>
              <w:pStyle w:val="Compact"/>
              <w:jc w:val="center"/>
            </w:pPr>
            <w:r>
              <w:t xml:space="preserve">0.885</w:t>
            </w:r>
          </w:p>
        </w:tc>
        <w:tc>
          <w:p>
            <w:pPr>
              <w:pStyle w:val="Compact"/>
              <w:jc w:val="center"/>
            </w:pPr>
            <w:r>
              <w:t xml:space="preserve">0.183</w:t>
            </w:r>
          </w:p>
        </w:tc>
        <w:tc>
          <w:p>
            <w:pPr>
              <w:pStyle w:val="Compact"/>
              <w:jc w:val="center"/>
            </w:pPr>
            <w:r>
              <w:t xml:space="preserve">1.838</w:t>
            </w:r>
          </w:p>
        </w:tc>
      </w:tr>
      <w:tr>
        <w:tc>
          <w:p>
            <w:pPr>
              <w:pStyle w:val="Compact"/>
              <w:jc w:val="left"/>
            </w:pPr>
            <w:r>
              <w:t xml:space="preserve">Buy&amp;Hold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bl>
    <w:bookmarkEnd w:id="41"/>
    <w:p>
      <w:pPr>
        <w:pStyle w:val="BodyText"/>
      </w:pPr>
      <w:r>
        <w:t xml:space="preserve">从表</w:t>
      </w:r>
      <w:hyperlink w:anchor="tab:full_results">
        <w:r>
          <w:rPr>
            <w:rStyle w:val="Hyperlink"/>
          </w:rPr>
          <w:t xml:space="preserve">3</w:t>
        </w:r>
      </w:hyperlink>
      <w:r>
        <w:t xml:space="preserve">可以观察到以下核心发现：</w:t>
      </w:r>
    </w:p>
    <w:p>
      <w:pPr>
        <w:pStyle w:val="BodyText"/>
      </w:pPr>
      <w:r>
        <w:rPr>
          <w:bCs/>
          <w:b/>
        </w:rPr>
        <w:t xml:space="preserve">（1）CNN-Transformer全面领先。</w:t>
      </w:r>
      <w:r>
        <w:t xml:space="preserve">CNN-Transformer在大多数评估指标上取得了最优结果，测试集夏普比率高达5.65，Rank IC为0.149，年化收益230.6%。其混合架构——CNN提取局部模式+Transformer建模长距离依赖——在加密货币收益预测中发挥了协同效应。</w:t>
      </w:r>
    </w:p>
    <w:p>
      <w:pPr>
        <w:pStyle w:val="BodyText"/>
      </w:pPr>
      <w:r>
        <w:rPr>
          <w:bCs/>
          <w:b/>
        </w:rPr>
        <w:t xml:space="preserve">（2）Transformer及变体表现突出。</w:t>
      </w:r>
      <w:r>
        <w:t xml:space="preserve">Transformer（Sharpe=4.33）和LSTM-Transformer（Sharpe=3.26）也取得了较强结果，证实自注意力机制在此任务上的有效性。XGBoost在树模型基础上取得了4.50的夏普比率，方向准确率（54.2%）接近最优水平，展示出较强的基准表现。</w:t>
      </w:r>
    </w:p>
    <w:p>
      <w:pPr>
        <w:pStyle w:val="BodyText"/>
      </w:pPr>
      <w:r>
        <w:rPr>
          <w:bCs/>
          <w:b/>
        </w:rPr>
        <w:t xml:space="preserve">（3）ModernTCN极端过拟合。</w:t>
      </w:r>
      <w:r>
        <w:t xml:space="preserve">ModernTCN在训练集上的夏普比率高达19.30，但测试集仅0.17，该极端的训练-测试差距表明模型过度拟合了训练数据中的噪声模式，而非可泛化的信号。TCN也存在类似问题（训练Sharpe=4.12，测试Sharpe=0.05），但程度较轻。这一发现与Luo等人</w:t>
      </w:r>
      <w:r>
        <w:t xml:space="preserve">报告的ModernTCN在多变量预测基准上的优异表现形成对比，提示在金融收益预测这种低信噪比任务中，大卷积核可能反而成为过拟合的催化剂。</w:t>
      </w:r>
    </w:p>
    <w:p>
      <w:pPr>
        <w:pStyle w:val="BodyText"/>
      </w:pPr>
      <w:r>
        <w:rPr>
          <w:bCs/>
          <w:b/>
        </w:rPr>
        <w:t xml:space="preserve">（4）模型排名存在有趣的张力。</w:t>
      </w:r>
      <w:r>
        <w:t xml:space="preserve">从预测能力角度（IC），CNN-Transformer与Transformer的差异（0.149 vs 0.135）相对温和；但从策略角度（Sharpe），差距更为显著（5.65 vs 4.33）。这说明IC的微小提升可能转换为夏普比率的显著改善——这一非线性放大效应在量化交易实践中至关重要。</w:t>
      </w:r>
    </w:p>
    <w:bookmarkEnd w:id="42"/>
    <w:bookmarkStart w:id="44" w:name="特征消融实验"/>
    <w:p>
      <w:pPr>
        <w:pStyle w:val="Heading2"/>
      </w:pPr>
      <w:r>
        <w:t xml:space="preserve">特征消融实验</w:t>
      </w:r>
    </w:p>
    <w:p>
      <w:pPr>
        <w:pStyle w:val="FirstParagraph"/>
      </w:pPr>
      <w:r>
        <w:t xml:space="preserve">表</w:t>
      </w:r>
      <w:hyperlink w:anchor="tab:feature_ablation">
        <w:r>
          <w:rPr>
            <w:rStyle w:val="Hyperlink"/>
          </w:rPr>
          <w:t xml:space="preserve">4</w:t>
        </w:r>
      </w:hyperlink>
      <w:r>
        <w:t xml:space="preserve">展示了6种特征组合下各模型测试集的夏普比率，以及同模型跨特征集的排名情况。</w:t>
      </w:r>
    </w:p>
    <w:bookmarkStart w:id="43" w:name="tab:feature_ablation"/>
    <w:p>
      <w:pPr>
        <w:pStyle w:val="TableCaption"/>
      </w:pPr>
      <w:r>
        <w:t xml:space="preserve">各模型在六种特征组合下的测试集夏普比率对比（seed=1）</w:t>
      </w:r>
    </w:p>
    <w:tbl>
      <w:tblPr>
        <w:tblStyle w:val="Table"/>
        <w:tblW w:type="pct" w:w="0.0"/>
        <w:tblLook w:firstRow="0" w:lastRow="0" w:firstColumn="0" w:lastColumn="0" w:noHBand="0" w:noVBand="0" w:val="0000"/>
        <w:tblCaption w:val="各模型在六种特征组合下的测试集夏普比率对比（seed=1）"/>
      </w:tblPr>
      <w:tblGrid/>
      <w:tr>
        <w:tc>
          <w:p>
            <w:pPr>
              <w:pStyle w:val="Compact"/>
              <w:jc w:val="left"/>
            </w:pPr>
            <w:r>
              <w:t xml:space="preserve">模型</w:t>
            </w:r>
          </w:p>
        </w:tc>
        <w:tc>
          <w:p>
            <w:pPr>
              <w:pStyle w:val="Compact"/>
              <w:jc w:val="center"/>
            </w:pPr>
            <w:r>
              <w:t xml:space="preserve">特征组合</w:t>
            </w:r>
          </w:p>
        </w:tc>
        <w:tc>
          <w:p/>
        </w:tc>
        <w:tc>
          <w:p/>
        </w:tc>
        <w:tc>
          <w:p/>
        </w:tc>
        <w:tc>
          <w:p/>
        </w:tc>
        <w:tc>
          <w:p/>
        </w:tc>
        <w:tc>
          <w:p>
            <w:pPr>
              <w:pStyle w:val="Compact"/>
              <w:jc w:val="center"/>
            </w:pPr>
            <w:r>
              <w:t xml:space="preserve">均值</w:t>
            </w:r>
          </w:p>
        </w:tc>
        <w:tc>
          <w:p>
            <w:pPr>
              <w:pStyle w:val="Compact"/>
              <w:jc w:val="center"/>
            </w:pPr>
            <w:r>
              <w:t xml:space="preserve">标准差</w:t>
            </w:r>
          </w:p>
        </w:tc>
      </w:tr>
      <w:tr>
        <w:tc>
          <w:p/>
        </w:tc>
        <w:tc>
          <w:p>
            <w:pPr>
              <w:pStyle w:val="Compact"/>
              <w:jc w:val="center"/>
            </w:pPr>
            <w:r>
              <w:t xml:space="preserve">only</w:t>
            </w:r>
          </w:p>
        </w:tc>
        <w:tc>
          <w:p/>
        </w:tc>
        <w:tc>
          <w:p/>
        </w:tc>
        <w:tc>
          <w:p>
            <w:pPr>
              <w:pStyle w:val="Compact"/>
              <w:jc w:val="center"/>
            </w:pPr>
            <w:r>
              <w:t xml:space="preserve">funding</w:t>
            </w:r>
          </w:p>
        </w:tc>
        <w:tc>
          <w:p>
            <w:pPr>
              <w:pStyle w:val="Compact"/>
              <w:jc w:val="center"/>
            </w:pPr>
            <w:r>
              <w:t xml:space="preserve">fng</w:t>
            </w:r>
          </w:p>
        </w:tc>
        <w:tc>
          <w:p>
            <w:pPr>
              <w:pStyle w:val="Compact"/>
              <w:jc w:val="center"/>
            </w:pPr>
            <w:r>
              <w:t xml:space="preserve">onchain</w:t>
            </w:r>
          </w:p>
        </w:tc>
        <w:tc>
          <w:p>
            <w:pPr>
              <w:pStyle w:val="Compact"/>
              <w:jc w:val="center"/>
            </w:pPr>
            <w:r>
              <w:t xml:space="preserve">long_on</w:t>
            </w:r>
          </w:p>
        </w:tc>
        <w:tc>
          <w:p>
            <w:pPr>
              <w:pStyle w:val="Compact"/>
              <w:jc w:val="center"/>
            </w:pPr>
            <w:r>
              <w:t xml:space="preserve">full</w:t>
            </w:r>
          </w:p>
        </w:tc>
      </w:tr>
      <w:tr>
        <w:tc>
          <w:p>
            <w:pPr>
              <w:pStyle w:val="Compact"/>
              <w:jc w:val="left"/>
            </w:pPr>
            <w:r>
              <w:t xml:space="preserve">CNN-Transformer</w:t>
            </w:r>
          </w:p>
        </w:tc>
        <w:tc>
          <w:p>
            <w:pPr>
              <w:pStyle w:val="Compact"/>
              <w:jc w:val="center"/>
            </w:pPr>
            <w:r>
              <w:t xml:space="preserve">-2.27</w:t>
            </w:r>
          </w:p>
        </w:tc>
        <w:tc>
          <w:p>
            <w:pPr>
              <w:pStyle w:val="Compact"/>
              <w:jc w:val="center"/>
            </w:pPr>
            <w:r>
              <w:t xml:space="preserve">-2.52</w:t>
            </w:r>
          </w:p>
        </w:tc>
        <w:tc>
          <w:p>
            <w:pPr>
              <w:pStyle w:val="Compact"/>
              <w:jc w:val="center"/>
            </w:pPr>
            <w:r>
              <w:t xml:space="preserve">2.20</w:t>
            </w:r>
          </w:p>
        </w:tc>
        <w:tc>
          <w:p>
            <w:pPr>
              <w:pStyle w:val="Compact"/>
              <w:jc w:val="center"/>
            </w:pPr>
            <w:r>
              <w:t xml:space="preserve">-0.85</w:t>
            </w:r>
          </w:p>
        </w:tc>
        <w:tc>
          <w:p>
            <w:pPr>
              <w:pStyle w:val="Compact"/>
              <w:jc w:val="center"/>
            </w:pPr>
            <w:r>
              <w:t xml:space="preserve">-2.90</w:t>
            </w:r>
          </w:p>
        </w:tc>
        <w:tc>
          <w:p>
            <w:pPr>
              <w:pStyle w:val="Compact"/>
              <w:jc w:val="center"/>
            </w:pPr>
            <w:r>
              <w:rPr>
                <w:bCs/>
                <w:b/>
              </w:rPr>
              <w:t xml:space="preserve">5.65</w:t>
            </w:r>
          </w:p>
        </w:tc>
        <w:tc>
          <w:p>
            <w:pPr>
              <w:pStyle w:val="Compact"/>
              <w:jc w:val="center"/>
            </w:pPr>
            <w:r>
              <w:t xml:space="preserve">-0.11</w:t>
            </w:r>
          </w:p>
        </w:tc>
        <w:tc>
          <w:p>
            <w:pPr>
              <w:pStyle w:val="Compact"/>
              <w:jc w:val="center"/>
            </w:pPr>
            <w:r>
              <w:t xml:space="preserve">3.26</w:t>
            </w:r>
          </w:p>
        </w:tc>
      </w:tr>
      <w:tr>
        <w:tc>
          <w:p>
            <w:pPr>
              <w:pStyle w:val="Compact"/>
              <w:jc w:val="left"/>
            </w:pPr>
            <w:r>
              <w:t xml:space="preserve">Transformer</w:t>
            </w:r>
          </w:p>
        </w:tc>
        <w:tc>
          <w:p>
            <w:pPr>
              <w:pStyle w:val="Compact"/>
              <w:jc w:val="center"/>
            </w:pPr>
            <w:r>
              <w:t xml:space="preserve">-1.94</w:t>
            </w:r>
          </w:p>
        </w:tc>
        <w:tc>
          <w:p>
            <w:pPr>
              <w:pStyle w:val="Compact"/>
              <w:jc w:val="center"/>
            </w:pPr>
            <w:r>
              <w:t xml:space="preserve">-2.00</w:t>
            </w:r>
          </w:p>
        </w:tc>
        <w:tc>
          <w:p>
            <w:pPr>
              <w:pStyle w:val="Compact"/>
              <w:jc w:val="center"/>
            </w:pPr>
            <w:r>
              <w:t xml:space="preserve">4.37</w:t>
            </w:r>
          </w:p>
        </w:tc>
        <w:tc>
          <w:p>
            <w:pPr>
              <w:pStyle w:val="Compact"/>
              <w:jc w:val="center"/>
            </w:pPr>
            <w:r>
              <w:t xml:space="preserve">-1.42</w:t>
            </w:r>
          </w:p>
        </w:tc>
        <w:tc>
          <w:p>
            <w:pPr>
              <w:pStyle w:val="Compact"/>
              <w:jc w:val="center"/>
            </w:pPr>
            <w:r>
              <w:t xml:space="preserve">-2.70</w:t>
            </w:r>
          </w:p>
        </w:tc>
        <w:tc>
          <w:p>
            <w:pPr>
              <w:pStyle w:val="Compact"/>
              <w:jc w:val="center"/>
            </w:pPr>
            <w:r>
              <w:rPr>
                <w:bCs/>
                <w:b/>
              </w:rPr>
              <w:t xml:space="preserve">4.33</w:t>
            </w:r>
          </w:p>
        </w:tc>
        <w:tc>
          <w:p>
            <w:pPr>
              <w:pStyle w:val="Compact"/>
              <w:jc w:val="center"/>
            </w:pPr>
            <w:r>
              <w:t xml:space="preserve">0.11</w:t>
            </w:r>
          </w:p>
        </w:tc>
        <w:tc>
          <w:p>
            <w:pPr>
              <w:pStyle w:val="Compact"/>
              <w:jc w:val="center"/>
            </w:pPr>
            <w:r>
              <w:t xml:space="preserve">3.14</w:t>
            </w:r>
          </w:p>
        </w:tc>
      </w:tr>
      <w:tr>
        <w:tc>
          <w:p>
            <w:pPr>
              <w:pStyle w:val="Compact"/>
              <w:jc w:val="left"/>
            </w:pPr>
            <w:r>
              <w:t xml:space="preserve">LSTM</w:t>
            </w:r>
          </w:p>
        </w:tc>
        <w:tc>
          <w:p>
            <w:pPr>
              <w:pStyle w:val="Compact"/>
              <w:jc w:val="center"/>
            </w:pPr>
            <w:r>
              <w:t xml:space="preserve">-1.10</w:t>
            </w:r>
          </w:p>
        </w:tc>
        <w:tc>
          <w:p>
            <w:pPr>
              <w:pStyle w:val="Compact"/>
              <w:jc w:val="center"/>
            </w:pPr>
            <w:r>
              <w:t xml:space="preserve">-0.19</w:t>
            </w:r>
          </w:p>
        </w:tc>
        <w:tc>
          <w:p>
            <w:pPr>
              <w:pStyle w:val="Compact"/>
              <w:jc w:val="center"/>
            </w:pPr>
            <w:r>
              <w:t xml:space="preserve">4.28</w:t>
            </w:r>
          </w:p>
        </w:tc>
        <w:tc>
          <w:p>
            <w:pPr>
              <w:pStyle w:val="Compact"/>
              <w:jc w:val="center"/>
            </w:pPr>
            <w:r>
              <w:t xml:space="preserve">-2.01</w:t>
            </w:r>
          </w:p>
        </w:tc>
        <w:tc>
          <w:p>
            <w:pPr>
              <w:pStyle w:val="Compact"/>
              <w:jc w:val="center"/>
            </w:pPr>
            <w:r>
              <w:t xml:space="preserve">-1.87</w:t>
            </w:r>
          </w:p>
        </w:tc>
        <w:tc>
          <w:p>
            <w:pPr>
              <w:pStyle w:val="Compact"/>
              <w:jc w:val="center"/>
            </w:pPr>
            <w:r>
              <w:rPr>
                <w:bCs/>
                <w:b/>
              </w:rPr>
              <w:t xml:space="preserve">2.26</w:t>
            </w:r>
          </w:p>
        </w:tc>
        <w:tc>
          <w:p>
            <w:pPr>
              <w:pStyle w:val="Compact"/>
              <w:jc w:val="center"/>
            </w:pPr>
            <w:r>
              <w:t xml:space="preserve">0.23</w:t>
            </w:r>
          </w:p>
        </w:tc>
        <w:tc>
          <w:p>
            <w:pPr>
              <w:pStyle w:val="Compact"/>
              <w:jc w:val="center"/>
            </w:pPr>
            <w:r>
              <w:t xml:space="preserve">2.60</w:t>
            </w:r>
          </w:p>
        </w:tc>
      </w:tr>
      <w:tr>
        <w:tc>
          <w:p>
            <w:pPr>
              <w:pStyle w:val="Compact"/>
              <w:jc w:val="left"/>
            </w:pPr>
            <w:r>
              <w:t xml:space="preserve">LSTM-Transformer</w:t>
            </w:r>
          </w:p>
        </w:tc>
        <w:tc>
          <w:p>
            <w:pPr>
              <w:pStyle w:val="Compact"/>
              <w:jc w:val="center"/>
            </w:pPr>
            <w:r>
              <w:t xml:space="preserve">-0.07</w:t>
            </w:r>
          </w:p>
        </w:tc>
        <w:tc>
          <w:p>
            <w:pPr>
              <w:pStyle w:val="Compact"/>
              <w:jc w:val="center"/>
            </w:pPr>
            <w:r>
              <w:t xml:space="preserve">-0.81</w:t>
            </w:r>
          </w:p>
        </w:tc>
        <w:tc>
          <w:p>
            <w:pPr>
              <w:pStyle w:val="Compact"/>
              <w:jc w:val="center"/>
            </w:pPr>
            <w:r>
              <w:t xml:space="preserve">0.46</w:t>
            </w:r>
          </w:p>
        </w:tc>
        <w:tc>
          <w:p>
            <w:pPr>
              <w:pStyle w:val="Compact"/>
              <w:jc w:val="center"/>
            </w:pPr>
            <w:r>
              <w:t xml:space="preserve">-0.94</w:t>
            </w:r>
          </w:p>
        </w:tc>
        <w:tc>
          <w:p>
            <w:pPr>
              <w:pStyle w:val="Compact"/>
              <w:jc w:val="center"/>
            </w:pPr>
            <w:r>
              <w:t xml:space="preserve">-1.94</w:t>
            </w:r>
          </w:p>
        </w:tc>
        <w:tc>
          <w:p>
            <w:pPr>
              <w:pStyle w:val="Compact"/>
              <w:jc w:val="center"/>
            </w:pPr>
            <w:r>
              <w:rPr>
                <w:bCs/>
                <w:b/>
              </w:rPr>
              <w:t xml:space="preserve">3.26</w:t>
            </w:r>
          </w:p>
        </w:tc>
        <w:tc>
          <w:p>
            <w:pPr>
              <w:pStyle w:val="Compact"/>
              <w:jc w:val="center"/>
            </w:pPr>
            <w:r>
              <w:t xml:space="preserve">-0.01</w:t>
            </w:r>
          </w:p>
        </w:tc>
        <w:tc>
          <w:p>
            <w:pPr>
              <w:pStyle w:val="Compact"/>
              <w:jc w:val="center"/>
            </w:pPr>
            <w:r>
              <w:t xml:space="preserve">1.81</w:t>
            </w:r>
          </w:p>
        </w:tc>
      </w:tr>
      <w:tr>
        <w:tc>
          <w:p>
            <w:pPr>
              <w:pStyle w:val="Compact"/>
              <w:jc w:val="left"/>
            </w:pPr>
            <w:r>
              <w:t xml:space="preserve">TCN</w:t>
            </w:r>
          </w:p>
        </w:tc>
        <w:tc>
          <w:p>
            <w:pPr>
              <w:pStyle w:val="Compact"/>
              <w:jc w:val="center"/>
            </w:pPr>
            <w:r>
              <w:t xml:space="preserve">-2.79</w:t>
            </w:r>
          </w:p>
        </w:tc>
        <w:tc>
          <w:p>
            <w:pPr>
              <w:pStyle w:val="Compact"/>
              <w:jc w:val="center"/>
            </w:pPr>
            <w:r>
              <w:t xml:space="preserve">-3.31</w:t>
            </w:r>
          </w:p>
        </w:tc>
        <w:tc>
          <w:p>
            <w:pPr>
              <w:pStyle w:val="Compact"/>
              <w:jc w:val="center"/>
            </w:pPr>
            <w:r>
              <w:t xml:space="preserve">1.75</w:t>
            </w:r>
          </w:p>
        </w:tc>
        <w:tc>
          <w:p>
            <w:pPr>
              <w:pStyle w:val="Compact"/>
              <w:jc w:val="center"/>
            </w:pPr>
            <w:r>
              <w:t xml:space="preserve">-3.11</w:t>
            </w:r>
          </w:p>
        </w:tc>
        <w:tc>
          <w:p>
            <w:pPr>
              <w:pStyle w:val="Compact"/>
              <w:jc w:val="center"/>
            </w:pPr>
            <w:r>
              <w:t xml:space="preserve">-2.76</w:t>
            </w:r>
          </w:p>
        </w:tc>
        <w:tc>
          <w:p>
            <w:pPr>
              <w:pStyle w:val="Compact"/>
              <w:jc w:val="center"/>
            </w:pPr>
            <w:r>
              <w:rPr>
                <w:bCs/>
                <w:b/>
              </w:rPr>
              <w:t xml:space="preserve">0.05</w:t>
            </w:r>
          </w:p>
        </w:tc>
        <w:tc>
          <w:p>
            <w:pPr>
              <w:pStyle w:val="Compact"/>
              <w:jc w:val="center"/>
            </w:pPr>
            <w:r>
              <w:t xml:space="preserve">-1.70</w:t>
            </w:r>
          </w:p>
        </w:tc>
        <w:tc>
          <w:p>
            <w:pPr>
              <w:pStyle w:val="Compact"/>
              <w:jc w:val="center"/>
            </w:pPr>
            <w:r>
              <w:t xml:space="preserve">2.36</w:t>
            </w:r>
          </w:p>
        </w:tc>
      </w:tr>
      <w:tr>
        <w:tc>
          <w:p>
            <w:pPr>
              <w:pStyle w:val="Compact"/>
              <w:jc w:val="left"/>
            </w:pPr>
            <w:r>
              <w:t xml:space="preserve">ModernTCN</w:t>
            </w:r>
          </w:p>
        </w:tc>
        <w:tc>
          <w:p>
            <w:pPr>
              <w:pStyle w:val="Compact"/>
              <w:jc w:val="center"/>
            </w:pPr>
            <w:r>
              <w:t xml:space="preserve">-2.35</w:t>
            </w:r>
          </w:p>
        </w:tc>
        <w:tc>
          <w:p>
            <w:pPr>
              <w:pStyle w:val="Compact"/>
              <w:jc w:val="center"/>
            </w:pPr>
            <w:r>
              <w:t xml:space="preserve">-1.20</w:t>
            </w:r>
          </w:p>
        </w:tc>
        <w:tc>
          <w:p>
            <w:pPr>
              <w:pStyle w:val="Compact"/>
              <w:jc w:val="center"/>
            </w:pPr>
            <w:r>
              <w:t xml:space="preserve">2.39</w:t>
            </w:r>
          </w:p>
        </w:tc>
        <w:tc>
          <w:p>
            <w:pPr>
              <w:pStyle w:val="Compact"/>
              <w:jc w:val="center"/>
            </w:pPr>
            <w:r>
              <w:t xml:space="preserve">-3.69</w:t>
            </w:r>
          </w:p>
        </w:tc>
        <w:tc>
          <w:p>
            <w:pPr>
              <w:pStyle w:val="Compact"/>
              <w:jc w:val="center"/>
            </w:pPr>
            <w:r>
              <w:t xml:space="preserve">-0.61</w:t>
            </w:r>
          </w:p>
        </w:tc>
        <w:tc>
          <w:p>
            <w:pPr>
              <w:pStyle w:val="Compact"/>
              <w:jc w:val="center"/>
            </w:pPr>
            <w:r>
              <w:rPr>
                <w:bCs/>
                <w:b/>
              </w:rPr>
              <w:t xml:space="preserve">0.17</w:t>
            </w:r>
          </w:p>
        </w:tc>
        <w:tc>
          <w:p>
            <w:pPr>
              <w:pStyle w:val="Compact"/>
              <w:jc w:val="center"/>
            </w:pPr>
            <w:r>
              <w:t xml:space="preserve">-0.88</w:t>
            </w:r>
          </w:p>
        </w:tc>
        <w:tc>
          <w:p>
            <w:pPr>
              <w:pStyle w:val="Compact"/>
              <w:jc w:val="center"/>
            </w:pPr>
            <w:r>
              <w:t xml:space="preserve">1.97</w:t>
            </w:r>
          </w:p>
        </w:tc>
      </w:tr>
      <w:tr>
        <w:tc>
          <w:p>
            <w:pPr>
              <w:pStyle w:val="Compact"/>
              <w:jc w:val="left"/>
            </w:pPr>
            <w:r>
              <w:t xml:space="preserve">PatchTST</w:t>
            </w:r>
          </w:p>
        </w:tc>
        <w:tc>
          <w:p>
            <w:pPr>
              <w:pStyle w:val="Compact"/>
              <w:jc w:val="center"/>
            </w:pPr>
            <w:r>
              <w:t xml:space="preserve">-1.98</w:t>
            </w:r>
          </w:p>
        </w:tc>
        <w:tc>
          <w:p>
            <w:pPr>
              <w:pStyle w:val="Compact"/>
              <w:jc w:val="center"/>
            </w:pPr>
            <w:r>
              <w:t xml:space="preserve">-2.30</w:t>
            </w:r>
          </w:p>
        </w:tc>
        <w:tc>
          <w:p>
            <w:pPr>
              <w:pStyle w:val="Compact"/>
              <w:jc w:val="center"/>
            </w:pPr>
            <w:r>
              <w:t xml:space="preserve">3.36</w:t>
            </w:r>
          </w:p>
        </w:tc>
        <w:tc>
          <w:p>
            <w:pPr>
              <w:pStyle w:val="Compact"/>
              <w:jc w:val="center"/>
            </w:pPr>
            <w:r>
              <w:t xml:space="preserve">-0.93</w:t>
            </w:r>
          </w:p>
        </w:tc>
        <w:tc>
          <w:p>
            <w:pPr>
              <w:pStyle w:val="Compact"/>
              <w:jc w:val="center"/>
            </w:pPr>
            <w:r>
              <w:t xml:space="preserve">-2.23</w:t>
            </w:r>
          </w:p>
        </w:tc>
        <w:tc>
          <w:p>
            <w:pPr>
              <w:pStyle w:val="Compact"/>
              <w:jc w:val="center"/>
            </w:pPr>
            <w:r>
              <w:rPr>
                <w:bCs/>
                <w:b/>
              </w:rPr>
              <w:t xml:space="preserve">2.27</w:t>
            </w:r>
          </w:p>
        </w:tc>
        <w:tc>
          <w:p>
            <w:pPr>
              <w:pStyle w:val="Compact"/>
              <w:jc w:val="center"/>
            </w:pPr>
            <w:r>
              <w:t xml:space="preserve">-0.30</w:t>
            </w:r>
          </w:p>
        </w:tc>
        <w:tc>
          <w:p>
            <w:pPr>
              <w:pStyle w:val="Compact"/>
              <w:jc w:val="center"/>
            </w:pPr>
            <w:r>
              <w:t xml:space="preserve">2.50</w:t>
            </w:r>
          </w:p>
        </w:tc>
      </w:tr>
      <w:tr>
        <w:tc>
          <w:p>
            <w:pPr>
              <w:pStyle w:val="Compact"/>
              <w:jc w:val="left"/>
            </w:pPr>
            <w:r>
              <w:t xml:space="preserve">XGBoost</w:t>
            </w:r>
          </w:p>
        </w:tc>
        <w:tc>
          <w:p>
            <w:pPr>
              <w:pStyle w:val="Compact"/>
              <w:jc w:val="center"/>
            </w:pPr>
            <w:r>
              <w:t xml:space="preserve">-0.71</w:t>
            </w:r>
          </w:p>
        </w:tc>
        <w:tc>
          <w:p>
            <w:pPr>
              <w:pStyle w:val="Compact"/>
              <w:jc w:val="center"/>
            </w:pPr>
            <w:r>
              <w:t xml:space="preserve">-0.71</w:t>
            </w:r>
          </w:p>
        </w:tc>
        <w:tc>
          <w:p>
            <w:pPr>
              <w:pStyle w:val="Compact"/>
              <w:jc w:val="center"/>
            </w:pPr>
            <w:r>
              <w:t xml:space="preserve">4.50</w:t>
            </w:r>
          </w:p>
        </w:tc>
        <w:tc>
          <w:p>
            <w:pPr>
              <w:pStyle w:val="Compact"/>
              <w:jc w:val="center"/>
            </w:pPr>
            <w:r>
              <w:t xml:space="preserve">-0.71</w:t>
            </w:r>
          </w:p>
        </w:tc>
        <w:tc>
          <w:p>
            <w:pPr>
              <w:pStyle w:val="Compact"/>
              <w:jc w:val="center"/>
            </w:pPr>
            <w:r>
              <w:t xml:space="preserve">-0.71</w:t>
            </w:r>
          </w:p>
        </w:tc>
        <w:tc>
          <w:p>
            <w:pPr>
              <w:pStyle w:val="Compact"/>
              <w:jc w:val="center"/>
            </w:pPr>
            <w:r>
              <w:rPr>
                <w:bCs/>
                <w:b/>
              </w:rPr>
              <w:t xml:space="preserve">4.50</w:t>
            </w:r>
          </w:p>
        </w:tc>
        <w:tc>
          <w:p>
            <w:pPr>
              <w:pStyle w:val="Compact"/>
              <w:jc w:val="center"/>
            </w:pPr>
            <w:r>
              <w:t xml:space="preserve">1.03</w:t>
            </w:r>
          </w:p>
        </w:tc>
        <w:tc>
          <w:p>
            <w:pPr>
              <w:pStyle w:val="Compact"/>
              <w:jc w:val="center"/>
            </w:pPr>
            <w:r>
              <w:t xml:space="preserve">2.42</w:t>
            </w:r>
          </w:p>
        </w:tc>
      </w:tr>
      <w:tr>
        <w:tc>
          <w:p>
            <w:pPr>
              <w:pStyle w:val="Compact"/>
              <w:jc w:val="left"/>
            </w:pPr>
            <w:r>
              <w:t xml:space="preserve">only=price_only; funding=price_funding; fng=price_funding_fng;</w:t>
            </w:r>
          </w:p>
        </w:tc>
        <w:tc>
          <w:p/>
        </w:tc>
        <w:tc>
          <w:p/>
        </w:tc>
        <w:tc>
          <w:p/>
        </w:tc>
        <w:tc>
          <w:p/>
        </w:tc>
        <w:tc>
          <w:p/>
        </w:tc>
        <w:tc>
          <w:p/>
        </w:tc>
        <w:tc>
          <w:p/>
        </w:tc>
        <w:tc>
          <w:p/>
        </w:tc>
      </w:tr>
      <w:tr>
        <w:tc>
          <w:p>
            <w:pPr>
              <w:pStyle w:val="Compact"/>
              <w:jc w:val="left"/>
            </w:pPr>
            <w:r>
              <w:t xml:space="preserve">onchain=price_onchain; long_on=price_long_onchain; full=全特征</w:t>
            </w:r>
          </w:p>
        </w:tc>
        <w:tc>
          <w:p/>
        </w:tc>
        <w:tc>
          <w:p/>
        </w:tc>
        <w:tc>
          <w:p/>
        </w:tc>
        <w:tc>
          <w:p/>
        </w:tc>
        <w:tc>
          <w:p/>
        </w:tc>
        <w:tc>
          <w:p/>
        </w:tc>
        <w:tc>
          <w:p/>
        </w:tc>
        <w:tc>
          <w:p/>
        </w:tc>
      </w:tr>
    </w:tbl>
    <w:bookmarkEnd w:id="43"/>
    <w:p>
      <w:pPr>
        <w:pStyle w:val="BodyText"/>
      </w:pPr>
      <w:r>
        <w:t xml:space="preserve">从表</w:t>
      </w:r>
      <w:hyperlink w:anchor="tab:feature_ablation">
        <w:r>
          <w:rPr>
            <w:rStyle w:val="Hyperlink"/>
          </w:rPr>
          <w:t xml:space="preserve">4</w:t>
        </w:r>
      </w:hyperlink>
      <w:r>
        <w:t xml:space="preserve">可以得到以下结论：</w:t>
      </w:r>
    </w:p>
    <w:p>
      <w:pPr>
        <w:pStyle w:val="BodyText"/>
      </w:pPr>
      <w:r>
        <w:rPr>
          <w:bCs/>
          <w:b/>
        </w:rPr>
        <w:t xml:space="preserve">（1）全特征集（full）并非对所有模型都是最优选择。</w:t>
      </w:r>
      <w:r>
        <w:t xml:space="preserve">虽然CNN-Transformer、Transformer和LSTM在full集上取得了最佳表现，但XGBoost在price_funding_fng上的夏普比率（4.50）与full集相同，而TCN在full集上几乎不具备预测能力（Sharpe=0.05），却在price_funding_fng上达到了1.75的夏普比率。这表明模型对特征的利用效率存在显著差异。</w:t>
      </w:r>
    </w:p>
    <w:p>
      <w:pPr>
        <w:pStyle w:val="BodyText"/>
      </w:pPr>
      <w:r>
        <w:rPr>
          <w:bCs/>
          <w:b/>
        </w:rPr>
        <w:t xml:space="preserve">（2）price_funding_fng对多数模型效果最佳。</w:t>
      </w:r>
      <w:r>
        <w:t xml:space="preserve">加入资金费率和恐慌贪婪指数后，Transformer（Sharpe=4.37）、LSTM（Sharpe=4.28）、PatchTST（Sharpe=3.36）在price_funding_fng上的表现显著提升。恐慌贪婪极端信号与资金费率的变化是短期价格运动的重要先行指标。</w:t>
      </w:r>
    </w:p>
    <w:p>
      <w:pPr>
        <w:pStyle w:val="BodyText"/>
      </w:pPr>
      <w:r>
        <w:rPr>
          <w:bCs/>
          <w:b/>
        </w:rPr>
        <w:t xml:space="preserve">（3）链上数据难以被有效利用。</w:t>
      </w:r>
      <w:r>
        <w:t xml:space="preserve">price_onchain和price_long_onchain在所有模型上均表现较差，原因可能包括：（a）链上数据包含较多噪声；（b）当前特征提取方式（简单的滚动z-score和动量）不足以捕捉链上信号与价格的复杂关系；（c）链上数据的4小时粒度可能与实际网络变动频率不匹配。</w:t>
      </w:r>
    </w:p>
    <w:p>
      <w:pPr>
        <w:pStyle w:val="BodyText"/>
      </w:pPr>
      <w:r>
        <w:rPr>
          <w:bCs/>
          <w:b/>
        </w:rPr>
        <w:t xml:space="preserve">（4）price_only不足以支撑有效预测。</w:t>
      </w:r>
      <w:r>
        <w:t xml:space="preserve">在仅使用价格数据时，所有8个模型在测试集上均未能取得正夏普比率，说明仅靠价格形态特征难以在4小时频率上捕捉可盈利的信号。</w:t>
      </w:r>
    </w:p>
    <w:bookmarkEnd w:id="44"/>
    <w:bookmarkStart w:id="46" w:name="多种子稳定性分析"/>
    <w:p>
      <w:pPr>
        <w:pStyle w:val="Heading2"/>
      </w:pPr>
      <w:r>
        <w:t xml:space="preserve">多种子稳定性分析</w:t>
      </w:r>
    </w:p>
    <w:p>
      <w:pPr>
        <w:pStyle w:val="FirstParagraph"/>
      </w:pPr>
      <w:r>
        <w:t xml:space="preserve">为排除单一种子随机性对结论的影响，本文在4个不同随机种子（0, 1, 42, 123）上重复了full特征集的全部实验。表</w:t>
      </w:r>
      <w:hyperlink w:anchor="tab:multi_seed">
        <w:r>
          <w:rPr>
            <w:rStyle w:val="Hyperlink"/>
          </w:rPr>
          <w:t xml:space="preserve">5</w:t>
        </w:r>
      </w:hyperlink>
      <w:r>
        <w:t xml:space="preserve">展示了跨种子统计。</w:t>
      </w:r>
    </w:p>
    <w:bookmarkStart w:id="45" w:name="tab:multi_seed"/>
    <w:p>
      <w:pPr>
        <w:pStyle w:val="TableCaption"/>
      </w:pPr>
      <w:r>
        <w:t xml:space="preserve">full特征集上各模型跨4种子的测试集表现统计（均值</w:t>
      </w:r>
      <m:oMath>
        <m:r>
          <m:rPr>
            <m:sty m:val="p"/>
          </m:rPr>
          <m:t>±</m:t>
        </m:r>
      </m:oMath>
      <w:r>
        <w:t xml:space="preserve">标准差）</w:t>
      </w:r>
    </w:p>
    <w:tbl>
      <w:tblPr>
        <w:tblStyle w:val="Table"/>
        <w:tblW w:type="pct" w:w="0.0"/>
        <w:tblLook w:firstRow="1" w:lastRow="0" w:firstColumn="0" w:lastColumn="0" w:noHBand="0" w:noVBand="0" w:val="0020"/>
        <w:tblCaption w:val="full特征集上各模型跨4种子的测试集表现统计（均值\pm标准差）"/>
      </w:tblPr>
      <w:tblGrid/>
      <w:tr>
        <w:tc>
          <w:p>
            <w:pPr>
              <w:pStyle w:val="Compact"/>
              <w:jc w:val="left"/>
            </w:pPr>
            <w:r>
              <w:t xml:space="preserve">模型</w:t>
            </w:r>
          </w:p>
        </w:tc>
        <w:tc>
          <w:p>
            <w:pPr>
              <w:pStyle w:val="Compact"/>
              <w:jc w:val="center"/>
            </w:pPr>
            <w:r>
              <w:t xml:space="preserve">IC</w:t>
            </w:r>
          </w:p>
        </w:tc>
        <w:tc>
          <w:p>
            <w:pPr>
              <w:pStyle w:val="Compact"/>
              <w:jc w:val="center"/>
            </w:pPr>
            <w:r>
              <w:t xml:space="preserve">Sharpe</w:t>
            </w:r>
          </w:p>
        </w:tc>
        <w:tc>
          <w:p>
            <w:pPr>
              <w:pStyle w:val="Compact"/>
              <w:jc w:val="center"/>
            </w:pPr>
            <w:r>
              <w:t xml:space="preserve">MaxDD</w:t>
            </w:r>
          </w:p>
        </w:tc>
        <w:tc>
          <w:p>
            <w:pPr>
              <w:pStyle w:val="Compact"/>
              <w:jc w:val="center"/>
            </w:pPr>
            <w:r>
              <w:t xml:space="preserve">AnnRet</w:t>
            </w:r>
          </w:p>
        </w:tc>
      </w:tr>
      <w:tr>
        <w:tc>
          <w:p>
            <w:pPr>
              <w:pStyle w:val="Compact"/>
              <w:jc w:val="left"/>
            </w:pPr>
            <w:r>
              <w:t xml:space="preserve">CNN-Transformer</w:t>
            </w:r>
          </w:p>
        </w:tc>
        <w:tc>
          <w:p>
            <w:pPr>
              <w:pStyle w:val="Compact"/>
              <w:jc w:val="center"/>
            </w:pPr>
            <w:r>
              <w:t xml:space="preserve">0.145</w:t>
            </w:r>
            <m:oMath>
              <m:r>
                <m:rPr>
                  <m:sty m:val="p"/>
                </m:rPr>
                <m:t>±</m:t>
              </m:r>
            </m:oMath>
            <w:r>
              <w:t xml:space="preserve">0.009</w:t>
            </w:r>
          </w:p>
        </w:tc>
        <w:tc>
          <w:p>
            <w:pPr>
              <w:pStyle w:val="Compact"/>
              <w:jc w:val="center"/>
            </w:pPr>
            <w:r>
              <w:t xml:space="preserve">5.070</w:t>
            </w:r>
            <m:oMath>
              <m:r>
                <m:rPr>
                  <m:sty m:val="p"/>
                </m:rPr>
                <m:t>±</m:t>
              </m:r>
            </m:oMath>
            <w:r>
              <w:t xml:space="preserve">0.448</w:t>
            </w:r>
          </w:p>
        </w:tc>
        <w:tc>
          <w:p>
            <w:pPr>
              <w:pStyle w:val="Compact"/>
              <w:jc w:val="center"/>
            </w:pPr>
            <w:r>
              <w:t xml:space="preserve">0.188</w:t>
            </w:r>
            <m:oMath>
              <m:r>
                <m:rPr>
                  <m:sty m:val="p"/>
                </m:rPr>
                <m:t>±</m:t>
              </m:r>
            </m:oMath>
            <w:r>
              <w:t xml:space="preserve">0.027</w:t>
            </w:r>
          </w:p>
        </w:tc>
        <w:tc>
          <w:p>
            <w:pPr>
              <w:pStyle w:val="Compact"/>
              <w:jc w:val="center"/>
            </w:pPr>
            <w:r>
              <w:t xml:space="preserve">2.079</w:t>
            </w:r>
            <m:oMath>
              <m:r>
                <m:rPr>
                  <m:sty m:val="p"/>
                </m:rPr>
                <m:t>±</m:t>
              </m:r>
            </m:oMath>
            <w:r>
              <w:t xml:space="preserve">0.189</w:t>
            </w:r>
          </w:p>
        </w:tc>
      </w:tr>
      <w:tr>
        <w:tc>
          <w:p>
            <w:pPr>
              <w:pStyle w:val="Compact"/>
              <w:jc w:val="left"/>
            </w:pPr>
            <w:r>
              <w:t xml:space="preserve">Transformer</w:t>
            </w:r>
          </w:p>
        </w:tc>
        <w:tc>
          <w:p>
            <w:pPr>
              <w:pStyle w:val="Compact"/>
              <w:jc w:val="center"/>
            </w:pPr>
            <w:r>
              <w:t xml:space="preserve">0.132</w:t>
            </w:r>
            <m:oMath>
              <m:r>
                <m:rPr>
                  <m:sty m:val="p"/>
                </m:rPr>
                <m:t>±</m:t>
              </m:r>
            </m:oMath>
            <w:r>
              <w:t xml:space="preserve">0.004</w:t>
            </w:r>
          </w:p>
        </w:tc>
        <w:tc>
          <w:p>
            <w:pPr>
              <w:pStyle w:val="Compact"/>
              <w:jc w:val="center"/>
            </w:pPr>
            <w:r>
              <w:t xml:space="preserve">3.903</w:t>
            </w:r>
            <m:oMath>
              <m:r>
                <m:rPr>
                  <m:sty m:val="p"/>
                </m:rPr>
                <m:t>±</m:t>
              </m:r>
            </m:oMath>
            <w:r>
              <w:t xml:space="preserve">0.886</w:t>
            </w:r>
          </w:p>
        </w:tc>
        <w:tc>
          <w:p>
            <w:pPr>
              <w:pStyle w:val="Compact"/>
              <w:jc w:val="center"/>
            </w:pPr>
            <w:r>
              <w:t xml:space="preserve">0.191</w:t>
            </w:r>
            <m:oMath>
              <m:r>
                <m:rPr>
                  <m:sty m:val="p"/>
                </m:rPr>
                <m:t>±</m:t>
              </m:r>
            </m:oMath>
            <w:r>
              <w:t xml:space="preserve">0.016</w:t>
            </w:r>
          </w:p>
        </w:tc>
        <w:tc>
          <w:p>
            <w:pPr>
              <w:pStyle w:val="Compact"/>
              <w:jc w:val="center"/>
            </w:pPr>
            <w:r>
              <w:t xml:space="preserve">1.598</w:t>
            </w:r>
            <m:oMath>
              <m:r>
                <m:rPr>
                  <m:sty m:val="p"/>
                </m:rPr>
                <m:t>±</m:t>
              </m:r>
            </m:oMath>
            <w:r>
              <w:t xml:space="preserve">0.377</w:t>
            </w:r>
          </w:p>
        </w:tc>
      </w:tr>
      <w:tr>
        <w:tc>
          <w:p>
            <w:pPr>
              <w:pStyle w:val="Compact"/>
              <w:jc w:val="left"/>
            </w:pPr>
            <w:r>
              <w:t xml:space="preserve">LSTM-Transformer</w:t>
            </w:r>
          </w:p>
        </w:tc>
        <w:tc>
          <w:p>
            <w:pPr>
              <w:pStyle w:val="Compact"/>
              <w:jc w:val="center"/>
            </w:pPr>
            <w:r>
              <w:t xml:space="preserve">0.122</w:t>
            </w:r>
            <m:oMath>
              <m:r>
                <m:rPr>
                  <m:sty m:val="p"/>
                </m:rPr>
                <m:t>±</m:t>
              </m:r>
            </m:oMath>
            <w:r>
              <w:t xml:space="preserve">0.016</w:t>
            </w:r>
          </w:p>
        </w:tc>
        <w:tc>
          <w:p>
            <w:pPr>
              <w:pStyle w:val="Compact"/>
              <w:jc w:val="center"/>
            </w:pPr>
            <w:r>
              <w:t xml:space="preserve">2.774</w:t>
            </w:r>
            <m:oMath>
              <m:r>
                <m:rPr>
                  <m:sty m:val="p"/>
                </m:rPr>
                <m:t>±</m:t>
              </m:r>
            </m:oMath>
            <w:r>
              <w:t xml:space="preserve">1.928</w:t>
            </w:r>
          </w:p>
        </w:tc>
        <w:tc>
          <w:p>
            <w:pPr>
              <w:pStyle w:val="Compact"/>
              <w:jc w:val="center"/>
            </w:pPr>
            <w:r>
              <w:t xml:space="preserve">0.275</w:t>
            </w:r>
            <m:oMath>
              <m:r>
                <m:rPr>
                  <m:sty m:val="p"/>
                </m:rPr>
                <m:t>±</m:t>
              </m:r>
            </m:oMath>
            <w:r>
              <w:t xml:space="preserve">0.134</w:t>
            </w:r>
          </w:p>
        </w:tc>
        <w:tc>
          <w:p>
            <w:pPr>
              <w:pStyle w:val="Compact"/>
              <w:jc w:val="center"/>
            </w:pPr>
            <w:r>
              <w:t xml:space="preserve">1.134</w:t>
            </w:r>
            <m:oMath>
              <m:r>
                <m:rPr>
                  <m:sty m:val="p"/>
                </m:rPr>
                <m:t>±</m:t>
              </m:r>
            </m:oMath>
            <w:r>
              <w:t xml:space="preserve">0.874</w:t>
            </w:r>
          </w:p>
        </w:tc>
      </w:tr>
      <w:tr>
        <w:tc>
          <w:p>
            <w:pPr>
              <w:pStyle w:val="Compact"/>
              <w:jc w:val="left"/>
            </w:pPr>
            <w:r>
              <w:t xml:space="preserve">LSTM</w:t>
            </w:r>
          </w:p>
        </w:tc>
        <w:tc>
          <w:p>
            <w:pPr>
              <w:pStyle w:val="Compact"/>
              <w:jc w:val="center"/>
            </w:pPr>
            <w:r>
              <w:t xml:space="preserve">0.108</w:t>
            </w:r>
            <m:oMath>
              <m:r>
                <m:rPr>
                  <m:sty m:val="p"/>
                </m:rPr>
                <m:t>±</m:t>
              </m:r>
            </m:oMath>
            <w:r>
              <w:t xml:space="preserve">0.021</w:t>
            </w:r>
          </w:p>
        </w:tc>
        <w:tc>
          <w:p>
            <w:pPr>
              <w:pStyle w:val="Compact"/>
              <w:jc w:val="center"/>
            </w:pPr>
            <w:r>
              <w:t xml:space="preserve">2.637</w:t>
            </w:r>
            <m:oMath>
              <m:r>
                <m:rPr>
                  <m:sty m:val="p"/>
                </m:rPr>
                <m:t>±</m:t>
              </m:r>
            </m:oMath>
            <w:r>
              <w:t xml:space="preserve">0.958</w:t>
            </w:r>
          </w:p>
        </w:tc>
        <w:tc>
          <w:p>
            <w:pPr>
              <w:pStyle w:val="Compact"/>
              <w:jc w:val="center"/>
            </w:pPr>
            <w:r>
              <w:t xml:space="preserve">0.237</w:t>
            </w:r>
            <m:oMath>
              <m:r>
                <m:rPr>
                  <m:sty m:val="p"/>
                </m:rPr>
                <m:t>±</m:t>
              </m:r>
            </m:oMath>
            <w:r>
              <w:t xml:space="preserve">0.034</w:t>
            </w:r>
          </w:p>
        </w:tc>
        <w:tc>
          <w:p>
            <w:pPr>
              <w:pStyle w:val="Compact"/>
              <w:jc w:val="center"/>
            </w:pPr>
            <w:r>
              <w:t xml:space="preserve">1.082</w:t>
            </w:r>
            <m:oMath>
              <m:r>
                <m:rPr>
                  <m:sty m:val="p"/>
                </m:rPr>
                <m:t>±</m:t>
              </m:r>
            </m:oMath>
            <w:r>
              <w:t xml:space="preserve">0.406</w:t>
            </w:r>
          </w:p>
        </w:tc>
      </w:tr>
      <w:tr>
        <w:tc>
          <w:p>
            <w:pPr>
              <w:pStyle w:val="Compact"/>
              <w:jc w:val="left"/>
            </w:pPr>
            <w:r>
              <w:t xml:space="preserve">PatchTST</w:t>
            </w:r>
          </w:p>
        </w:tc>
        <w:tc>
          <w:p>
            <w:pPr>
              <w:pStyle w:val="Compact"/>
              <w:jc w:val="center"/>
            </w:pPr>
            <w:r>
              <w:t xml:space="preserve">0.100</w:t>
            </w:r>
            <m:oMath>
              <m:r>
                <m:rPr>
                  <m:sty m:val="p"/>
                </m:rPr>
                <m:t>±</m:t>
              </m:r>
            </m:oMath>
            <w:r>
              <w:t xml:space="preserve">0.012</w:t>
            </w:r>
          </w:p>
        </w:tc>
        <w:tc>
          <w:p>
            <w:pPr>
              <w:pStyle w:val="Compact"/>
              <w:jc w:val="center"/>
            </w:pPr>
            <w:r>
              <w:t xml:space="preserve">2.290</w:t>
            </w:r>
            <m:oMath>
              <m:r>
                <m:rPr>
                  <m:sty m:val="p"/>
                </m:rPr>
                <m:t>±</m:t>
              </m:r>
            </m:oMath>
            <w:r>
              <w:t xml:space="preserve">0.393</w:t>
            </w:r>
          </w:p>
        </w:tc>
        <w:tc>
          <w:p>
            <w:pPr>
              <w:pStyle w:val="Compact"/>
              <w:jc w:val="center"/>
            </w:pPr>
            <w:r>
              <w:t xml:space="preserve">0.244</w:t>
            </w:r>
            <m:oMath>
              <m:r>
                <m:rPr>
                  <m:sty m:val="p"/>
                </m:rPr>
                <m:t>±</m:t>
              </m:r>
            </m:oMath>
            <w:r>
              <w:t xml:space="preserve">0.018</w:t>
            </w:r>
          </w:p>
        </w:tc>
        <w:tc>
          <w:p>
            <w:pPr>
              <w:pStyle w:val="Compact"/>
              <w:jc w:val="center"/>
            </w:pPr>
            <w:r>
              <w:t xml:space="preserve">1.043</w:t>
            </w:r>
            <m:oMath>
              <m:r>
                <m:rPr>
                  <m:sty m:val="p"/>
                </m:rPr>
                <m:t>±</m:t>
              </m:r>
            </m:oMath>
            <w:r>
              <w:t xml:space="preserve">0.301</w:t>
            </w:r>
          </w:p>
        </w:tc>
      </w:tr>
      <w:tr>
        <w:tc>
          <w:p>
            <w:pPr>
              <w:pStyle w:val="Compact"/>
              <w:jc w:val="left"/>
            </w:pPr>
            <w:r>
              <w:t xml:space="preserve">XGBoost</w:t>
            </w:r>
          </w:p>
        </w:tc>
        <w:tc>
          <w:p>
            <w:pPr>
              <w:pStyle w:val="Compact"/>
              <w:jc w:val="center"/>
            </w:pPr>
            <w:r>
              <w:t xml:space="preserve">0.129</w:t>
            </w:r>
            <m:oMath>
              <m:r>
                <m:rPr>
                  <m:sty m:val="p"/>
                </m:rPr>
                <m:t>±</m:t>
              </m:r>
            </m:oMath>
            <w:r>
              <w:t xml:space="preserve">0.005</w:t>
            </w:r>
          </w:p>
        </w:tc>
        <w:tc>
          <w:p>
            <w:pPr>
              <w:pStyle w:val="Compact"/>
              <w:jc w:val="center"/>
            </w:pPr>
            <w:r>
              <w:t xml:space="preserve">4.509</w:t>
            </w:r>
            <m:oMath>
              <m:r>
                <m:rPr>
                  <m:sty m:val="p"/>
                </m:rPr>
                <m:t>±</m:t>
              </m:r>
            </m:oMath>
            <w:r>
              <w:t xml:space="preserve">0.032</w:t>
            </w:r>
          </w:p>
        </w:tc>
        <w:tc>
          <w:p>
            <w:pPr>
              <w:pStyle w:val="Compact"/>
              <w:jc w:val="center"/>
            </w:pPr>
            <w:r>
              <w:t xml:space="preserve">0.183</w:t>
            </w:r>
            <m:oMath>
              <m:r>
                <m:rPr>
                  <m:sty m:val="p"/>
                </m:rPr>
                <m:t>±</m:t>
              </m:r>
            </m:oMath>
            <w:r>
              <w:t xml:space="preserve">0.000</w:t>
            </w:r>
          </w:p>
        </w:tc>
        <w:tc>
          <w:p>
            <w:pPr>
              <w:pStyle w:val="Compact"/>
              <w:jc w:val="center"/>
            </w:pPr>
            <w:r>
              <w:t xml:space="preserve">1.844</w:t>
            </w:r>
            <m:oMath>
              <m:r>
                <m:rPr>
                  <m:sty m:val="p"/>
                </m:rPr>
                <m:t>±</m:t>
              </m:r>
            </m:oMath>
            <w:r>
              <w:t xml:space="preserve">0.012</w:t>
            </w:r>
          </w:p>
        </w:tc>
      </w:tr>
      <w:tr>
        <w:tc>
          <w:p>
            <w:pPr>
              <w:pStyle w:val="Compact"/>
              <w:jc w:val="left"/>
            </w:pPr>
            <w:r>
              <w:t xml:space="preserve">TCN</w:t>
            </w:r>
          </w:p>
        </w:tc>
        <w:tc>
          <w:p>
            <w:pPr>
              <w:pStyle w:val="Compact"/>
              <w:jc w:val="center"/>
            </w:pPr>
            <w:r>
              <w:t xml:space="preserve">0.076</w:t>
            </w:r>
            <m:oMath>
              <m:r>
                <m:rPr>
                  <m:sty m:val="p"/>
                </m:rPr>
                <m:t>±</m:t>
              </m:r>
            </m:oMath>
            <w:r>
              <w:t xml:space="preserve">0.038</w:t>
            </w:r>
          </w:p>
        </w:tc>
        <w:tc>
          <w:p>
            <w:pPr>
              <w:pStyle w:val="Compact"/>
              <w:jc w:val="center"/>
            </w:pPr>
            <w:r>
              <w:t xml:space="preserve">1.174</w:t>
            </w:r>
            <m:oMath>
              <m:r>
                <m:rPr>
                  <m:sty m:val="p"/>
                </m:rPr>
                <m:t>±</m:t>
              </m:r>
            </m:oMath>
            <w:r>
              <w:t xml:space="preserve">1.532</w:t>
            </w:r>
          </w:p>
        </w:tc>
        <w:tc>
          <w:p>
            <w:pPr>
              <w:pStyle w:val="Compact"/>
              <w:jc w:val="center"/>
            </w:pPr>
            <w:r>
              <w:t xml:space="preserve">0.305</w:t>
            </w:r>
            <m:oMath>
              <m:r>
                <m:rPr>
                  <m:sty m:val="p"/>
                </m:rPr>
                <m:t>±</m:t>
              </m:r>
            </m:oMath>
            <w:r>
              <w:t xml:space="preserve">0.086</w:t>
            </w:r>
          </w:p>
        </w:tc>
        <w:tc>
          <w:p>
            <w:pPr>
              <w:pStyle w:val="Compact"/>
              <w:jc w:val="center"/>
            </w:pPr>
            <w:r>
              <w:t xml:space="preserve">0.483</w:t>
            </w:r>
            <m:oMath>
              <m:r>
                <m:rPr>
                  <m:sty m:val="p"/>
                </m:rPr>
                <m:t>±</m:t>
              </m:r>
            </m:oMath>
            <w:r>
              <w:t xml:space="preserve">0.661</w:t>
            </w:r>
          </w:p>
        </w:tc>
      </w:tr>
      <w:tr>
        <w:tc>
          <w:p>
            <w:pPr>
              <w:pStyle w:val="Compact"/>
              <w:jc w:val="left"/>
            </w:pPr>
            <w:r>
              <w:t xml:space="preserve">ModernTCN</w:t>
            </w:r>
          </w:p>
        </w:tc>
        <w:tc>
          <w:p>
            <w:pPr>
              <w:pStyle w:val="Compact"/>
              <w:jc w:val="center"/>
            </w:pPr>
            <w:r>
              <w:t xml:space="preserve">0.103</w:t>
            </w:r>
            <m:oMath>
              <m:r>
                <m:rPr>
                  <m:sty m:val="p"/>
                </m:rPr>
                <m:t>±</m:t>
              </m:r>
            </m:oMath>
            <w:r>
              <w:t xml:space="preserve">0.033</w:t>
            </w:r>
          </w:p>
        </w:tc>
        <w:tc>
          <w:p>
            <w:pPr>
              <w:pStyle w:val="Compact"/>
              <w:jc w:val="center"/>
            </w:pPr>
            <w:r>
              <w:t xml:space="preserve">1.816</w:t>
            </w:r>
            <m:oMath>
              <m:r>
                <m:rPr>
                  <m:sty m:val="p"/>
                </m:rPr>
                <m:t>±</m:t>
              </m:r>
            </m:oMath>
            <w:r>
              <w:t xml:space="preserve">1.268</w:t>
            </w:r>
          </w:p>
        </w:tc>
        <w:tc>
          <w:p>
            <w:pPr>
              <w:pStyle w:val="Compact"/>
              <w:jc w:val="center"/>
            </w:pPr>
            <w:r>
              <w:t xml:space="preserve">0.306</w:t>
            </w:r>
            <m:oMath>
              <m:r>
                <m:rPr>
                  <m:sty m:val="p"/>
                </m:rPr>
                <m:t>±</m:t>
              </m:r>
            </m:oMath>
            <w:r>
              <w:t xml:space="preserve">0.081</w:t>
            </w:r>
          </w:p>
        </w:tc>
        <w:tc>
          <w:p>
            <w:pPr>
              <w:pStyle w:val="Compact"/>
              <w:jc w:val="center"/>
            </w:pPr>
            <w:r>
              <w:t xml:space="preserve">0.745</w:t>
            </w:r>
            <m:oMath>
              <m:r>
                <m:rPr>
                  <m:sty m:val="p"/>
                </m:rPr>
                <m:t>±</m:t>
              </m:r>
            </m:oMath>
            <w:r>
              <w:t xml:space="preserve">0.524</w:t>
            </w:r>
          </w:p>
        </w:tc>
      </w:tr>
    </w:tbl>
    <w:bookmarkEnd w:id="45"/>
    <w:p>
      <w:pPr>
        <w:pStyle w:val="BodyText"/>
      </w:pPr>
      <w:r>
        <w:t xml:space="preserve">从表</w:t>
      </w:r>
      <w:hyperlink w:anchor="tab:multi_seed">
        <w:r>
          <w:rPr>
            <w:rStyle w:val="Hyperlink"/>
          </w:rPr>
          <w:t xml:space="preserve">5</w:t>
        </w:r>
      </w:hyperlink>
      <w:r>
        <w:t xml:space="preserve">可以观察到：</w:t>
      </w:r>
    </w:p>
    <w:p>
      <w:pPr>
        <w:pStyle w:val="BodyText"/>
      </w:pPr>
      <w:r>
        <w:rPr>
          <w:bCs/>
          <w:b/>
        </w:rPr>
        <w:t xml:space="preserve">（1）CNN-Transformer和Transformer在各种子间展现出最强的稳健性。</w:t>
      </w:r>
      <w:r>
        <w:t xml:space="preserve">CNN-Transformer的夏普比率标准差仅为0.448，Transformer的IC标准差仅为0.004。这两种架构在不同初始化条件下均能稳定发挥，这一特性在实际交易部署中具有重要意义。</w:t>
      </w:r>
    </w:p>
    <w:p>
      <w:pPr>
        <w:pStyle w:val="BodyText"/>
      </w:pPr>
      <w:r>
        <w:rPr>
          <w:bCs/>
          <w:b/>
        </w:rPr>
        <w:t xml:space="preserve">（2）XGBoost的稳定性最为突出。</w:t>
      </w:r>
      <w:r>
        <w:t xml:space="preserve">XGBoost在4个种子间的夏普比率几乎不变（4.496–4.554），标准差仅0.032。梯度提升树的确定性训练机制（相对于深度学习的随机初始化）使其对种子不敏感。XGBoost部分种子下的全零预测问题（在非full特征集上）表明其在特定特征集上存在收敛失败，但在full集上表现稳健。</w:t>
      </w:r>
    </w:p>
    <w:p>
      <w:pPr>
        <w:pStyle w:val="BodyText"/>
      </w:pPr>
      <w:r>
        <w:rPr>
          <w:bCs/>
          <w:b/>
        </w:rPr>
        <w:t xml:space="preserve">（3）部分模型表现出较大的种子敏感性。</w:t>
      </w:r>
      <w:r>
        <w:t xml:space="preserve">ModernTCN和TCN在不同种子间的表现波动较大，结合其极端过拟合问题，表明这两类架构在当前任务设置下不够可靠。</w:t>
      </w:r>
    </w:p>
    <w:bookmarkEnd w:id="46"/>
    <w:bookmarkStart w:id="47" w:name="回测分析"/>
    <w:p>
      <w:pPr>
        <w:pStyle w:val="Heading2"/>
      </w:pPr>
      <w:r>
        <w:t xml:space="preserve">回测分析</w:t>
      </w:r>
    </w:p>
    <w:p>
      <w:pPr>
        <w:pStyle w:val="FirstParagraph"/>
      </w:pPr>
      <w:r>
        <w:t xml:space="preserve">图</w:t>
      </w:r>
      <w:hyperlink w:anchor="fig:backtest">
        <w:r>
          <w:rPr>
            <w:rStyle w:val="Hyperlink"/>
          </w:rPr>
          <w:t xml:space="preserve">[fig:backtest]</w:t>
        </w:r>
      </w:hyperlink>
      <w:r>
        <w:t xml:space="preserve">（详见项目charts/目录）展示了各模型在full特征集测试集上的回测收益曲线与回撤曲线。主要观察：</w:t>
      </w:r>
    </w:p>
    <w:p>
      <w:pPr>
        <w:numPr>
          <w:ilvl w:val="0"/>
          <w:numId w:val="1007"/>
        </w:numPr>
      </w:pPr>
      <w:r>
        <w:t xml:space="preserve">CNN-Transformer的回测曲线持续稳定上行，最大回撤仅18.6%，显著低于简单买入持有策略。</w:t>
      </w:r>
    </w:p>
    <w:p>
      <w:pPr>
        <w:numPr>
          <w:ilvl w:val="0"/>
          <w:numId w:val="1007"/>
        </w:numPr>
      </w:pPr>
      <w:r>
        <w:t xml:space="preserve">LSTM和Transformer在部分区间出现较大回撤，但长期仍跑赢买入持有基准。</w:t>
      </w:r>
    </w:p>
    <w:p>
      <w:pPr>
        <w:numPr>
          <w:ilvl w:val="0"/>
          <w:numId w:val="1007"/>
        </w:numPr>
      </w:pPr>
      <w:r>
        <w:t xml:space="preserve">TCN的回测曲线在测试集后半段出现了大幅回撤（36.6%），与买入持有策略高度相关，缺乏Alpha。</w:t>
      </w:r>
    </w:p>
    <w:p>
      <w:pPr>
        <w:numPr>
          <w:ilvl w:val="0"/>
          <w:numId w:val="1007"/>
        </w:numPr>
      </w:pPr>
      <w:r>
        <w:t xml:space="preserve">ModernTCN在少数获利区间后迅速转为持续亏损，最大回撤达41.5%，与其训练集上的极端表现形成鲜明反差。</w:t>
      </w:r>
    </w:p>
    <w:bookmarkEnd w:id="47"/>
    <w:bookmarkStart w:id="48" w:name="讨论"/>
    <w:p>
      <w:pPr>
        <w:pStyle w:val="Heading2"/>
      </w:pPr>
      <w:r>
        <w:t xml:space="preserve">讨论</w:t>
      </w:r>
    </w:p>
    <w:p>
      <w:pPr>
        <w:pStyle w:val="FirstParagraph"/>
      </w:pPr>
      <w:r>
        <w:t xml:space="preserve">综合上述实验结果，本文提出以下讨论：</w:t>
      </w:r>
    </w:p>
    <w:p>
      <w:pPr>
        <w:pStyle w:val="BodyText"/>
      </w:pPr>
      <w:r>
        <w:rPr>
          <w:bCs/>
          <w:b/>
        </w:rPr>
        <w:t xml:space="preserve">架构设计的启示。</w:t>
      </w:r>
      <w:r>
        <w:t xml:space="preserve">CNN-Transformer的成功表明，卷积与自注意力的混合架构在加密货币收益预测中具有天然优势：卷积捕获局部时序模式的突变（如短暂的量价异常），Transformer建模更大范围内的条件依赖。这种"先卷积后全局"的设计范式值得在未来工作中进一步探索。</w:t>
      </w:r>
    </w:p>
    <w:p>
      <w:pPr>
        <w:pStyle w:val="BodyText"/>
      </w:pPr>
      <w:r>
        <w:rPr>
          <w:bCs/>
          <w:b/>
        </w:rPr>
        <w:t xml:space="preserve">特征工程的启示。</w:t>
      </w:r>
      <w:r>
        <w:t xml:space="preserve">资金费率和恐慌贪婪指数对预测的显著贡献提示：加密货币的价格形成机制高度依赖于衍生品市场的博弈（资金费率）和市场情绪（恐慌贪婪），纯粹的链上基本面信息在当前阶段可能不是短期价格的主要驱动力。</w:t>
      </w:r>
    </w:p>
    <w:p>
      <w:pPr>
        <w:pStyle w:val="BodyText"/>
      </w:pPr>
      <w:r>
        <w:rPr>
          <w:bCs/>
          <w:b/>
        </w:rPr>
        <w:t xml:space="preserve">评估体系的重要性。</w:t>
      </w:r>
      <w:r>
        <w:t xml:space="preserve">如果仅以MSE作为评估标准，不同模型间的差异几乎可以忽略（MSE均在</w:t>
      </w:r>
      <m:oMath>
        <m:sSup>
          <m:e>
            <m:r>
              <m:t>10</m:t>
            </m:r>
          </m:e>
          <m:sup>
            <m:r>
              <m:rPr>
                <m:sty m:val="p"/>
              </m:rPr>
              <m:t>−</m:t>
            </m:r>
            <m:r>
              <m:t>4</m:t>
            </m:r>
          </m:sup>
        </m:sSup>
      </m:oMath>
      <w:r>
        <w:t xml:space="preserve">量级），这掩盖了模型在策略层面的巨大差异。本文的多维度评估体系——特别是IC和夏普比率——提供了更丰富的模型差异性信息。</w:t>
      </w:r>
    </w:p>
    <w:bookmarkEnd w:id="48"/>
    <w:bookmarkEnd w:id="49"/>
    <w:bookmarkStart w:id="50" w:name="结论与展望"/>
    <w:p>
      <w:pPr>
        <w:pStyle w:val="Heading1"/>
      </w:pPr>
      <w:r>
        <w:t xml:space="preserve">结论与展望</w:t>
      </w:r>
    </w:p>
    <w:p>
      <w:pPr>
        <w:pStyle w:val="FirstParagraph"/>
      </w:pPr>
      <w:r>
        <w:t xml:space="preserve">本文在比特币4小时K线数据上对八种深度学习与机器学习模型进行了系统的对比研究，并设计了六种递增式特征组合以分析不同模态信息的边际贡献。主要结论如下：</w:t>
      </w:r>
    </w:p>
    <w:p>
      <w:pPr>
        <w:numPr>
          <w:ilvl w:val="0"/>
          <w:numId w:val="1008"/>
        </w:numPr>
      </w:pPr>
      <w:r>
        <w:t xml:space="preserve">CNN-Transformer在全特征集上取得了最优的预测表现，测试集夏普比率达5.65，年化收益230.6%，验证了卷积-注意力混合架构在金融时间序列预测上的有效性。</w:t>
      </w:r>
    </w:p>
    <w:p>
      <w:pPr>
        <w:numPr>
          <w:ilvl w:val="0"/>
          <w:numId w:val="1008"/>
        </w:numPr>
      </w:pPr>
      <w:r>
        <w:t xml:space="preserve">资金费率和恐慌贪婪指数的引入对多数模型构成显著的边际改善，而链上数据的边际贡献在当前特征提取方式下较为有限。</w:t>
      </w:r>
    </w:p>
    <w:p>
      <w:pPr>
        <w:numPr>
          <w:ilvl w:val="0"/>
          <w:numId w:val="1008"/>
        </w:numPr>
      </w:pPr>
      <w:r>
        <w:t xml:space="preserve">Transformer架构和CNN-Transformer在多种子和多特征组合下表现最为稳健，是加密货币量化交易中最值得优先考虑的模型选择。</w:t>
      </w:r>
    </w:p>
    <w:p>
      <w:pPr>
        <w:numPr>
          <w:ilvl w:val="0"/>
          <w:numId w:val="1008"/>
        </w:numPr>
      </w:pPr>
      <w:r>
        <w:t xml:space="preserve">ModernTCN和TCN在该任务上存在普遍的过拟合问题，提示大卷积核架构在低信噪比场景下可能需要更强的正则化约束。</w:t>
      </w:r>
    </w:p>
    <w:p>
      <w:pPr>
        <w:numPr>
          <w:ilvl w:val="0"/>
          <w:numId w:val="1008"/>
        </w:numPr>
      </w:pPr>
      <w:r>
        <w:t xml:space="preserve">基于Huber损失与排序损失联合优化的训练框架有效平衡了绝对预测精度与相对排序准确性，有助于将预测能力的提升转化为策略表现的改善。</w:t>
      </w:r>
    </w:p>
    <w:p>
      <w:pPr>
        <w:pStyle w:val="FirstParagraph"/>
      </w:pPr>
      <w:r>
        <w:t xml:space="preserve">本文的局限性及未来研究方向包括：（1）当前数据集集中于BTC，扩展到ETH、SOL等其他加密资产可验证模型的通用性；（2）链上数据的利用方式有待改进——图神经网络或异构图建模可能是更有效的框架；（3）可探索更高频的时间分辨率（如1小时、15分钟）；（4）回测分析尚未考虑实际交易中的滑点和流动性约束，实盘部署前需进一步验证。</w:t>
      </w:r>
    </w:p>
    <w:p>
      <w:pPr>
        <w:pStyle w:val="BodyText"/>
      </w:pPr>
      <w:r>
        <w:t xml:space="preserve">99</w:t>
      </w:r>
    </w:p>
    <w:p>
      <w:pPr>
        <w:pStyle w:val="BodyText"/>
      </w:pPr>
      <w:r>
        <w:t xml:space="preserve">Catania L, Grassi S, Ravazzolo F.</w:t>
      </w:r>
      <w:r>
        <w:t xml:space="preserve"> </w:t>
      </w:r>
      <w:r>
        <w:t xml:space="preserve">Predicting the volatility of cryptocurrency time-series.</w:t>
      </w:r>
      <w:r>
        <w:t xml:space="preserve"> </w:t>
      </w:r>
      <w:r>
        <w:rPr>
          <w:iCs/>
          <w:i/>
        </w:rPr>
        <w:t xml:space="preserve">Journal of Financial Econometrics</w:t>
      </w:r>
      <w:r>
        <w:t xml:space="preserve">, 2019, 17(3): 425–456.</w:t>
      </w:r>
    </w:p>
    <w:p>
      <w:pPr>
        <w:pStyle w:val="BodyText"/>
      </w:pPr>
      <w:r>
        <w:t xml:space="preserve">McNally S, Roche J, Caton S.</w:t>
      </w:r>
      <w:r>
        <w:t xml:space="preserve"> </w:t>
      </w:r>
      <w:r>
        <w:t xml:space="preserve">Predicting the price of Bitcoin using Machine Learning.</w:t>
      </w:r>
      <w:r>
        <w:t xml:space="preserve"> </w:t>
      </w:r>
      <w:r>
        <w:t xml:space="preserve">In</w:t>
      </w:r>
      <w:r>
        <w:t xml:space="preserve"> </w:t>
      </w:r>
      <w:r>
        <w:rPr>
          <w:iCs/>
          <w:i/>
        </w:rPr>
        <w:t xml:space="preserve">Proceedings of the 26th Euromicro International Conference on Parallel, Distributed and Network-based Processing (PDP)</w:t>
      </w:r>
      <w:r>
        <w:t xml:space="preserve">, 2018: 339–343.</w:t>
      </w:r>
    </w:p>
    <w:p>
      <w:pPr>
        <w:pStyle w:val="BodyText"/>
      </w:pPr>
      <w:r>
        <w:t xml:space="preserve">Lim B, Arik S O, Loeff N, et al.</w:t>
      </w:r>
      <w:r>
        <w:t xml:space="preserve"> </w:t>
      </w:r>
      <w:r>
        <w:t xml:space="preserve">Temporal Fusion Transformers for interpretable multi-horizon time series forecasting.</w:t>
      </w:r>
      <w:r>
        <w:t xml:space="preserve"> </w:t>
      </w:r>
      <w:r>
        <w:rPr>
          <w:iCs/>
          <w:i/>
        </w:rPr>
        <w:t xml:space="preserve">International Journal of Forecasting</w:t>
      </w:r>
      <w:r>
        <w:t xml:space="preserve">, 2021, 37(4): 1748–1764.</w:t>
      </w:r>
    </w:p>
    <w:p>
      <w:pPr>
        <w:pStyle w:val="BodyText"/>
      </w:pPr>
      <w:r>
        <w:t xml:space="preserve">Nie Y, Nguyen N H, Sinthong P, et al.</w:t>
      </w:r>
      <w:r>
        <w:t xml:space="preserve"> </w:t>
      </w:r>
      <w:r>
        <w:t xml:space="preserve">A Time Series is Worth 64 Words: Long-term Forecasting with Transformers.</w:t>
      </w:r>
      <w:r>
        <w:t xml:space="preserve"> </w:t>
      </w:r>
      <w:r>
        <w:t xml:space="preserve">In</w:t>
      </w:r>
      <w:r>
        <w:t xml:space="preserve"> </w:t>
      </w:r>
      <w:r>
        <w:rPr>
          <w:iCs/>
          <w:i/>
        </w:rPr>
        <w:t xml:space="preserve">International Conference on Learning Representations (ICLR)</w:t>
      </w:r>
      <w:r>
        <w:t xml:space="preserve">, 2023.</w:t>
      </w:r>
    </w:p>
    <w:p>
      <w:pPr>
        <w:pStyle w:val="BodyText"/>
      </w:pPr>
      <w:r>
        <w:t xml:space="preserve">Luo D, Wang X.</w:t>
      </w:r>
      <w:r>
        <w:t xml:space="preserve"> </w:t>
      </w:r>
      <w:r>
        <w:t xml:space="preserve">ModernTCN: A Modern Pure Convolution Structure for General Time Series Analysis.</w:t>
      </w:r>
      <w:r>
        <w:t xml:space="preserve"> </w:t>
      </w:r>
      <w:r>
        <w:t xml:space="preserve">In</w:t>
      </w:r>
      <w:r>
        <w:t xml:space="preserve"> </w:t>
      </w:r>
      <w:r>
        <w:rPr>
          <w:iCs/>
          <w:i/>
        </w:rPr>
        <w:t xml:space="preserve">International Conference on Learning Representations (ICLR)</w:t>
      </w:r>
      <w:r>
        <w:t xml:space="preserve">, 2024.</w:t>
      </w:r>
    </w:p>
    <w:p>
      <w:pPr>
        <w:pStyle w:val="BodyText"/>
      </w:pPr>
      <w:r>
        <w:t xml:space="preserve">Hochreiter S, Schmidhuber J.</w:t>
      </w:r>
      <w:r>
        <w:t xml:space="preserve"> </w:t>
      </w:r>
      <w:r>
        <w:t xml:space="preserve">Long Short-Term Memory.</w:t>
      </w:r>
      <w:r>
        <w:t xml:space="preserve"> </w:t>
      </w:r>
      <w:r>
        <w:rPr>
          <w:iCs/>
          <w:i/>
        </w:rPr>
        <w:t xml:space="preserve">Neural Computation</w:t>
      </w:r>
      <w:r>
        <w:t xml:space="preserve">, 1997, 9(8): 1735–1780.</w:t>
      </w:r>
    </w:p>
    <w:p>
      <w:pPr>
        <w:pStyle w:val="BodyText"/>
      </w:pPr>
      <w:r>
        <w:t xml:space="preserve">Vaswani A, Shazeer N, Parmar N, et al.</w:t>
      </w:r>
      <w:r>
        <w:t xml:space="preserve"> </w:t>
      </w:r>
      <w:r>
        <w:t xml:space="preserve">Attention Is All You Need.</w:t>
      </w:r>
      <w:r>
        <w:t xml:space="preserve"> </w:t>
      </w:r>
      <w:r>
        <w:t xml:space="preserve">In</w:t>
      </w:r>
      <w:r>
        <w:t xml:space="preserve"> </w:t>
      </w:r>
      <w:r>
        <w:rPr>
          <w:iCs/>
          <w:i/>
        </w:rPr>
        <w:t xml:space="preserve">Advances in Neural Information Processing Systems (NeurIPS)</w:t>
      </w:r>
      <w:r>
        <w:t xml:space="preserve">, 2017.</w:t>
      </w:r>
    </w:p>
    <w:p>
      <w:pPr>
        <w:pStyle w:val="BodyText"/>
      </w:pPr>
      <w:r>
        <w:t xml:space="preserve">Bai S, Kolter J Z, Koltun V.</w:t>
      </w:r>
      <w:r>
        <w:t xml:space="preserve"> </w:t>
      </w:r>
      <w:r>
        <w:t xml:space="preserve">An Empirical Evaluation of Generic Convolutional and Recurrent Networks for Sequence Modeling.</w:t>
      </w:r>
      <w:r>
        <w:t xml:space="preserve"> </w:t>
      </w:r>
      <w:r>
        <w:rPr>
          <w:iCs/>
          <w:i/>
        </w:rPr>
        <w:t xml:space="preserve">arXiv preprint</w:t>
      </w:r>
      <w:r>
        <w:t xml:space="preserve">, arXiv:1803.01271, 2018.</w:t>
      </w:r>
    </w:p>
    <w:p>
      <w:pPr>
        <w:pStyle w:val="BodyText"/>
      </w:pPr>
      <w:r>
        <w:t xml:space="preserve">Chen T, Guestrin C.</w:t>
      </w:r>
      <w:r>
        <w:t xml:space="preserve"> </w:t>
      </w:r>
      <w:r>
        <w:t xml:space="preserve">XGBoost: A Scalable Tree Boosting System.</w:t>
      </w:r>
      <w:r>
        <w:t xml:space="preserve"> </w:t>
      </w:r>
      <w:r>
        <w:t xml:space="preserve">In</w:t>
      </w:r>
      <w:r>
        <w:t xml:space="preserve"> </w:t>
      </w:r>
      <w:r>
        <w:rPr>
          <w:iCs/>
          <w:i/>
        </w:rPr>
        <w:t xml:space="preserve">Proceedings of the 22nd ACM SIGKDD International Conference on Knowledge Discovery and Data Mining (KDD)</w:t>
      </w:r>
      <w:r>
        <w:t xml:space="preserve">, 2016: 785–794.</w:t>
      </w:r>
    </w:p>
    <w:p>
      <w:pPr>
        <w:pStyle w:val="BodyText"/>
      </w:pPr>
      <w:r>
        <w:t xml:space="preserve">Grinold R C, Kahn R N.</w:t>
      </w:r>
      <w:r>
        <w:t xml:space="preserve"> </w:t>
      </w:r>
      <w:r>
        <w:rPr>
          <w:iCs/>
          <w:i/>
        </w:rPr>
        <w:t xml:space="preserve">Active Portfolio Management: A Quantitative Approach for Providing Superior Returns and Controlling Risk</w:t>
      </w:r>
      <w:r>
        <w:t xml:space="preserve">. 2nd ed. McGraw-Hill, 2000.</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基于多模态特征的加密货币短期收益预测 ——深度学习模型对比研究</dc:title>
  <dc:creator>作 者 姓 名 某某大学 计算机学院 北京 100000</dc:creator>
  <cp:keywords/>
  <dcterms:created xsi:type="dcterms:W3CDTF">2026-05-15T06:07:03Z</dcterms:created>
  <dcterms:modified xsi:type="dcterms:W3CDTF">2026-05-15T06:07:03Z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