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3FD1" w14:textId="77777777" w:rsidR="007B05B5" w:rsidRPr="00C720A7" w:rsidRDefault="000D74C7">
      <w:r w:rsidRPr="000D74C7">
        <w:rPr>
          <w:b/>
          <w:bCs/>
        </w:rPr>
        <w:t>Full-service gross equivalent</w:t>
      </w:r>
      <w:r w:rsidRPr="000D74C7">
        <w:t xml:space="preserve"> — total annual occupancy cost on RSF. Calculated as Total RSF × the city's blended Class A/B asking rate (Q1 2026), which typically includes base rent + operating expenses + taxes + janitorial. Excludes one-time costs (tenant improvements, FF&amp;E, brokerage), parking, utilities the tenant pays directly, and any annual escalations. Directional only — actual lease economics vary with submarket, building class, lease term</w:t>
      </w:r>
      <w:r w:rsidRPr="00C720A7">
        <w:t xml:space="preserve">, </w:t>
      </w:r>
    </w:p>
    <w:p w14:paraId="7B435CC5" w14:textId="77777777" w:rsidR="007B05B5" w:rsidRPr="00C720A7" w:rsidRDefault="007B05B5"/>
    <w:p w14:paraId="639FF786" w14:textId="77777777" w:rsidR="007B05B5" w:rsidRPr="00C720A7" w:rsidRDefault="007B05B5" w:rsidP="007B05B5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The Annual Occupancy Cost figure is </w:t>
      </w:r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Total RSF × the blended Class A/B asking rate for the city, sourced from Q1 2026 broker market reports (CBRE, JLL, Cushman &amp; Wakefield, Colliers, </w:t>
      </w:r>
      <w:proofErr w:type="spellStart"/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CommercialCafe</w:t>
      </w:r>
      <w:proofErr w:type="spellEnd"/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)</w:t>
      </w: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. For Seattle, that rate is $47/SF, which is reported by brokers as a full-service gross equivalent — meaning it typically includes base rent, operating expenses, building taxes, janitorial, and common area maintenance.</w:t>
      </w:r>
    </w:p>
    <w:p w14:paraId="0AE7C53F" w14:textId="77777777" w:rsidR="007B05B5" w:rsidRPr="00C720A7" w:rsidRDefault="007B05B5" w:rsidP="007B05B5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What it does </w:t>
      </w:r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not</w:t>
      </w: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 include:</w:t>
      </w:r>
    </w:p>
    <w:p w14:paraId="7886B522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Parking (always quoted separately in Seattle)</w:t>
      </w:r>
    </w:p>
    <w:p w14:paraId="62DFE2D8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Tenant improvements (TI) for buildout</w:t>
      </w:r>
    </w:p>
    <w:p w14:paraId="420E5E4C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FF&amp;E</w:t>
      </w:r>
    </w:p>
    <w:p w14:paraId="3C445DAE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Brokerage commissions</w:t>
      </w:r>
    </w:p>
    <w:p w14:paraId="25CAAE69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In-suite utilities above building standard</w:t>
      </w:r>
    </w:p>
    <w:p w14:paraId="6B91AF95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Annual escalations (typically 2.5–3.5%/yr after year one)</w:t>
      </w:r>
    </w:p>
    <w:p w14:paraId="4F09E53C" w14:textId="77777777" w:rsidR="007B05B5" w:rsidRPr="00C720A7" w:rsidRDefault="007B05B5" w:rsidP="007B05B5">
      <w:pPr>
        <w:pStyle w:val="font-claude-response-body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Operating expense pass-throughs above the base year</w:t>
      </w:r>
    </w:p>
    <w:p w14:paraId="49ABFD3F" w14:textId="77777777" w:rsidR="007B05B5" w:rsidRPr="00C720A7" w:rsidRDefault="007B05B5" w:rsidP="007B05B5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It's a </w:t>
      </w:r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directional figure for early-stage planning</w:t>
      </w: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, not a substitute for a brokered budget. Actual lease economics vary with submarket, building class, lease term, abatements, TI offsets, and concessions. Expect a real lease budget to land within ±15–25% of this number after broker engagement.</w:t>
      </w:r>
    </w:p>
    <w:p w14:paraId="69FF043C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Tooltip on "Annual Occupancy Cost":</w:t>
      </w:r>
    </w:p>
    <w:p w14:paraId="775258BF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Year-one occupancy cost. Calculated as Total RSF × the blended Class A/B asking rate for the city (Q1 2026), sourced from CBRE, JLL, Cushman &amp; Wakefield, Colliers, and </w:t>
      </w:r>
      <w:proofErr w:type="spellStart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CommercialCafe</w:t>
      </w:r>
      <w:proofErr w:type="spellEnd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market reports.</w:t>
      </w:r>
    </w:p>
    <w:p w14:paraId="2D238742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Typically </w:t>
      </w:r>
      <w:proofErr w:type="gramStart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includes:</w:t>
      </w:r>
      <w:proofErr w:type="gramEnd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base rent, property taxes, building insurance, CAM, janitorial, building utilities.</w:t>
      </w:r>
    </w:p>
    <w:p w14:paraId="4708A9CC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Excludes: parking, tenant improvements, FF&amp;E, brokerage, in-suite utilities above building standard, annual escalations (2.5–3.5%/yr typical), and </w:t>
      </w:r>
      <w:proofErr w:type="spellStart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OpEx</w:t>
      </w:r>
      <w:proofErr w:type="spellEnd"/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pass-throughs after the base year.</w:t>
      </w:r>
    </w:p>
    <w:p w14:paraId="3266C124" w14:textId="77777777" w:rsidR="00C720A7" w:rsidRPr="00C720A7" w:rsidRDefault="00C720A7" w:rsidP="00C720A7">
      <w:pPr>
        <w:pStyle w:val="font-claude-response-body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720A7">
        <w:rPr>
          <w:rFonts w:asciiTheme="minorHAnsi" w:eastAsiaTheme="minorHAnsi" w:hAnsiTheme="minorHAnsi" w:cstheme="minorBidi"/>
          <w:kern w:val="2"/>
          <w14:ligatures w14:val="standardContextual"/>
        </w:rPr>
        <w:t>Directional only — actual lease economics vary with submarket, building class, lease term, abatements, and TI offsets. Expect ±15–25% variance vs. a brokered budget.</w:t>
      </w:r>
    </w:p>
    <w:p w14:paraId="045FE4E1" w14:textId="7AC539B2" w:rsidR="000D74C7" w:rsidRDefault="000D74C7">
      <w:r w:rsidRPr="00C720A7">
        <w:lastRenderedPageBreak/>
        <w:t>abatements, and TI offsets.</w:t>
      </w:r>
    </w:p>
    <w:sectPr w:rsidR="000D7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344C"/>
    <w:multiLevelType w:val="multilevel"/>
    <w:tmpl w:val="F03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6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C7"/>
    <w:rsid w:val="000D74C7"/>
    <w:rsid w:val="00271749"/>
    <w:rsid w:val="00306AEC"/>
    <w:rsid w:val="003205B3"/>
    <w:rsid w:val="004E150E"/>
    <w:rsid w:val="007B05B5"/>
    <w:rsid w:val="007B425A"/>
    <w:rsid w:val="009349F4"/>
    <w:rsid w:val="0095744E"/>
    <w:rsid w:val="00A14EAF"/>
    <w:rsid w:val="00A159C9"/>
    <w:rsid w:val="00C233C2"/>
    <w:rsid w:val="00C720A7"/>
    <w:rsid w:val="00FC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F615D"/>
  <w15:chartTrackingRefBased/>
  <w15:docId w15:val="{D60C11E9-4F38-8E4F-BA6F-7526A401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C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B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B05B5"/>
  </w:style>
  <w:style w:type="character" w:styleId="Strong">
    <w:name w:val="Strong"/>
    <w:basedOn w:val="DefaultParagraphFont"/>
    <w:uiPriority w:val="22"/>
    <w:qFormat/>
    <w:rsid w:val="007B05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364</Words>
  <Characters>1812</Characters>
  <Application>Microsoft Office Word</Application>
  <DocSecurity>0</DocSecurity>
  <Lines>95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Ippolito</dc:creator>
  <cp:keywords/>
  <dc:description/>
  <cp:lastModifiedBy>Michael Ippolito</cp:lastModifiedBy>
  <cp:revision>1</cp:revision>
  <dcterms:created xsi:type="dcterms:W3CDTF">2026-05-21T20:12:00Z</dcterms:created>
  <dcterms:modified xsi:type="dcterms:W3CDTF">2026-05-23T20:21:00Z</dcterms:modified>
</cp:coreProperties>
</file>