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3FD1" w14:textId="77777777" w:rsidR="007B05B5" w:rsidRPr="00C720A7" w:rsidRDefault="000D74C7">
      <w:r w:rsidRPr="000D74C7">
        <w:rPr>
          <w:b/>
          <w:bCs/>
        </w:rPr>
        <w:t>Full-service gross equivalent</w:t>
      </w:r>
      <w:r w:rsidRPr="000D74C7">
        <w:t xml:space="preserve"> — total annual occupancy cost on RSF. Calculated as Total RSF × the city's blended Class A/B asking rate (Q1 2026), which typically includes base rent + operating expenses + taxes + janitorial. Excludes one-time costs (tenant improvements, FF&amp;E, brokerage), parking, utilities the tenant pays directly, and any annual escalations. Directional only — actual lease economics vary with submarket, building class, lease term</w:t>
      </w:r>
      <w:r w:rsidRPr="00C720A7">
        <w:t xml:space="preserve">, </w:t>
      </w:r>
    </w:p>
    <w:p w14:paraId="7B435CC5" w14:textId="77777777" w:rsidR="007B05B5" w:rsidRPr="00C720A7" w:rsidRDefault="007B05B5"/>
    <w:p w14:paraId="639FF786" w14:textId="77777777" w:rsidR="007B05B5" w:rsidRPr="00C720A7" w:rsidRDefault="007B05B5" w:rsidP="007B05B5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The Annual Occupancy Cost figure is </w:t>
      </w: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Total RSF × the blended Class A/B asking rate for the city, sourced from Q1 2026 broker market reports (CBRE, JLL, Cushman &amp; Wakefield, Colliers, </w:t>
      </w:r>
      <w:proofErr w:type="spellStart"/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CommercialCafe</w:t>
      </w:r>
      <w:proofErr w:type="spellEnd"/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)</w:t>
      </w: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. For Seattle, that rate is $47/SF, which is reported by brokers as a full-service gross equivalent — meaning it typically includes base rent, operating expenses, building taxes, janitorial, and common area maintenance.</w:t>
      </w:r>
    </w:p>
    <w:p w14:paraId="0AE7C53F" w14:textId="77777777" w:rsidR="007B05B5" w:rsidRPr="00C720A7" w:rsidRDefault="007B05B5" w:rsidP="007B05B5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What it does </w:t>
      </w: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not</w:t>
      </w: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 include:</w:t>
      </w:r>
    </w:p>
    <w:p w14:paraId="7886B522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Parking (always quoted separately in Seattle)</w:t>
      </w:r>
    </w:p>
    <w:p w14:paraId="62DFE2D8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Tenant improvements (TI) for buildout</w:t>
      </w:r>
    </w:p>
    <w:p w14:paraId="420E5E4C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FF&amp;E</w:t>
      </w:r>
    </w:p>
    <w:p w14:paraId="3C445DAE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Brokerage commissions</w:t>
      </w:r>
    </w:p>
    <w:p w14:paraId="25CAAE69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In-suite utilities above building standard</w:t>
      </w:r>
    </w:p>
    <w:p w14:paraId="6B91AF95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Annual escalations (typically 2.5–3.5%/yr after year one)</w:t>
      </w:r>
    </w:p>
    <w:p w14:paraId="4F09E53C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Operating expense pass-throughs above the base year</w:t>
      </w:r>
    </w:p>
    <w:p w14:paraId="49ABFD3F" w14:textId="77777777" w:rsidR="007B05B5" w:rsidRPr="00C720A7" w:rsidRDefault="007B05B5" w:rsidP="007B05B5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It's a </w:t>
      </w: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directional figure for early-stage planning</w:t>
      </w: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, not a substitute for a brokered budget. Actual lease economics vary with submarket, building class, lease term, abatements, TI offsets, and concessions. Expect a real lease budget to land within ±15–25% of this number after broker engagement.</w:t>
      </w:r>
    </w:p>
    <w:p w14:paraId="69FF043C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Tooltip on "Annual Occupancy Cost":</w:t>
      </w:r>
    </w:p>
    <w:p w14:paraId="775258BF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Year-one occupancy cost. Calculated as Total RSF × the blended Class A/B asking rate for the city (Q1 2026), sourced from CBRE, JLL, Cushman &amp; Wakefield, Colliers, and </w:t>
      </w:r>
      <w:proofErr w:type="spellStart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CommercialCafe</w:t>
      </w:r>
      <w:proofErr w:type="spellEnd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market reports.</w:t>
      </w:r>
    </w:p>
    <w:p w14:paraId="2D238742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Typically </w:t>
      </w:r>
      <w:proofErr w:type="gramStart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includes:</w:t>
      </w:r>
      <w:proofErr w:type="gramEnd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base rent, property taxes, building insurance, CAM, janitorial, building utilities.</w:t>
      </w:r>
    </w:p>
    <w:p w14:paraId="4708A9CC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Excludes: parking, tenant improvements, FF&amp;E, brokerage, in-suite utilities above building standard, annual escalations (2.5–3.5%/yr typical), and </w:t>
      </w:r>
      <w:proofErr w:type="spellStart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OpEx</w:t>
      </w:r>
      <w:proofErr w:type="spellEnd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pass-throughs after the base year.</w:t>
      </w:r>
    </w:p>
    <w:p w14:paraId="3266C124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Directional only — actual lease economics vary with submarket, building class, lease term, abatements, and TI offsets. Expect ±15–25% variance vs. a brokered budget.</w:t>
      </w:r>
    </w:p>
    <w:p w14:paraId="045FE4E1" w14:textId="7AC539B2" w:rsidR="000D74C7" w:rsidRDefault="000D74C7">
      <w:r w:rsidRPr="00C720A7">
        <w:lastRenderedPageBreak/>
        <w:t>abatements, and TI offsets.</w:t>
      </w:r>
    </w:p>
    <w:p w14:paraId="7ACA2862" w14:textId="77777777" w:rsidR="004B61AF" w:rsidRDefault="004B61AF"/>
    <w:p w14:paraId="49BB42F1" w14:textId="77777777" w:rsidR="004B61AF" w:rsidRPr="004B61AF" w:rsidRDefault="004B61AF" w:rsidP="004B61AF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B61A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Corrected defense statement for </w:t>
      </w:r>
      <w:proofErr w:type="spellStart"/>
      <w:r w:rsidRPr="004B61A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sfPerDesk</w:t>
      </w:r>
      <w:proofErr w:type="spellEnd"/>
      <w:r w:rsidRPr="004B61A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:</w:t>
      </w:r>
    </w:p>
    <w:p w14:paraId="3003F031" w14:textId="77777777" w:rsidR="004B61AF" w:rsidRPr="004B61AF" w:rsidRDefault="004B61AF" w:rsidP="004B61AF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B61AF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 xml:space="preserve">"The workstation footprint values are blended midpoints from Q1 2026 industry data: published broker reports (CBRE, JLL, Cushman &amp; Wakefield), office space planning tools (LoopNet calculator, </w:t>
      </w:r>
      <w:proofErr w:type="spellStart"/>
      <w:r w:rsidRPr="004B61AF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OfficeRnD</w:t>
      </w:r>
      <w:proofErr w:type="spellEnd"/>
      <w:r w:rsidRPr="004B61AF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, NBF), and cubicle/workstation manufacturer dimension standards. Open workstations run 60-110 SF including furniture envelope, dedicated cubicles 80-100 SF, private offices 120-150 SF. I picked midpoints reflecting typical corporate programs — not call-center extremes or executive suites. Circulation, common areas, and meeting rooms are calculated separately, with the loss factor (USF→RSF) applied per BOMA conventions by city. These workstation values are directionally defensible at the program level; individual companies will have tighter or looser standards based on their workplace strategy."</w:t>
      </w:r>
    </w:p>
    <w:p w14:paraId="0E0E8743" w14:textId="51BC8EB3" w:rsidR="004B61AF" w:rsidRDefault="004B61AF" w:rsidP="004B61AF"/>
    <w:p w14:paraId="7A981972" w14:textId="27C26570" w:rsidR="00381F64" w:rsidRDefault="00381F64" w:rsidP="004B61AF">
      <w:r w:rsidRPr="00381F64">
        <w:t>This is current state, but not the long-term position.</w:t>
      </w:r>
    </w:p>
    <w:p w14:paraId="0608DDBE" w14:textId="77777777" w:rsidR="00381F64" w:rsidRPr="00381F64" w:rsidRDefault="00381F64" w:rsidP="004B61AF"/>
    <w:p w14:paraId="5A1AA74B" w14:textId="7DBF653B" w:rsidR="00381F64" w:rsidRPr="00381F64" w:rsidRDefault="00381F64" w:rsidP="004B61AF">
      <w:r w:rsidRPr="00381F64">
        <w:t xml:space="preserve">"AI-augmented." </w:t>
      </w:r>
      <w:proofErr w:type="spellStart"/>
      <w:r w:rsidRPr="00381F64">
        <w:t>OptiSpace</w:t>
      </w:r>
      <w:proofErr w:type="spellEnd"/>
      <w:r w:rsidRPr="00381F64">
        <w:t xml:space="preserve"> the platform will be more AI-native over time. The brand language ("AI-powered spatial intelligence") points at the trajectory, not the current state.</w:t>
      </w:r>
    </w:p>
    <w:p w14:paraId="5584EE35" w14:textId="77777777" w:rsidR="00381F64" w:rsidRPr="00381F64" w:rsidRDefault="00381F64" w:rsidP="004B61AF"/>
    <w:p w14:paraId="670DD6C3" w14:textId="6D9D7FFD" w:rsidR="00381F64" w:rsidRDefault="00381F64" w:rsidP="004B61AF">
      <w:r w:rsidRPr="00381F64">
        <w:t>Right now, Claude generates the strategic recommendation. The platform vision is to put AI deeper into the math — that's what we're building</w:t>
      </w:r>
      <w:r>
        <w:rPr>
          <w:rFonts w:ascii="-webkit-standard" w:hAnsi="-webkit-standard"/>
          <w:color w:val="FFFFFF"/>
          <w:sz w:val="27"/>
          <w:szCs w:val="27"/>
        </w:rPr>
        <w:t xml:space="preserve"> toward."</w:t>
      </w:r>
      <w:r>
        <w:rPr>
          <w:rStyle w:val="apple-converted-space"/>
          <w:rFonts w:ascii="-webkit-standard" w:hAnsi="-webkit-standard"/>
          <w:color w:val="FFFFFF"/>
          <w:sz w:val="27"/>
          <w:szCs w:val="27"/>
        </w:rPr>
        <w:t> </w:t>
      </w:r>
    </w:p>
    <w:sectPr w:rsidR="00381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44C"/>
    <w:multiLevelType w:val="multilevel"/>
    <w:tmpl w:val="F03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6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C7"/>
    <w:rsid w:val="000D74C7"/>
    <w:rsid w:val="00271749"/>
    <w:rsid w:val="00306AEC"/>
    <w:rsid w:val="003205B3"/>
    <w:rsid w:val="00381F64"/>
    <w:rsid w:val="004B61AF"/>
    <w:rsid w:val="004E150E"/>
    <w:rsid w:val="007B05B5"/>
    <w:rsid w:val="007B425A"/>
    <w:rsid w:val="009349F4"/>
    <w:rsid w:val="0095744E"/>
    <w:rsid w:val="00A14EAF"/>
    <w:rsid w:val="00A159C9"/>
    <w:rsid w:val="00A67315"/>
    <w:rsid w:val="00C233C2"/>
    <w:rsid w:val="00C720A7"/>
    <w:rsid w:val="00FC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F615D"/>
  <w15:chartTrackingRefBased/>
  <w15:docId w15:val="{D60C11E9-4F38-8E4F-BA6F-7526A40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C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B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B05B5"/>
  </w:style>
  <w:style w:type="character" w:styleId="Strong">
    <w:name w:val="Strong"/>
    <w:basedOn w:val="DefaultParagraphFont"/>
    <w:uiPriority w:val="22"/>
    <w:qFormat/>
    <w:rsid w:val="007B05B5"/>
    <w:rPr>
      <w:b/>
      <w:bCs/>
    </w:rPr>
  </w:style>
  <w:style w:type="character" w:styleId="Emphasis">
    <w:name w:val="Emphasis"/>
    <w:basedOn w:val="DefaultParagraphFont"/>
    <w:uiPriority w:val="20"/>
    <w:qFormat/>
    <w:rsid w:val="004B61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2932</Characters>
  <Application>Microsoft Office Word</Application>
  <DocSecurity>0</DocSecurity>
  <Lines>54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Ippolito</dc:creator>
  <cp:keywords/>
  <dc:description/>
  <cp:lastModifiedBy>Michael Ippolito</cp:lastModifiedBy>
  <cp:revision>2</cp:revision>
  <dcterms:created xsi:type="dcterms:W3CDTF">2026-05-24T19:06:00Z</dcterms:created>
  <dcterms:modified xsi:type="dcterms:W3CDTF">2026-05-24T19:06:00Z</dcterms:modified>
</cp:coreProperties>
</file>