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A66E" w14:textId="5AF288CA" w:rsidR="00F45A12" w:rsidRPr="0097386F" w:rsidRDefault="004E67DE" w:rsidP="004E67DE">
      <w:pPr>
        <w:pStyle w:val="Heading1"/>
        <w:rPr>
          <w:rFonts w:ascii="Arial" w:hAnsi="Arial" w:cs="Arial"/>
          <w:color w:val="auto"/>
          <w:sz w:val="36"/>
          <w:szCs w:val="36"/>
        </w:rPr>
      </w:pPr>
      <w:r w:rsidRPr="0097386F">
        <w:rPr>
          <w:rFonts w:ascii="Arial" w:hAnsi="Arial" w:cs="Arial"/>
          <w:color w:val="auto"/>
          <w:sz w:val="36"/>
          <w:szCs w:val="36"/>
        </w:rPr>
        <w:t>Introduction</w:t>
      </w:r>
    </w:p>
    <w:p w14:paraId="519016C6" w14:textId="0B5AA5C9" w:rsidR="004D000D" w:rsidRPr="0097386F" w:rsidRDefault="006931D8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Carbon trading is a common market-based tool to reduce </w:t>
      </w:r>
      <w:r w:rsidR="009823CB" w:rsidRPr="0097386F">
        <w:rPr>
          <w:rFonts w:ascii="Arial" w:hAnsi="Arial" w:cs="Arial"/>
        </w:rPr>
        <w:t xml:space="preserve">Green House Gas (GHG) emissions and tackle the climate crisis. </w:t>
      </w:r>
      <w:r w:rsidR="00DE40DE" w:rsidRPr="0097386F">
        <w:rPr>
          <w:rFonts w:ascii="Arial" w:hAnsi="Arial" w:cs="Arial"/>
        </w:rPr>
        <w:t xml:space="preserve">Uptake of </w:t>
      </w:r>
      <w:r w:rsidR="005A48DA" w:rsidRPr="0097386F">
        <w:rPr>
          <w:rFonts w:ascii="Arial" w:hAnsi="Arial" w:cs="Arial"/>
        </w:rPr>
        <w:t>carbon trading</w:t>
      </w:r>
      <w:r w:rsidR="00A37D43" w:rsidRPr="0097386F">
        <w:rPr>
          <w:rFonts w:ascii="Arial" w:hAnsi="Arial" w:cs="Arial"/>
        </w:rPr>
        <w:t xml:space="preserve"> </w:t>
      </w:r>
      <w:r w:rsidR="00DE40DE" w:rsidRPr="0097386F">
        <w:rPr>
          <w:rFonts w:ascii="Arial" w:hAnsi="Arial" w:cs="Arial"/>
        </w:rPr>
        <w:t xml:space="preserve">has </w:t>
      </w:r>
      <w:r w:rsidR="00553990" w:rsidRPr="0097386F">
        <w:rPr>
          <w:rFonts w:ascii="Arial" w:hAnsi="Arial" w:cs="Arial"/>
        </w:rPr>
        <w:t xml:space="preserve">expanded greatly, </w:t>
      </w:r>
      <w:r w:rsidR="00C31D11" w:rsidRPr="0097386F">
        <w:rPr>
          <w:rFonts w:ascii="Arial" w:hAnsi="Arial" w:cs="Arial"/>
        </w:rPr>
        <w:t>and</w:t>
      </w:r>
      <w:r w:rsidR="007D2F10" w:rsidRPr="0097386F">
        <w:rPr>
          <w:rFonts w:ascii="Arial" w:hAnsi="Arial" w:cs="Arial"/>
        </w:rPr>
        <w:t xml:space="preserve"> they now cover</w:t>
      </w:r>
      <w:r w:rsidR="00C31D11" w:rsidRPr="0097386F">
        <w:rPr>
          <w:rFonts w:ascii="Arial" w:hAnsi="Arial" w:cs="Arial"/>
        </w:rPr>
        <w:t xml:space="preserve"> </w:t>
      </w:r>
      <w:r w:rsidR="00232C43" w:rsidRPr="0097386F">
        <w:rPr>
          <w:rFonts w:ascii="Arial" w:hAnsi="Arial" w:cs="Arial"/>
        </w:rPr>
        <w:t>over 23% of global GHG emissions</w:t>
      </w:r>
      <w:r w:rsidR="00153253" w:rsidRPr="0097386F">
        <w:rPr>
          <w:rFonts w:ascii="Arial" w:hAnsi="Arial" w:cs="Arial"/>
        </w:rPr>
        <w:t xml:space="preserve"> </w:t>
      </w:r>
      <w:r w:rsidR="00153253" w:rsidRPr="0097386F">
        <w:rPr>
          <w:rFonts w:ascii="Arial" w:hAnsi="Arial" w:cs="Arial"/>
        </w:rPr>
        <w:fldChar w:fldCharType="begin"/>
      </w:r>
      <w:r w:rsidR="00153253" w:rsidRPr="0097386F">
        <w:rPr>
          <w:rFonts w:ascii="Arial" w:hAnsi="Arial" w:cs="Arial"/>
        </w:rPr>
        <w:instrText xml:space="preserve"> ADDIN EN.CITE &lt;EndNote&gt;&lt;Cite&gt;&lt;Author&gt;International Carbon Action&lt;/Author&gt;&lt;Year&gt;2025&lt;/Year&gt;&lt;RecNum&gt;56&lt;/RecNum&gt;&lt;DisplayText&gt;(International Carbon Action, 2025)&lt;/DisplayText&gt;&lt;record&gt;&lt;rec-number&gt;56&lt;/rec-number&gt;&lt;foreign-keys&gt;&lt;key app="EN" db-id="ttwsetvfy922vjexsf4xxeslw250dxrsttf5" timestamp="1769070884"&gt;56&lt;/key&gt;&lt;/foreign-keys&gt;&lt;ref-type name="Report"&gt;27&lt;/ref-type&gt;&lt;contributors&gt;&lt;authors&gt;&lt;author&gt;International Carbon Action, Partnership&lt;/author&gt;&lt;/authors&gt;&lt;/contributors&gt;&lt;titles&gt;&lt;title&gt;Emissions Trading Worldwide: Status Report 2025 – June Updates&lt;/title&gt;&lt;/titles&gt;&lt;dates&gt;&lt;year&gt;2025&lt;/year&gt;&lt;pub-dates&gt;&lt;date&gt;2025/6//&lt;/date&gt;&lt;/pub-dates&gt;&lt;/dates&gt;&lt;pub-location&gt;Berlin, Germany&lt;/pub-location&gt;&lt;publisher&gt;International Carbon Action Partnership&lt;/publisher&gt;&lt;work-type&gt;techreport&lt;/work-type&gt;&lt;urls&gt;&lt;related-urls&gt;&lt;url&gt;https://icapcarbonaction.com/system/files/document/250612_icap_sr25_june-updates.pdf&lt;/url&gt;&lt;/related-urls&gt;&lt;/urls&gt;&lt;/record&gt;&lt;/Cite&gt;&lt;/EndNote&gt;</w:instrText>
      </w:r>
      <w:r w:rsidR="00153253" w:rsidRPr="0097386F">
        <w:rPr>
          <w:rFonts w:ascii="Arial" w:hAnsi="Arial" w:cs="Arial"/>
        </w:rPr>
        <w:fldChar w:fldCharType="separate"/>
      </w:r>
      <w:r w:rsidR="00153253" w:rsidRPr="0097386F">
        <w:rPr>
          <w:rFonts w:ascii="Arial" w:hAnsi="Arial" w:cs="Arial"/>
          <w:noProof/>
        </w:rPr>
        <w:t>(International Carbon Action, 2025)</w:t>
      </w:r>
      <w:r w:rsidR="00153253" w:rsidRPr="0097386F">
        <w:rPr>
          <w:rFonts w:ascii="Arial" w:hAnsi="Arial" w:cs="Arial"/>
        </w:rPr>
        <w:fldChar w:fldCharType="end"/>
      </w:r>
      <w:r w:rsidR="007D2F10" w:rsidRPr="0097386F">
        <w:rPr>
          <w:rFonts w:ascii="Arial" w:hAnsi="Arial" w:cs="Arial"/>
        </w:rPr>
        <w:t>.</w:t>
      </w:r>
      <w:r w:rsidR="00030009" w:rsidRPr="0097386F">
        <w:rPr>
          <w:rFonts w:ascii="Arial" w:hAnsi="Arial" w:cs="Arial"/>
        </w:rPr>
        <w:t xml:space="preserve"> Yet questions remain over their effectiveness</w:t>
      </w:r>
      <w:r w:rsidR="000E57A6" w:rsidRPr="0097386F">
        <w:rPr>
          <w:rFonts w:ascii="Arial" w:hAnsi="Arial" w:cs="Arial"/>
        </w:rPr>
        <w:t xml:space="preserve"> and cost-efficiency</w:t>
      </w:r>
      <w:r w:rsidR="0002679E" w:rsidRPr="0097386F">
        <w:rPr>
          <w:rFonts w:ascii="Arial" w:hAnsi="Arial" w:cs="Arial"/>
        </w:rPr>
        <w:t xml:space="preserve"> compared to alternative policy measures </w:t>
      </w:r>
      <w:r w:rsidR="007944A7" w:rsidRPr="0097386F">
        <w:rPr>
          <w:rFonts w:ascii="Arial" w:hAnsi="Arial" w:cs="Arial"/>
        </w:rPr>
        <w:t xml:space="preserve"> </w:t>
      </w:r>
      <w:r w:rsidR="00DE569C" w:rsidRPr="0097386F">
        <w:rPr>
          <w:rFonts w:ascii="Arial" w:hAnsi="Arial" w:cs="Arial"/>
        </w:rPr>
        <w:fldChar w:fldCharType="begin"/>
      </w:r>
      <w:r w:rsidR="00DE569C" w:rsidRPr="0097386F">
        <w:rPr>
          <w:rFonts w:ascii="Arial" w:hAnsi="Arial" w:cs="Arial"/>
        </w:rPr>
        <w:instrText xml:space="preserve"> ADDIN EN.CITE &lt;EndNote&gt;&lt;Cite&gt;&lt;Author&gt;Metcalf&lt;/Author&gt;&lt;Year&gt;2023&lt;/Year&gt;&lt;RecNum&gt;55&lt;/RecNum&gt;&lt;DisplayText&gt;(Metcalf, 2023)&lt;/DisplayText&gt;&lt;record&gt;&lt;rec-number&gt;55&lt;/rec-number&gt;&lt;foreign-keys&gt;&lt;key app="EN" db-id="ttwsetvfy922vjexsf4xxeslw250dxrsttf5" timestamp="1769070803"&gt;55&lt;/key&gt;&lt;/foreign-keys&gt;&lt;ref-type name="Journal Article"&gt;17&lt;/ref-type&gt;&lt;contributors&gt;&lt;authors&gt;&lt;author&gt;Metcalf, Gilbert E.&lt;/author&gt;&lt;/authors&gt;&lt;/contributors&gt;&lt;titles&gt;&lt;title&gt;Five myths about carbon pricing&lt;/title&gt;&lt;secondary-title&gt;Oxford Review of Economic Policy&lt;/secondary-title&gt;&lt;/titles&gt;&lt;periodical&gt;&lt;full-title&gt;Oxford Review of Economic Policy&lt;/full-title&gt;&lt;/periodical&gt;&lt;pages&gt;680-693&lt;/pages&gt;&lt;volume&gt;39&lt;/volume&gt;&lt;number&gt;4&lt;/number&gt;&lt;dates&gt;&lt;year&gt;2023&lt;/year&gt;&lt;pub-dates&gt;&lt;date&gt;2023&lt;/date&gt;&lt;/pub-dates&gt;&lt;/dates&gt;&lt;urls&gt;&lt;related-urls&gt;&lt;url&gt;https://doi.org/10.1093/oxrep/grad042&lt;/url&gt;&lt;/related-urls&gt;&lt;/urls&gt;&lt;electronic-resource-num&gt;10.1093/oxrep/grad042&lt;/electronic-resource-num&gt;&lt;/record&gt;&lt;/Cite&gt;&lt;/EndNote&gt;</w:instrText>
      </w:r>
      <w:r w:rsidR="00DE569C" w:rsidRPr="0097386F">
        <w:rPr>
          <w:rFonts w:ascii="Arial" w:hAnsi="Arial" w:cs="Arial"/>
        </w:rPr>
        <w:fldChar w:fldCharType="separate"/>
      </w:r>
      <w:r w:rsidR="00DE569C" w:rsidRPr="0097386F">
        <w:rPr>
          <w:rFonts w:ascii="Arial" w:hAnsi="Arial" w:cs="Arial"/>
          <w:noProof/>
        </w:rPr>
        <w:t>(Metcalf, 2023)</w:t>
      </w:r>
      <w:r w:rsidR="00DE569C" w:rsidRPr="0097386F">
        <w:rPr>
          <w:rFonts w:ascii="Arial" w:hAnsi="Arial" w:cs="Arial"/>
        </w:rPr>
        <w:fldChar w:fldCharType="end"/>
      </w:r>
      <w:r w:rsidR="004D000D" w:rsidRPr="0097386F">
        <w:rPr>
          <w:rFonts w:ascii="Arial" w:hAnsi="Arial" w:cs="Arial"/>
        </w:rPr>
        <w:t>.</w:t>
      </w:r>
      <w:r w:rsidR="00783FAE" w:rsidRPr="0097386F">
        <w:rPr>
          <w:rFonts w:ascii="Arial" w:hAnsi="Arial" w:cs="Arial"/>
        </w:rPr>
        <w:t xml:space="preserve"> </w:t>
      </w:r>
      <w:r w:rsidR="004D000D" w:rsidRPr="0097386F">
        <w:rPr>
          <w:rFonts w:ascii="Arial" w:hAnsi="Arial" w:cs="Arial"/>
        </w:rPr>
        <w:t>This essay compares t</w:t>
      </w:r>
      <w:r w:rsidR="00AB1E03" w:rsidRPr="0097386F">
        <w:rPr>
          <w:rFonts w:ascii="Arial" w:hAnsi="Arial" w:cs="Arial"/>
        </w:rPr>
        <w:t xml:space="preserve">he </w:t>
      </w:r>
      <w:r w:rsidR="00731D64" w:rsidRPr="0097386F">
        <w:rPr>
          <w:rFonts w:ascii="Arial" w:hAnsi="Arial" w:cs="Arial"/>
        </w:rPr>
        <w:t>Europ</w:t>
      </w:r>
      <w:r w:rsidR="00AB1E03" w:rsidRPr="0097386F">
        <w:rPr>
          <w:rFonts w:ascii="Arial" w:hAnsi="Arial" w:cs="Arial"/>
        </w:rPr>
        <w:t>ean Union Emissions Trading Scheme (EU ETS)</w:t>
      </w:r>
      <w:r w:rsidR="00731D64" w:rsidRPr="0097386F">
        <w:rPr>
          <w:rFonts w:ascii="Arial" w:hAnsi="Arial" w:cs="Arial"/>
        </w:rPr>
        <w:t xml:space="preserve"> </w:t>
      </w:r>
      <w:r w:rsidR="00117324" w:rsidRPr="0097386F">
        <w:rPr>
          <w:rFonts w:ascii="Arial" w:hAnsi="Arial" w:cs="Arial"/>
        </w:rPr>
        <w:t>with California’s Cap-and-Trade (C&amp;T) scheme</w:t>
      </w:r>
      <w:r w:rsidR="007D24D9" w:rsidRPr="0097386F">
        <w:rPr>
          <w:rFonts w:ascii="Arial" w:hAnsi="Arial" w:cs="Arial"/>
        </w:rPr>
        <w:t xml:space="preserve">, evaluates their effectiveness, and </w:t>
      </w:r>
      <w:r w:rsidR="00783FAE" w:rsidRPr="0097386F">
        <w:rPr>
          <w:rFonts w:ascii="Arial" w:hAnsi="Arial" w:cs="Arial"/>
        </w:rPr>
        <w:t>discusses if alternative mechanisms</w:t>
      </w:r>
      <w:r w:rsidR="00C83E00" w:rsidRPr="0097386F">
        <w:rPr>
          <w:rFonts w:ascii="Arial" w:hAnsi="Arial" w:cs="Arial"/>
        </w:rPr>
        <w:t xml:space="preserve"> are</w:t>
      </w:r>
      <w:r w:rsidR="00783FAE" w:rsidRPr="0097386F">
        <w:rPr>
          <w:rFonts w:ascii="Arial" w:hAnsi="Arial" w:cs="Arial"/>
        </w:rPr>
        <w:t xml:space="preserve"> </w:t>
      </w:r>
      <w:r w:rsidR="00101AE3" w:rsidRPr="0097386F">
        <w:rPr>
          <w:rFonts w:ascii="Arial" w:hAnsi="Arial" w:cs="Arial"/>
        </w:rPr>
        <w:t>more suitable</w:t>
      </w:r>
      <w:r w:rsidR="00783FAE" w:rsidRPr="0097386F">
        <w:rPr>
          <w:rFonts w:ascii="Arial" w:hAnsi="Arial" w:cs="Arial"/>
        </w:rPr>
        <w:t>.</w:t>
      </w:r>
    </w:p>
    <w:p w14:paraId="01103782" w14:textId="647E4984" w:rsidR="007048FB" w:rsidRPr="0097386F" w:rsidRDefault="007048FB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>Emissions trading give</w:t>
      </w:r>
      <w:r w:rsidR="005C4779" w:rsidRPr="0097386F">
        <w:rPr>
          <w:rFonts w:ascii="Arial" w:hAnsi="Arial" w:cs="Arial"/>
        </w:rPr>
        <w:t>s</w:t>
      </w:r>
      <w:r w:rsidRPr="0097386F">
        <w:rPr>
          <w:rFonts w:ascii="Arial" w:hAnsi="Arial" w:cs="Arial"/>
        </w:rPr>
        <w:t xml:space="preserve"> regulators direct control over total emissions while theoretically minimising the total cost of emissions abatement. </w:t>
      </w:r>
      <w:r w:rsidR="00A60B37" w:rsidRPr="0097386F">
        <w:rPr>
          <w:rFonts w:ascii="Arial" w:hAnsi="Arial" w:cs="Arial"/>
        </w:rPr>
        <w:t xml:space="preserve">Imposing tradeable permits enables the market to find the most cost-efficient method of abatement. </w:t>
      </w:r>
      <w:r w:rsidRPr="0097386F">
        <w:rPr>
          <w:rFonts w:ascii="Arial" w:hAnsi="Arial" w:cs="Arial"/>
        </w:rPr>
        <w:t>Regulators have flexibility over the initial allocation of permits, which can be allocated via auction using an ‘emitter pays’ principle to generate an income stream for government.</w:t>
      </w:r>
    </w:p>
    <w:p w14:paraId="77BB9D75" w14:textId="3AAC2060" w:rsidR="00783FAE" w:rsidRPr="0097386F" w:rsidRDefault="00783FAE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The </w:t>
      </w:r>
      <w:r w:rsidR="00AD77E6" w:rsidRPr="0097386F">
        <w:rPr>
          <w:rFonts w:ascii="Arial" w:hAnsi="Arial" w:cs="Arial"/>
        </w:rPr>
        <w:t xml:space="preserve">EU ETS </w:t>
      </w:r>
      <w:r w:rsidRPr="0097386F">
        <w:rPr>
          <w:rFonts w:ascii="Arial" w:hAnsi="Arial" w:cs="Arial"/>
        </w:rPr>
        <w:t xml:space="preserve">is the largest </w:t>
      </w:r>
      <w:r w:rsidR="00646045" w:rsidRPr="0097386F">
        <w:rPr>
          <w:rFonts w:ascii="Arial" w:hAnsi="Arial" w:cs="Arial"/>
        </w:rPr>
        <w:t>scheme of this type in the world, and the only supranational example.</w:t>
      </w:r>
      <w:r w:rsidR="00F43854" w:rsidRPr="0097386F">
        <w:rPr>
          <w:rFonts w:ascii="Arial" w:hAnsi="Arial" w:cs="Arial"/>
        </w:rPr>
        <w:t xml:space="preserve"> Participating countries include t</w:t>
      </w:r>
      <w:r w:rsidR="002A20D7" w:rsidRPr="0097386F">
        <w:rPr>
          <w:rFonts w:ascii="Arial" w:hAnsi="Arial" w:cs="Arial"/>
        </w:rPr>
        <w:t>he 27 EU states</w:t>
      </w:r>
      <w:r w:rsidR="00FC0ABD" w:rsidRPr="0097386F">
        <w:rPr>
          <w:rFonts w:ascii="Arial" w:hAnsi="Arial" w:cs="Arial"/>
        </w:rPr>
        <w:t xml:space="preserve"> plus</w:t>
      </w:r>
      <w:r w:rsidR="002A20D7" w:rsidRPr="0097386F">
        <w:rPr>
          <w:rFonts w:ascii="Arial" w:hAnsi="Arial" w:cs="Arial"/>
        </w:rPr>
        <w:t xml:space="preserve"> Norway, Iceland, and Liechtenstein</w:t>
      </w:r>
      <w:r w:rsidR="00FC0ABD" w:rsidRPr="0097386F">
        <w:rPr>
          <w:rFonts w:ascii="Arial" w:hAnsi="Arial" w:cs="Arial"/>
        </w:rPr>
        <w:t>.</w:t>
      </w:r>
      <w:r w:rsidR="00646045" w:rsidRPr="0097386F">
        <w:rPr>
          <w:rFonts w:ascii="Arial" w:hAnsi="Arial" w:cs="Arial"/>
        </w:rPr>
        <w:t xml:space="preserve"> </w:t>
      </w:r>
      <w:r w:rsidR="00894DE4" w:rsidRPr="0097386F">
        <w:rPr>
          <w:rFonts w:ascii="Arial" w:hAnsi="Arial" w:cs="Arial"/>
        </w:rPr>
        <w:t>Launched on January 1</w:t>
      </w:r>
      <w:r w:rsidR="00894DE4" w:rsidRPr="0097386F">
        <w:rPr>
          <w:rFonts w:ascii="Arial" w:hAnsi="Arial" w:cs="Arial"/>
          <w:vertAlign w:val="superscript"/>
        </w:rPr>
        <w:t>st</w:t>
      </w:r>
      <w:r w:rsidR="004B1F29" w:rsidRPr="0097386F">
        <w:rPr>
          <w:rFonts w:ascii="Arial" w:hAnsi="Arial" w:cs="Arial"/>
        </w:rPr>
        <w:t>, 2005</w:t>
      </w:r>
      <w:r w:rsidR="00894DE4" w:rsidRPr="0097386F">
        <w:rPr>
          <w:rFonts w:ascii="Arial" w:hAnsi="Arial" w:cs="Arial"/>
        </w:rPr>
        <w:t xml:space="preserve">, </w:t>
      </w:r>
      <w:r w:rsidR="005A102B" w:rsidRPr="0097386F">
        <w:rPr>
          <w:rFonts w:ascii="Arial" w:hAnsi="Arial" w:cs="Arial"/>
        </w:rPr>
        <w:t>the scheme i</w:t>
      </w:r>
      <w:r w:rsidR="006F08AB" w:rsidRPr="0097386F">
        <w:rPr>
          <w:rFonts w:ascii="Arial" w:hAnsi="Arial" w:cs="Arial"/>
        </w:rPr>
        <w:t>s</w:t>
      </w:r>
      <w:r w:rsidR="005A102B" w:rsidRPr="0097386F">
        <w:rPr>
          <w:rFonts w:ascii="Arial" w:hAnsi="Arial" w:cs="Arial"/>
        </w:rPr>
        <w:t xml:space="preserve"> the oldest</w:t>
      </w:r>
      <w:r w:rsidR="006F08AB" w:rsidRPr="0097386F">
        <w:rPr>
          <w:rFonts w:ascii="Arial" w:hAnsi="Arial" w:cs="Arial"/>
        </w:rPr>
        <w:t xml:space="preserve"> still </w:t>
      </w:r>
      <w:r w:rsidR="005A102B" w:rsidRPr="0097386F">
        <w:rPr>
          <w:rFonts w:ascii="Arial" w:hAnsi="Arial" w:cs="Arial"/>
        </w:rPr>
        <w:t>in operation</w:t>
      </w:r>
      <w:r w:rsidR="00937338" w:rsidRPr="0097386F">
        <w:rPr>
          <w:rFonts w:ascii="Arial" w:hAnsi="Arial" w:cs="Arial"/>
        </w:rPr>
        <w:t xml:space="preserve"> and </w:t>
      </w:r>
      <w:r w:rsidR="00B1322E" w:rsidRPr="0097386F">
        <w:rPr>
          <w:rFonts w:ascii="Arial" w:hAnsi="Arial" w:cs="Arial"/>
        </w:rPr>
        <w:t>account</w:t>
      </w:r>
      <w:r w:rsidR="00796066" w:rsidRPr="0097386F">
        <w:rPr>
          <w:rFonts w:ascii="Arial" w:hAnsi="Arial" w:cs="Arial"/>
        </w:rPr>
        <w:t xml:space="preserve">s </w:t>
      </w:r>
      <w:r w:rsidR="00B1322E" w:rsidRPr="0097386F">
        <w:rPr>
          <w:rFonts w:ascii="Arial" w:hAnsi="Arial" w:cs="Arial"/>
        </w:rPr>
        <w:t>for about 40% of the EU’s emissions</w:t>
      </w:r>
      <w:r w:rsidR="00800360" w:rsidRPr="0097386F">
        <w:rPr>
          <w:rFonts w:ascii="Arial" w:hAnsi="Arial" w:cs="Arial"/>
        </w:rPr>
        <w:t xml:space="preserve"> </w:t>
      </w:r>
      <w:r w:rsidR="00153253" w:rsidRPr="0097386F">
        <w:rPr>
          <w:rFonts w:ascii="Arial" w:hAnsi="Arial" w:cs="Arial"/>
        </w:rPr>
        <w:fldChar w:fldCharType="begin"/>
      </w:r>
      <w:r w:rsidR="00153253" w:rsidRPr="0097386F">
        <w:rPr>
          <w:rFonts w:ascii="Arial" w:hAnsi="Arial" w:cs="Arial"/>
        </w:rPr>
        <w:instrText xml:space="preserve"> ADDIN EN.CITE &lt;EndNote&gt;&lt;Cite&gt;&lt;Author&gt;International Carbon Action&lt;/Author&gt;&lt;Year&gt;2025&lt;/Year&gt;&lt;RecNum&gt;56&lt;/RecNum&gt;&lt;DisplayText&gt;(International Carbon Action, 2025)&lt;/DisplayText&gt;&lt;record&gt;&lt;rec-number&gt;56&lt;/rec-number&gt;&lt;foreign-keys&gt;&lt;key app="EN" db-id="ttwsetvfy922vjexsf4xxeslw250dxrsttf5" timestamp="1769070884"&gt;56&lt;/key&gt;&lt;/foreign-keys&gt;&lt;ref-type name="Report"&gt;27&lt;/ref-type&gt;&lt;contributors&gt;&lt;authors&gt;&lt;author&gt;International Carbon Action, Partnership&lt;/author&gt;&lt;/authors&gt;&lt;/contributors&gt;&lt;titles&gt;&lt;title&gt;Emissions Trading Worldwide: Status Report 2025 – June Updates&lt;/title&gt;&lt;/titles&gt;&lt;dates&gt;&lt;year&gt;2025&lt;/year&gt;&lt;pub-dates&gt;&lt;date&gt;2025/6//&lt;/date&gt;&lt;/pub-dates&gt;&lt;/dates&gt;&lt;pub-location&gt;Berlin, Germany&lt;/pub-location&gt;&lt;publisher&gt;International Carbon Action Partnership&lt;/publisher&gt;&lt;work-type&gt;techreport&lt;/work-type&gt;&lt;urls&gt;&lt;related-urls&gt;&lt;url&gt;https://icapcarbonaction.com/system/files/document/250612_icap_sr25_june-updates.pdf&lt;/url&gt;&lt;/related-urls&gt;&lt;/urls&gt;&lt;/record&gt;&lt;/Cite&gt;&lt;/EndNote&gt;</w:instrText>
      </w:r>
      <w:r w:rsidR="00153253" w:rsidRPr="0097386F">
        <w:rPr>
          <w:rFonts w:ascii="Arial" w:hAnsi="Arial" w:cs="Arial"/>
        </w:rPr>
        <w:fldChar w:fldCharType="separate"/>
      </w:r>
      <w:r w:rsidR="00153253" w:rsidRPr="0097386F">
        <w:rPr>
          <w:rFonts w:ascii="Arial" w:hAnsi="Arial" w:cs="Arial"/>
          <w:noProof/>
        </w:rPr>
        <w:t>(International Carbon Action, 2025)</w:t>
      </w:r>
      <w:r w:rsidR="00153253" w:rsidRPr="0097386F">
        <w:rPr>
          <w:rFonts w:ascii="Arial" w:hAnsi="Arial" w:cs="Arial"/>
        </w:rPr>
        <w:fldChar w:fldCharType="end"/>
      </w:r>
      <w:r w:rsidR="00B1322E" w:rsidRPr="0097386F">
        <w:rPr>
          <w:rFonts w:ascii="Arial" w:hAnsi="Arial" w:cs="Arial"/>
        </w:rPr>
        <w:t>.</w:t>
      </w:r>
    </w:p>
    <w:p w14:paraId="732D763F" w14:textId="09A46FFA" w:rsidR="00427801" w:rsidRPr="0097386F" w:rsidRDefault="00937338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California’s </w:t>
      </w:r>
      <w:r w:rsidR="00207A43" w:rsidRPr="0097386F">
        <w:rPr>
          <w:rFonts w:ascii="Arial" w:hAnsi="Arial" w:cs="Arial"/>
        </w:rPr>
        <w:t>C&amp;T</w:t>
      </w:r>
      <w:r w:rsidR="00800360" w:rsidRPr="0097386F">
        <w:rPr>
          <w:rFonts w:ascii="Arial" w:hAnsi="Arial" w:cs="Arial"/>
        </w:rPr>
        <w:t xml:space="preserve"> </w:t>
      </w:r>
      <w:r w:rsidR="0017246E" w:rsidRPr="0097386F">
        <w:rPr>
          <w:rFonts w:ascii="Arial" w:hAnsi="Arial" w:cs="Arial"/>
        </w:rPr>
        <w:t xml:space="preserve">program </w:t>
      </w:r>
      <w:r w:rsidR="00E3078D" w:rsidRPr="0097386F">
        <w:rPr>
          <w:rFonts w:ascii="Arial" w:hAnsi="Arial" w:cs="Arial"/>
        </w:rPr>
        <w:t xml:space="preserve">is an </w:t>
      </w:r>
      <w:r w:rsidR="0017246E" w:rsidRPr="0097386F">
        <w:rPr>
          <w:rFonts w:ascii="Arial" w:hAnsi="Arial" w:cs="Arial"/>
        </w:rPr>
        <w:t>example of emissions trading</w:t>
      </w:r>
      <w:r w:rsidR="00A94B58" w:rsidRPr="0097386F">
        <w:rPr>
          <w:rFonts w:ascii="Arial" w:hAnsi="Arial" w:cs="Arial"/>
        </w:rPr>
        <w:t xml:space="preserve"> on a</w:t>
      </w:r>
      <w:r w:rsidR="00E3078D" w:rsidRPr="0097386F">
        <w:rPr>
          <w:rFonts w:ascii="Arial" w:hAnsi="Arial" w:cs="Arial"/>
        </w:rPr>
        <w:t xml:space="preserve"> regional level</w:t>
      </w:r>
      <w:r w:rsidR="0017246E" w:rsidRPr="0097386F">
        <w:rPr>
          <w:rFonts w:ascii="Arial" w:hAnsi="Arial" w:cs="Arial"/>
        </w:rPr>
        <w:t xml:space="preserve">. The scheme has been </w:t>
      </w:r>
      <w:r w:rsidR="00C0797F" w:rsidRPr="0097386F">
        <w:rPr>
          <w:rFonts w:ascii="Arial" w:hAnsi="Arial" w:cs="Arial"/>
        </w:rPr>
        <w:t>operational</w:t>
      </w:r>
      <w:r w:rsidR="0017246E" w:rsidRPr="0097386F">
        <w:rPr>
          <w:rFonts w:ascii="Arial" w:hAnsi="Arial" w:cs="Arial"/>
        </w:rPr>
        <w:t xml:space="preserve"> since </w:t>
      </w:r>
      <w:r w:rsidR="009D24CD" w:rsidRPr="0097386F">
        <w:rPr>
          <w:rFonts w:ascii="Arial" w:hAnsi="Arial" w:cs="Arial"/>
        </w:rPr>
        <w:t>2012 and</w:t>
      </w:r>
      <w:r w:rsidR="0017246E" w:rsidRPr="0097386F">
        <w:rPr>
          <w:rFonts w:ascii="Arial" w:hAnsi="Arial" w:cs="Arial"/>
        </w:rPr>
        <w:t xml:space="preserve"> covers </w:t>
      </w:r>
      <w:r w:rsidR="004B1F29" w:rsidRPr="0097386F">
        <w:rPr>
          <w:rFonts w:ascii="Arial" w:hAnsi="Arial" w:cs="Arial"/>
        </w:rPr>
        <w:t>76% of the State’s GHG emissions</w:t>
      </w:r>
      <w:r w:rsidR="0001612D" w:rsidRPr="0097386F">
        <w:rPr>
          <w:rFonts w:ascii="Arial" w:hAnsi="Arial" w:cs="Arial"/>
        </w:rPr>
        <w:t xml:space="preserve"> </w:t>
      </w:r>
      <w:r w:rsidR="0001612D" w:rsidRPr="0097386F">
        <w:rPr>
          <w:rFonts w:ascii="Arial" w:hAnsi="Arial" w:cs="Arial"/>
        </w:rPr>
        <w:fldChar w:fldCharType="begin"/>
      </w:r>
      <w:r w:rsidR="0001612D" w:rsidRPr="0097386F">
        <w:rPr>
          <w:rFonts w:ascii="Arial" w:hAnsi="Arial" w:cs="Arial"/>
        </w:rPr>
        <w:instrText xml:space="preserve"> ADDIN EN.CITE &lt;EndNote&gt;&lt;Cite&gt;&lt;Author&gt;International Carbon Action&lt;/Author&gt;&lt;Year&gt;2025&lt;/Year&gt;&lt;RecNum&gt;56&lt;/RecNum&gt;&lt;DisplayText&gt;(International Carbon Action, 2025)&lt;/DisplayText&gt;&lt;record&gt;&lt;rec-number&gt;56&lt;/rec-number&gt;&lt;foreign-keys&gt;&lt;key app="EN" db-id="ttwsetvfy922vjexsf4xxeslw250dxrsttf5" timestamp="1769070884"&gt;56&lt;/key&gt;&lt;/foreign-keys&gt;&lt;ref-type name="Report"&gt;27&lt;/ref-type&gt;&lt;contributors&gt;&lt;authors&gt;&lt;author&gt;International Carbon Action, Partnership&lt;/author&gt;&lt;/authors&gt;&lt;/contributors&gt;&lt;titles&gt;&lt;title&gt;Emissions Trading Worldwide: Status Report 2025 – June Updates&lt;/title&gt;&lt;/titles&gt;&lt;dates&gt;&lt;year&gt;2025&lt;/year&gt;&lt;pub-dates&gt;&lt;date&gt;2025/6//&lt;/date&gt;&lt;/pub-dates&gt;&lt;/dates&gt;&lt;pub-location&gt;Berlin, Germany&lt;/pub-location&gt;&lt;publisher&gt;International Carbon Action Partnership&lt;/publisher&gt;&lt;work-type&gt;techreport&lt;/work-type&gt;&lt;urls&gt;&lt;related-urls&gt;&lt;url&gt;https://icapcarbonaction.com/system/files/document/250612_icap_sr25_june-updates.pdf&lt;/url&gt;&lt;/related-urls&gt;&lt;/urls&gt;&lt;/record&gt;&lt;/Cite&gt;&lt;/EndNote&gt;</w:instrText>
      </w:r>
      <w:r w:rsidR="0001612D" w:rsidRPr="0097386F">
        <w:rPr>
          <w:rFonts w:ascii="Arial" w:hAnsi="Arial" w:cs="Arial"/>
        </w:rPr>
        <w:fldChar w:fldCharType="separate"/>
      </w:r>
      <w:r w:rsidR="0001612D" w:rsidRPr="0097386F">
        <w:rPr>
          <w:rFonts w:ascii="Arial" w:hAnsi="Arial" w:cs="Arial"/>
          <w:noProof/>
        </w:rPr>
        <w:t>(International Carbon Action, 2025)</w:t>
      </w:r>
      <w:r w:rsidR="0001612D" w:rsidRPr="0097386F">
        <w:rPr>
          <w:rFonts w:ascii="Arial" w:hAnsi="Arial" w:cs="Arial"/>
        </w:rPr>
        <w:fldChar w:fldCharType="end"/>
      </w:r>
      <w:r w:rsidR="004B1F29" w:rsidRPr="0097386F">
        <w:rPr>
          <w:rFonts w:ascii="Arial" w:hAnsi="Arial" w:cs="Arial"/>
        </w:rPr>
        <w:t>.</w:t>
      </w:r>
    </w:p>
    <w:p w14:paraId="403E830A" w14:textId="5392A707" w:rsidR="00B3722F" w:rsidRPr="0097386F" w:rsidRDefault="00267942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Since </w:t>
      </w:r>
      <w:r w:rsidR="00BE568C" w:rsidRPr="0097386F">
        <w:rPr>
          <w:rFonts w:ascii="Arial" w:hAnsi="Arial" w:cs="Arial"/>
        </w:rPr>
        <w:t>becoming</w:t>
      </w:r>
      <w:r w:rsidR="00190EC8" w:rsidRPr="0097386F">
        <w:rPr>
          <w:rFonts w:ascii="Arial" w:hAnsi="Arial" w:cs="Arial"/>
        </w:rPr>
        <w:t xml:space="preserve"> operational, </w:t>
      </w:r>
      <w:r w:rsidR="00BE568C" w:rsidRPr="0097386F">
        <w:rPr>
          <w:rFonts w:ascii="Arial" w:hAnsi="Arial" w:cs="Arial"/>
        </w:rPr>
        <w:t>emissi</w:t>
      </w:r>
      <w:r w:rsidR="007306F3" w:rsidRPr="0097386F">
        <w:rPr>
          <w:rFonts w:ascii="Arial" w:hAnsi="Arial" w:cs="Arial"/>
        </w:rPr>
        <w:t>ons within</w:t>
      </w:r>
      <w:r w:rsidR="00B3722F" w:rsidRPr="0097386F">
        <w:rPr>
          <w:rFonts w:ascii="Arial" w:hAnsi="Arial" w:cs="Arial"/>
        </w:rPr>
        <w:t xml:space="preserve"> the EU ETS</w:t>
      </w:r>
      <w:r w:rsidR="00190EC8" w:rsidRPr="0097386F">
        <w:rPr>
          <w:rFonts w:ascii="Arial" w:hAnsi="Arial" w:cs="Arial"/>
        </w:rPr>
        <w:t xml:space="preserve"> and California</w:t>
      </w:r>
      <w:r w:rsidR="00B3722F" w:rsidRPr="0097386F">
        <w:rPr>
          <w:rFonts w:ascii="Arial" w:hAnsi="Arial" w:cs="Arial"/>
        </w:rPr>
        <w:t xml:space="preserve"> C&amp;T</w:t>
      </w:r>
      <w:r w:rsidR="00190EC8" w:rsidRPr="0097386F">
        <w:rPr>
          <w:rFonts w:ascii="Arial" w:hAnsi="Arial" w:cs="Arial"/>
        </w:rPr>
        <w:t xml:space="preserve"> have significant</w:t>
      </w:r>
      <w:r w:rsidR="001B4426" w:rsidRPr="0097386F">
        <w:rPr>
          <w:rFonts w:ascii="Arial" w:hAnsi="Arial" w:cs="Arial"/>
        </w:rPr>
        <w:t>ly</w:t>
      </w:r>
      <w:r w:rsidR="00190EC8" w:rsidRPr="0097386F">
        <w:rPr>
          <w:rFonts w:ascii="Arial" w:hAnsi="Arial" w:cs="Arial"/>
        </w:rPr>
        <w:t xml:space="preserve"> reduc</w:t>
      </w:r>
      <w:r w:rsidR="001B4426" w:rsidRPr="0097386F">
        <w:rPr>
          <w:rFonts w:ascii="Arial" w:hAnsi="Arial" w:cs="Arial"/>
        </w:rPr>
        <w:t>ed</w:t>
      </w:r>
      <w:r w:rsidR="00190EC8" w:rsidRPr="0097386F">
        <w:rPr>
          <w:rFonts w:ascii="Arial" w:hAnsi="Arial" w:cs="Arial"/>
        </w:rPr>
        <w:t xml:space="preserve">. </w:t>
      </w:r>
      <w:r w:rsidR="00796B63" w:rsidRPr="0097386F">
        <w:rPr>
          <w:rFonts w:ascii="Arial" w:hAnsi="Arial" w:cs="Arial"/>
        </w:rPr>
        <w:t>E</w:t>
      </w:r>
      <w:r w:rsidR="00260C2F" w:rsidRPr="0097386F">
        <w:rPr>
          <w:rFonts w:ascii="Arial" w:hAnsi="Arial" w:cs="Arial"/>
        </w:rPr>
        <w:t>nergy generation and industrial emissions covered under the EU ETS reduced by 37.3%</w:t>
      </w:r>
      <w:r w:rsidR="000C4130" w:rsidRPr="0097386F">
        <w:rPr>
          <w:rFonts w:ascii="Arial" w:hAnsi="Arial" w:cs="Arial"/>
        </w:rPr>
        <w:t xml:space="preserve"> between the scheme’s launch in 2005 and 2021</w:t>
      </w:r>
      <w:r w:rsidR="00A37E2D" w:rsidRPr="0097386F">
        <w:rPr>
          <w:rFonts w:ascii="Arial" w:hAnsi="Arial" w:cs="Arial"/>
        </w:rPr>
        <w:t xml:space="preserve"> </w:t>
      </w:r>
      <w:r w:rsidR="00852E4E" w:rsidRPr="0097386F">
        <w:rPr>
          <w:rFonts w:ascii="Arial" w:hAnsi="Arial" w:cs="Arial"/>
        </w:rPr>
        <w:fldChar w:fldCharType="begin"/>
      </w:r>
      <w:r w:rsidR="00852E4E" w:rsidRPr="0097386F">
        <w:rPr>
          <w:rFonts w:ascii="Arial" w:hAnsi="Arial" w:cs="Arial"/>
        </w:rPr>
        <w:instrText xml:space="preserve"> ADDIN EN.CITE &lt;EndNote&gt;&lt;Cite&gt;&lt;Author&gt;European Commission&lt;/Author&gt;&lt;Year&gt;2023&lt;/Year&gt;&lt;RecNum&gt;57&lt;/RecNum&gt;&lt;DisplayText&gt;(European Commission, 2023)&lt;/DisplayText&gt;&lt;record&gt;&lt;rec-number&gt;57&lt;/rec-number&gt;&lt;foreign-keys&gt;&lt;key app="EN" db-id="ttwsetvfy922vjexsf4xxeslw250dxrsttf5" timestamp="1769071081"&gt;57&lt;/key&gt;&lt;/foreign-keys&gt;&lt;ref-type name="Report"&gt;27&lt;/ref-type&gt;&lt;contributors&gt;&lt;authors&gt;&lt;author&gt;European Commission,&lt;/author&gt;&lt;/authors&gt;&lt;/contributors&gt;&lt;titles&gt;&lt;title&gt;Report from the Commission to the European Parliament and the Council on the functioning of the European carbon market in 2022&lt;/title&gt;&lt;/titles&gt;&lt;dates&gt;&lt;year&gt;2023&lt;/year&gt;&lt;pub-dates&gt;&lt;date&gt;2023&lt;/date&gt;&lt;/pub-dates&gt;&lt;/dates&gt;&lt;pub-location&gt;Brussels&lt;/pub-location&gt;&lt;publisher&gt;European Commission&lt;/publisher&gt;&lt;isbn&gt;COM(2023) 654 final&lt;/isbn&gt;&lt;work-type&gt;techreport&lt;/work-type&gt;&lt;urls&gt;&lt;related-urls&gt;&lt;url&gt;https://eur-lex.europa.eu/legal-content/EN/TXT/?uri=CELEX:52023DC0654&lt;/url&gt;&lt;/related-urls&gt;&lt;/urls&gt;&lt;/record&gt;&lt;/Cite&gt;&lt;/EndNote&gt;</w:instrText>
      </w:r>
      <w:r w:rsidR="00852E4E" w:rsidRPr="0097386F">
        <w:rPr>
          <w:rFonts w:ascii="Arial" w:hAnsi="Arial" w:cs="Arial"/>
        </w:rPr>
        <w:fldChar w:fldCharType="separate"/>
      </w:r>
      <w:r w:rsidR="00852E4E" w:rsidRPr="0097386F">
        <w:rPr>
          <w:rFonts w:ascii="Arial" w:hAnsi="Arial" w:cs="Arial"/>
          <w:noProof/>
        </w:rPr>
        <w:t>(European Commission, 2023)</w:t>
      </w:r>
      <w:r w:rsidR="00852E4E" w:rsidRPr="0097386F">
        <w:rPr>
          <w:rFonts w:ascii="Arial" w:hAnsi="Arial" w:cs="Arial"/>
        </w:rPr>
        <w:fldChar w:fldCharType="end"/>
      </w:r>
      <w:r w:rsidR="000C4130" w:rsidRPr="0097386F">
        <w:rPr>
          <w:rFonts w:ascii="Arial" w:hAnsi="Arial" w:cs="Arial"/>
        </w:rPr>
        <w:t>.</w:t>
      </w:r>
      <w:r w:rsidR="00225FB0" w:rsidRPr="0097386F">
        <w:rPr>
          <w:rFonts w:ascii="Arial" w:hAnsi="Arial" w:cs="Arial"/>
        </w:rPr>
        <w:t xml:space="preserve"> </w:t>
      </w:r>
      <w:r w:rsidR="00725F8A" w:rsidRPr="0097386F">
        <w:rPr>
          <w:rFonts w:ascii="Arial" w:hAnsi="Arial" w:cs="Arial"/>
        </w:rPr>
        <w:t>Emission</w:t>
      </w:r>
      <w:r w:rsidR="007B29B6" w:rsidRPr="0097386F">
        <w:rPr>
          <w:rFonts w:ascii="Arial" w:hAnsi="Arial" w:cs="Arial"/>
        </w:rPr>
        <w:t xml:space="preserve"> </w:t>
      </w:r>
      <w:r w:rsidR="00725F8A" w:rsidRPr="0097386F">
        <w:rPr>
          <w:rFonts w:ascii="Arial" w:hAnsi="Arial" w:cs="Arial"/>
        </w:rPr>
        <w:t xml:space="preserve">reductions from installations under California’s C&amp;T scheme aren’t published directly, but </w:t>
      </w:r>
      <w:r w:rsidR="003C0103" w:rsidRPr="0097386F">
        <w:rPr>
          <w:rFonts w:ascii="Arial" w:hAnsi="Arial" w:cs="Arial"/>
        </w:rPr>
        <w:t xml:space="preserve">sectoral </w:t>
      </w:r>
      <w:r w:rsidR="003A1C73" w:rsidRPr="0097386F">
        <w:rPr>
          <w:rFonts w:ascii="Arial" w:hAnsi="Arial" w:cs="Arial"/>
        </w:rPr>
        <w:t>data</w:t>
      </w:r>
      <w:r w:rsidR="003C0103" w:rsidRPr="0097386F">
        <w:rPr>
          <w:rFonts w:ascii="Arial" w:hAnsi="Arial" w:cs="Arial"/>
        </w:rPr>
        <w:t xml:space="preserve"> show</w:t>
      </w:r>
      <w:r w:rsidR="003A1C73" w:rsidRPr="0097386F">
        <w:rPr>
          <w:rFonts w:ascii="Arial" w:hAnsi="Arial" w:cs="Arial"/>
        </w:rPr>
        <w:t>s</w:t>
      </w:r>
      <w:r w:rsidR="003C0103" w:rsidRPr="0097386F">
        <w:rPr>
          <w:rFonts w:ascii="Arial" w:hAnsi="Arial" w:cs="Arial"/>
        </w:rPr>
        <w:t xml:space="preserve"> a total reduction in electricity generation</w:t>
      </w:r>
      <w:r w:rsidR="00BE5473" w:rsidRPr="0097386F">
        <w:rPr>
          <w:rFonts w:ascii="Arial" w:hAnsi="Arial" w:cs="Arial"/>
        </w:rPr>
        <w:t xml:space="preserve"> plus industrial emissions</w:t>
      </w:r>
      <w:r w:rsidR="003C0103" w:rsidRPr="0097386F">
        <w:rPr>
          <w:rFonts w:ascii="Arial" w:hAnsi="Arial" w:cs="Arial"/>
        </w:rPr>
        <w:t xml:space="preserve"> of </w:t>
      </w:r>
      <w:r w:rsidR="00BE5473" w:rsidRPr="0097386F">
        <w:rPr>
          <w:rFonts w:ascii="Arial" w:hAnsi="Arial" w:cs="Arial"/>
        </w:rPr>
        <w:t>26</w:t>
      </w:r>
      <w:r w:rsidR="003C0103" w:rsidRPr="0097386F">
        <w:rPr>
          <w:rFonts w:ascii="Arial" w:hAnsi="Arial" w:cs="Arial"/>
        </w:rPr>
        <w:t>%</w:t>
      </w:r>
      <w:r w:rsidR="008506C3" w:rsidRPr="0097386F">
        <w:rPr>
          <w:rFonts w:ascii="Arial" w:hAnsi="Arial" w:cs="Arial"/>
        </w:rPr>
        <w:t xml:space="preserve"> between 2013 and 2023</w:t>
      </w:r>
      <w:r w:rsidR="0072693F" w:rsidRPr="0097386F">
        <w:rPr>
          <w:rFonts w:ascii="Arial" w:hAnsi="Arial" w:cs="Arial"/>
        </w:rPr>
        <w:t xml:space="preserve"> </w:t>
      </w:r>
      <w:r w:rsidR="0072693F" w:rsidRPr="0097386F">
        <w:rPr>
          <w:rFonts w:ascii="Arial" w:hAnsi="Arial" w:cs="Arial"/>
        </w:rPr>
        <w:fldChar w:fldCharType="begin"/>
      </w:r>
      <w:r w:rsidR="003C46A2" w:rsidRPr="0097386F">
        <w:rPr>
          <w:rFonts w:ascii="Arial" w:hAnsi="Arial" w:cs="Arial"/>
        </w:rPr>
        <w:instrText xml:space="preserve"> ADDIN EN.CITE &lt;EndNote&gt;&lt;Cite&gt;&lt;Author&gt;California Air Resources Board&lt;/Author&gt;&lt;Year&gt;2025&lt;/Year&gt;&lt;RecNum&gt;58&lt;/RecNum&gt;&lt;DisplayText&gt;(California Air Resources Board, 2025a)&lt;/DisplayText&gt;&lt;record&gt;&lt;rec-number&gt;58&lt;/rec-number&gt;&lt;foreign-keys&gt;&lt;key app="EN" db-id="ttwsetvfy922vjexsf4xxeslw250dxrsttf5" timestamp="1769071148"&gt;58&lt;/key&gt;&lt;/foreign-keys&gt;&lt;ref-type name="Generic"&gt;13&lt;/ref-type&gt;&lt;contributors&gt;&lt;authors&gt;&lt;author&gt;California Air Resources Board,&lt;/author&gt;&lt;/authors&gt;&lt;/contributors&gt;&lt;titles&gt;&lt;title&gt;2000–2023 Greenhouse Gas Inventory by Economic Sector (NC-GHG_INVENTOR Y_SECTOR_ALL_00-23.XLSX)&lt;/title&gt;&lt;/titles&gt;&lt;dates&gt;&lt;year&gt;2025&lt;/year&gt;&lt;pub-dates&gt;&lt;date&gt;2025&lt;/date&gt;&lt;/pub-dates&gt;&lt;/dates&gt;&lt;urls&gt;&lt;related-urls&gt;&lt;url&gt;https://ww2.arb.ca.gov/sites/default/files/2025-11/nc-ghg_inventory_sector_all_00-23.xlsx&lt;/url&gt;&lt;/related-urls&gt;&lt;/urls&gt;&lt;/record&gt;&lt;/Cite&gt;&lt;/EndNote&gt;</w:instrText>
      </w:r>
      <w:r w:rsidR="0072693F" w:rsidRPr="0097386F">
        <w:rPr>
          <w:rFonts w:ascii="Arial" w:hAnsi="Arial" w:cs="Arial"/>
        </w:rPr>
        <w:fldChar w:fldCharType="separate"/>
      </w:r>
      <w:r w:rsidR="003C46A2" w:rsidRPr="0097386F">
        <w:rPr>
          <w:rFonts w:ascii="Arial" w:hAnsi="Arial" w:cs="Arial"/>
          <w:noProof/>
        </w:rPr>
        <w:t>(California Air Resources Board, 2025a)</w:t>
      </w:r>
      <w:r w:rsidR="0072693F" w:rsidRPr="0097386F">
        <w:rPr>
          <w:rFonts w:ascii="Arial" w:hAnsi="Arial" w:cs="Arial"/>
        </w:rPr>
        <w:fldChar w:fldCharType="end"/>
      </w:r>
      <w:r w:rsidR="008506C3" w:rsidRPr="0097386F">
        <w:rPr>
          <w:rFonts w:ascii="Arial" w:hAnsi="Arial" w:cs="Arial"/>
        </w:rPr>
        <w:t>.</w:t>
      </w:r>
      <w:r w:rsidR="003C0103" w:rsidRPr="0097386F">
        <w:rPr>
          <w:rFonts w:ascii="Arial" w:hAnsi="Arial" w:cs="Arial"/>
        </w:rPr>
        <w:t xml:space="preserve"> </w:t>
      </w:r>
    </w:p>
    <w:p w14:paraId="629872F6" w14:textId="60733ED6" w:rsidR="00267942" w:rsidRPr="0097386F" w:rsidRDefault="00190EC8" w:rsidP="00335F7F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Nevertheless, these reductions may be attributed to a variety of external factors including other </w:t>
      </w:r>
      <w:r w:rsidR="008F2946" w:rsidRPr="0097386F">
        <w:rPr>
          <w:rFonts w:ascii="Arial" w:hAnsi="Arial" w:cs="Arial"/>
        </w:rPr>
        <w:t>climate policy measures. After evaluating the schemes, alternatives including regulation and carbon tax are discussed</w:t>
      </w:r>
      <w:r w:rsidR="00FF2136" w:rsidRPr="0097386F">
        <w:rPr>
          <w:rFonts w:ascii="Arial" w:hAnsi="Arial" w:cs="Arial"/>
        </w:rPr>
        <w:t xml:space="preserve">, and the importance of </w:t>
      </w:r>
      <w:r w:rsidR="00335F7F" w:rsidRPr="0097386F">
        <w:rPr>
          <w:rFonts w:ascii="Arial" w:hAnsi="Arial" w:cs="Arial"/>
        </w:rPr>
        <w:t>cost-</w:t>
      </w:r>
      <w:r w:rsidR="00FF2136" w:rsidRPr="0097386F">
        <w:rPr>
          <w:rFonts w:ascii="Arial" w:hAnsi="Arial" w:cs="Arial"/>
        </w:rPr>
        <w:t>efficiency is highlighted.</w:t>
      </w:r>
    </w:p>
    <w:p w14:paraId="1910B4FB" w14:textId="7DFDFD9A" w:rsidR="004E67DE" w:rsidRPr="0097386F" w:rsidRDefault="004E67DE" w:rsidP="004E67DE">
      <w:pPr>
        <w:pStyle w:val="Heading1"/>
        <w:rPr>
          <w:rFonts w:ascii="Arial" w:hAnsi="Arial" w:cs="Arial"/>
          <w:color w:val="auto"/>
          <w:sz w:val="36"/>
          <w:szCs w:val="36"/>
        </w:rPr>
      </w:pPr>
      <w:r w:rsidRPr="0097386F">
        <w:rPr>
          <w:rFonts w:ascii="Arial" w:hAnsi="Arial" w:cs="Arial"/>
          <w:color w:val="auto"/>
          <w:sz w:val="36"/>
          <w:szCs w:val="36"/>
        </w:rPr>
        <w:t>Comparison</w:t>
      </w:r>
    </w:p>
    <w:p w14:paraId="6AF53DE8" w14:textId="4D294448" w:rsidR="00FF2136" w:rsidRPr="0097386F" w:rsidRDefault="00DD0751" w:rsidP="00716A6C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The carbon-trading schemes of California and the European Union are similar at a basic level. </w:t>
      </w:r>
      <w:r w:rsidR="00824F19" w:rsidRPr="0097386F">
        <w:rPr>
          <w:rFonts w:ascii="Arial" w:hAnsi="Arial" w:cs="Arial"/>
        </w:rPr>
        <w:t>Permits</w:t>
      </w:r>
      <w:r w:rsidR="001C2D86" w:rsidRPr="0097386F">
        <w:rPr>
          <w:rFonts w:ascii="Arial" w:hAnsi="Arial" w:cs="Arial"/>
        </w:rPr>
        <w:t xml:space="preserve"> are granted or auctioned to </w:t>
      </w:r>
      <w:r w:rsidR="00F77903" w:rsidRPr="0097386F">
        <w:rPr>
          <w:rFonts w:ascii="Arial" w:hAnsi="Arial" w:cs="Arial"/>
        </w:rPr>
        <w:t xml:space="preserve">emitters covered by the scheme, and these </w:t>
      </w:r>
      <w:r w:rsidR="005A6FA1" w:rsidRPr="0097386F">
        <w:rPr>
          <w:rFonts w:ascii="Arial" w:hAnsi="Arial" w:cs="Arial"/>
        </w:rPr>
        <w:t>firms</w:t>
      </w:r>
      <w:r w:rsidR="00F77903" w:rsidRPr="0097386F">
        <w:rPr>
          <w:rFonts w:ascii="Arial" w:hAnsi="Arial" w:cs="Arial"/>
        </w:rPr>
        <w:t xml:space="preserve"> can then trade the</w:t>
      </w:r>
      <w:r w:rsidR="004A4F1D" w:rsidRPr="0097386F">
        <w:rPr>
          <w:rFonts w:ascii="Arial" w:hAnsi="Arial" w:cs="Arial"/>
        </w:rPr>
        <w:t xml:space="preserve">m </w:t>
      </w:r>
      <w:r w:rsidR="0033308B" w:rsidRPr="0097386F">
        <w:rPr>
          <w:rFonts w:ascii="Arial" w:hAnsi="Arial" w:cs="Arial"/>
        </w:rPr>
        <w:t>as they see fit.</w:t>
      </w:r>
      <w:r w:rsidR="005A6FA1" w:rsidRPr="0097386F">
        <w:rPr>
          <w:rFonts w:ascii="Arial" w:hAnsi="Arial" w:cs="Arial"/>
        </w:rPr>
        <w:t xml:space="preserve"> </w:t>
      </w:r>
      <w:r w:rsidR="00B03037" w:rsidRPr="0097386F">
        <w:rPr>
          <w:rFonts w:ascii="Arial" w:hAnsi="Arial" w:cs="Arial"/>
        </w:rPr>
        <w:t>Both schemes cover a variety of GHG gasses on a</w:t>
      </w:r>
      <w:r w:rsidR="005A6FA1" w:rsidRPr="0097386F">
        <w:rPr>
          <w:rFonts w:ascii="Arial" w:hAnsi="Arial" w:cs="Arial"/>
        </w:rPr>
        <w:t xml:space="preserve"> C0</w:t>
      </w:r>
      <w:r w:rsidR="00F66BE5" w:rsidRPr="0097386F">
        <w:rPr>
          <w:rFonts w:ascii="Arial" w:hAnsi="Arial" w:cs="Arial"/>
          <w:vertAlign w:val="subscript"/>
        </w:rPr>
        <w:t>2</w:t>
      </w:r>
      <w:r w:rsidR="005A6FA1" w:rsidRPr="0097386F">
        <w:rPr>
          <w:rFonts w:ascii="Arial" w:hAnsi="Arial" w:cs="Arial"/>
        </w:rPr>
        <w:t xml:space="preserve"> equivalent (</w:t>
      </w:r>
      <w:r w:rsidR="00F66BE5" w:rsidRPr="0097386F">
        <w:rPr>
          <w:rFonts w:ascii="Arial" w:hAnsi="Arial" w:cs="Arial"/>
        </w:rPr>
        <w:t>C0</w:t>
      </w:r>
      <w:r w:rsidR="00F66BE5" w:rsidRPr="0097386F">
        <w:rPr>
          <w:rFonts w:ascii="Arial" w:hAnsi="Arial" w:cs="Arial"/>
          <w:vertAlign w:val="subscript"/>
        </w:rPr>
        <w:t>2</w:t>
      </w:r>
      <w:r w:rsidR="005A6FA1" w:rsidRPr="0097386F">
        <w:rPr>
          <w:rFonts w:ascii="Arial" w:hAnsi="Arial" w:cs="Arial"/>
        </w:rPr>
        <w:t>e) basis.</w:t>
      </w:r>
      <w:r w:rsidR="0033308B" w:rsidRPr="0097386F">
        <w:rPr>
          <w:rFonts w:ascii="Arial" w:hAnsi="Arial" w:cs="Arial"/>
        </w:rPr>
        <w:t xml:space="preserve"> </w:t>
      </w:r>
      <w:r w:rsidR="00B03037" w:rsidRPr="0097386F">
        <w:rPr>
          <w:rFonts w:ascii="Arial" w:hAnsi="Arial" w:cs="Arial"/>
        </w:rPr>
        <w:t>The</w:t>
      </w:r>
      <w:r w:rsidR="00EE519F" w:rsidRPr="0097386F">
        <w:rPr>
          <w:rFonts w:ascii="Arial" w:hAnsi="Arial" w:cs="Arial"/>
        </w:rPr>
        <w:t xml:space="preserve"> total volume of permits granted decreases</w:t>
      </w:r>
      <w:r w:rsidR="007179E0" w:rsidRPr="0097386F">
        <w:rPr>
          <w:rFonts w:ascii="Arial" w:hAnsi="Arial" w:cs="Arial"/>
        </w:rPr>
        <w:t xml:space="preserve"> annually</w:t>
      </w:r>
      <w:r w:rsidR="00EE519F" w:rsidRPr="0097386F">
        <w:rPr>
          <w:rFonts w:ascii="Arial" w:hAnsi="Arial" w:cs="Arial"/>
        </w:rPr>
        <w:t xml:space="preserve"> in line with </w:t>
      </w:r>
      <w:r w:rsidR="001A0366" w:rsidRPr="0097386F">
        <w:rPr>
          <w:rFonts w:ascii="Arial" w:hAnsi="Arial" w:cs="Arial"/>
        </w:rPr>
        <w:t>climate targets.</w:t>
      </w:r>
      <w:r w:rsidR="004F224C" w:rsidRPr="0097386F">
        <w:rPr>
          <w:rFonts w:ascii="Arial" w:hAnsi="Arial" w:cs="Arial"/>
        </w:rPr>
        <w:t xml:space="preserve"> </w:t>
      </w:r>
      <w:r w:rsidR="00A815CF" w:rsidRPr="0097386F">
        <w:rPr>
          <w:rFonts w:ascii="Arial" w:hAnsi="Arial" w:cs="Arial"/>
        </w:rPr>
        <w:t>D</w:t>
      </w:r>
      <w:r w:rsidR="00887917" w:rsidRPr="0097386F">
        <w:rPr>
          <w:rFonts w:ascii="Arial" w:hAnsi="Arial" w:cs="Arial"/>
        </w:rPr>
        <w:t>ifferenc</w:t>
      </w:r>
      <w:r w:rsidR="00A815CF" w:rsidRPr="0097386F">
        <w:rPr>
          <w:rFonts w:ascii="Arial" w:hAnsi="Arial" w:cs="Arial"/>
        </w:rPr>
        <w:t>es</w:t>
      </w:r>
      <w:r w:rsidR="00025AE4" w:rsidRPr="0097386F">
        <w:rPr>
          <w:rFonts w:ascii="Arial" w:hAnsi="Arial" w:cs="Arial"/>
        </w:rPr>
        <w:t xml:space="preserve"> in</w:t>
      </w:r>
      <w:r w:rsidR="00A815CF" w:rsidRPr="0097386F">
        <w:rPr>
          <w:rFonts w:ascii="Arial" w:hAnsi="Arial" w:cs="Arial"/>
        </w:rPr>
        <w:t xml:space="preserve"> configuration of the systems may however</w:t>
      </w:r>
      <w:r w:rsidR="003D6A92" w:rsidRPr="0097386F">
        <w:rPr>
          <w:rFonts w:ascii="Arial" w:hAnsi="Arial" w:cs="Arial"/>
        </w:rPr>
        <w:t xml:space="preserve"> contribute to different outcomes. </w:t>
      </w:r>
      <w:r w:rsidR="004C492E" w:rsidRPr="0097386F">
        <w:rPr>
          <w:rFonts w:ascii="Arial" w:hAnsi="Arial" w:cs="Arial"/>
        </w:rPr>
        <w:t>The main points of comparison are now expanded on.</w:t>
      </w:r>
      <w:r w:rsidR="00321A29" w:rsidRPr="0097386F">
        <w:rPr>
          <w:rFonts w:ascii="Arial" w:hAnsi="Arial" w:cs="Arial"/>
        </w:rPr>
        <w:t xml:space="preserve"> </w:t>
      </w:r>
      <w:r w:rsidR="00BB1B0F" w:rsidRPr="0097386F">
        <w:rPr>
          <w:rFonts w:ascii="Arial" w:hAnsi="Arial" w:cs="Arial"/>
        </w:rPr>
        <w:t>Unless otherwise stated, i</w:t>
      </w:r>
      <w:r w:rsidR="00321A29" w:rsidRPr="0097386F">
        <w:rPr>
          <w:rFonts w:ascii="Arial" w:hAnsi="Arial" w:cs="Arial"/>
        </w:rPr>
        <w:t xml:space="preserve">nformation is </w:t>
      </w:r>
      <w:r w:rsidR="00BB1B0F" w:rsidRPr="0097386F">
        <w:rPr>
          <w:rFonts w:ascii="Arial" w:hAnsi="Arial" w:cs="Arial"/>
        </w:rPr>
        <w:t>extracted from</w:t>
      </w:r>
      <w:r w:rsidR="00321A29" w:rsidRPr="0097386F">
        <w:rPr>
          <w:rFonts w:ascii="Arial" w:hAnsi="Arial" w:cs="Arial"/>
        </w:rPr>
        <w:t xml:space="preserve"> </w:t>
      </w:r>
      <w:r w:rsidR="00BB1B0F" w:rsidRPr="0097386F">
        <w:rPr>
          <w:rFonts w:ascii="Arial" w:hAnsi="Arial" w:cs="Arial"/>
        </w:rPr>
        <w:t>the International Carbon Action Partnership</w:t>
      </w:r>
      <w:r w:rsidR="00AE1C56" w:rsidRPr="0097386F">
        <w:rPr>
          <w:rFonts w:ascii="Arial" w:hAnsi="Arial" w:cs="Arial"/>
        </w:rPr>
        <w:t xml:space="preserve"> Status Report</w:t>
      </w:r>
      <w:r w:rsidR="005E57CB" w:rsidRPr="0097386F">
        <w:rPr>
          <w:rFonts w:ascii="Arial" w:hAnsi="Arial" w:cs="Arial"/>
        </w:rPr>
        <w:t>,</w:t>
      </w:r>
      <w:r w:rsidR="00456D65" w:rsidRPr="0097386F">
        <w:rPr>
          <w:rFonts w:ascii="Arial" w:hAnsi="Arial" w:cs="Arial"/>
        </w:rPr>
        <w:t xml:space="preserve"> </w:t>
      </w:r>
      <w:r w:rsidR="00456D65" w:rsidRPr="0097386F">
        <w:rPr>
          <w:rFonts w:ascii="Arial" w:hAnsi="Arial" w:cs="Arial"/>
        </w:rPr>
        <w:fldChar w:fldCharType="begin"/>
      </w:r>
      <w:r w:rsidR="005E57CB" w:rsidRPr="0097386F">
        <w:rPr>
          <w:rFonts w:ascii="Arial" w:hAnsi="Arial" w:cs="Arial"/>
        </w:rPr>
        <w:instrText xml:space="preserve"> ADDIN EN.CITE &lt;EndNote&gt;&lt;Cite ExcludeAuth="1"&gt;&lt;Author&gt;International Carbon Action Partnership&lt;/Author&gt;&lt;Year&gt;2025&lt;/Year&gt;&lt;RecNum&gt;59&lt;/RecNum&gt;&lt;DisplayText&gt;(2025)&lt;/DisplayText&gt;&lt;record&gt;&lt;rec-number&gt;59&lt;/rec-number&gt;&lt;foreign-keys&gt;&lt;key app="EN" db-id="ttwsetvfy922vjexsf4xxeslw250dxrsttf5" timestamp="1769071201"&gt;59&lt;/key&gt;&lt;/foreign-keys&gt;&lt;ref-type name="Report"&gt;27&lt;/ref-type&gt;&lt;contributors&gt;&lt;authors&gt;&lt;author&gt;International Carbon Action Partnership,&lt;/author&gt;&lt;/authors&gt;&lt;/contributors&gt;&lt;titles&gt;&lt;title&gt;Emissions Trading Worldwide: ICAP Status Report 2025 – June Updates&lt;/title&gt;&lt;/titles&gt;&lt;dates&gt;&lt;year&gt;2025&lt;/year&gt;&lt;pub-dates&gt;&lt;date&gt;2025/6//&lt;/date&gt;&lt;/pub-dates&gt;&lt;/dates&gt;&lt;publisher&gt;International Carbon Action Partnership&lt;/publisher&gt;&lt;work-type&gt;techreport&lt;/work-type&gt;&lt;urls&gt;&lt;related-urls&gt;&lt;url&gt;https://icapcarbonaction.com/system/files/document/250612_icap_sr25_june-updates.pdf&lt;/url&gt;&lt;/related-urls&gt;&lt;/urls&gt;&lt;/record&gt;&lt;/Cite&gt;&lt;/EndNote&gt;</w:instrText>
      </w:r>
      <w:r w:rsidR="00456D65" w:rsidRPr="0097386F">
        <w:rPr>
          <w:rFonts w:ascii="Arial" w:hAnsi="Arial" w:cs="Arial"/>
        </w:rPr>
        <w:fldChar w:fldCharType="separate"/>
      </w:r>
      <w:r w:rsidR="005E57CB" w:rsidRPr="0097386F">
        <w:rPr>
          <w:rFonts w:ascii="Arial" w:hAnsi="Arial" w:cs="Arial"/>
          <w:noProof/>
        </w:rPr>
        <w:t>(2025)</w:t>
      </w:r>
      <w:r w:rsidR="00456D65" w:rsidRPr="0097386F">
        <w:rPr>
          <w:rFonts w:ascii="Arial" w:hAnsi="Arial" w:cs="Arial"/>
        </w:rPr>
        <w:fldChar w:fldCharType="end"/>
      </w:r>
      <w:r w:rsidR="00BB1B0F" w:rsidRPr="0097386F">
        <w:rPr>
          <w:rFonts w:ascii="Arial" w:hAnsi="Arial" w:cs="Arial"/>
        </w:rPr>
        <w:t>.</w:t>
      </w:r>
    </w:p>
    <w:p w14:paraId="50485FCF" w14:textId="4D8C7F0C" w:rsidR="006B2066" w:rsidRPr="0097386F" w:rsidRDefault="006B2066" w:rsidP="006B2066">
      <w:pPr>
        <w:jc w:val="both"/>
        <w:rPr>
          <w:rFonts w:ascii="Arial" w:hAnsi="Arial" w:cs="Arial"/>
          <w:b/>
          <w:bCs/>
        </w:rPr>
      </w:pPr>
      <w:r w:rsidRPr="0097386F">
        <w:rPr>
          <w:rFonts w:ascii="Arial" w:hAnsi="Arial" w:cs="Arial"/>
          <w:b/>
          <w:bCs/>
        </w:rPr>
        <w:t>Targets</w:t>
      </w:r>
    </w:p>
    <w:p w14:paraId="03907945" w14:textId="00C70D81" w:rsidR="006B2066" w:rsidRPr="0097386F" w:rsidRDefault="00B10836" w:rsidP="006B2066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EU ETS: </w:t>
      </w:r>
      <w:r w:rsidRPr="0097386F">
        <w:rPr>
          <w:rFonts w:ascii="Arial" w:hAnsi="Arial" w:cs="Arial"/>
        </w:rPr>
        <w:t>Net</w:t>
      </w:r>
      <w:r w:rsidR="006B2066" w:rsidRPr="0097386F">
        <w:rPr>
          <w:rFonts w:ascii="Arial" w:hAnsi="Arial" w:cs="Arial"/>
        </w:rPr>
        <w:t xml:space="preserve"> </w:t>
      </w:r>
      <w:r w:rsidRPr="0097386F">
        <w:rPr>
          <w:rFonts w:ascii="Arial" w:hAnsi="Arial" w:cs="Arial"/>
        </w:rPr>
        <w:t xml:space="preserve">GHG </w:t>
      </w:r>
      <w:r w:rsidR="006B2066" w:rsidRPr="0097386F">
        <w:rPr>
          <w:rFonts w:ascii="Arial" w:hAnsi="Arial" w:cs="Arial"/>
        </w:rPr>
        <w:t xml:space="preserve">emissions reduction of 55% </w:t>
      </w:r>
      <w:r w:rsidR="00AC51CC" w:rsidRPr="0097386F">
        <w:rPr>
          <w:rFonts w:ascii="Arial" w:hAnsi="Arial" w:cs="Arial"/>
        </w:rPr>
        <w:t>from</w:t>
      </w:r>
      <w:r w:rsidR="006B2066" w:rsidRPr="0097386F">
        <w:rPr>
          <w:rFonts w:ascii="Arial" w:hAnsi="Arial" w:cs="Arial"/>
        </w:rPr>
        <w:t xml:space="preserve"> 1990 levels</w:t>
      </w:r>
      <w:r w:rsidRPr="0097386F">
        <w:rPr>
          <w:rFonts w:ascii="Arial" w:hAnsi="Arial" w:cs="Arial"/>
        </w:rPr>
        <w:t xml:space="preserve"> by 2030</w:t>
      </w:r>
      <w:r w:rsidR="006B2066" w:rsidRPr="0097386F">
        <w:rPr>
          <w:rFonts w:ascii="Arial" w:hAnsi="Arial" w:cs="Arial"/>
        </w:rPr>
        <w:t>.</w:t>
      </w:r>
      <w:r w:rsidR="009A0B6A" w:rsidRPr="0097386F">
        <w:rPr>
          <w:rFonts w:ascii="Arial" w:hAnsi="Arial" w:cs="Arial"/>
        </w:rPr>
        <w:t xml:space="preserve"> Linear reduction in emissions cap.</w:t>
      </w:r>
    </w:p>
    <w:p w14:paraId="093BA57D" w14:textId="1BC5EA0C" w:rsidR="006B2066" w:rsidRPr="0097386F" w:rsidRDefault="006B2066" w:rsidP="00716A6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lastRenderedPageBreak/>
        <w:t>California</w:t>
      </w:r>
      <w:r w:rsidR="00B10836" w:rsidRPr="0097386F">
        <w:rPr>
          <w:rFonts w:ascii="Arial" w:hAnsi="Arial" w:cs="Arial"/>
          <w:b/>
          <w:bCs/>
        </w:rPr>
        <w:t xml:space="preserve"> C&amp;T</w:t>
      </w:r>
      <w:r w:rsidRPr="0097386F">
        <w:rPr>
          <w:rFonts w:ascii="Arial" w:hAnsi="Arial" w:cs="Arial"/>
          <w:b/>
          <w:bCs/>
        </w:rPr>
        <w:t>:</w:t>
      </w:r>
      <w:r w:rsidRPr="0097386F">
        <w:rPr>
          <w:rFonts w:ascii="Arial" w:hAnsi="Arial" w:cs="Arial"/>
        </w:rPr>
        <w:t xml:space="preserve"> </w:t>
      </w:r>
      <w:r w:rsidR="00F8716C" w:rsidRPr="0097386F">
        <w:rPr>
          <w:rFonts w:ascii="Arial" w:hAnsi="Arial" w:cs="Arial"/>
        </w:rPr>
        <w:t>Less ambitious than the EU, California is targeting a n</w:t>
      </w:r>
      <w:r w:rsidR="00B10836" w:rsidRPr="0097386F">
        <w:rPr>
          <w:rFonts w:ascii="Arial" w:hAnsi="Arial" w:cs="Arial"/>
        </w:rPr>
        <w:t xml:space="preserve">et GHG emissions reduction of </w:t>
      </w:r>
      <w:r w:rsidRPr="0097386F">
        <w:rPr>
          <w:rFonts w:ascii="Arial" w:hAnsi="Arial" w:cs="Arial"/>
        </w:rPr>
        <w:t>40% from 1990 levels</w:t>
      </w:r>
      <w:r w:rsidR="00B10836" w:rsidRPr="0097386F">
        <w:rPr>
          <w:rFonts w:ascii="Arial" w:hAnsi="Arial" w:cs="Arial"/>
        </w:rPr>
        <w:t xml:space="preserve"> by 2030.</w:t>
      </w:r>
      <w:r w:rsidR="009A0B6A" w:rsidRPr="0097386F">
        <w:rPr>
          <w:rFonts w:ascii="Arial" w:hAnsi="Arial" w:cs="Arial"/>
        </w:rPr>
        <w:t xml:space="preserve"> Roughly linear reduction in emissions cap.</w:t>
      </w:r>
    </w:p>
    <w:p w14:paraId="3A2A4CBF" w14:textId="294CFABB" w:rsidR="00796066" w:rsidRPr="0097386F" w:rsidRDefault="00796066" w:rsidP="00716A6C">
      <w:pPr>
        <w:jc w:val="both"/>
        <w:rPr>
          <w:rFonts w:ascii="Arial" w:hAnsi="Arial" w:cs="Arial"/>
          <w:b/>
          <w:bCs/>
        </w:rPr>
      </w:pPr>
      <w:r w:rsidRPr="0097386F">
        <w:rPr>
          <w:rFonts w:ascii="Arial" w:hAnsi="Arial" w:cs="Arial"/>
          <w:b/>
          <w:bCs/>
        </w:rPr>
        <w:t>Scope</w:t>
      </w:r>
    </w:p>
    <w:p w14:paraId="71255CE5" w14:textId="46430C31" w:rsidR="00164E98" w:rsidRPr="0097386F" w:rsidRDefault="001F0BEF" w:rsidP="001F0BEF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EU ETS: </w:t>
      </w:r>
      <w:r w:rsidRPr="0097386F">
        <w:rPr>
          <w:rFonts w:ascii="Arial" w:hAnsi="Arial" w:cs="Arial"/>
        </w:rPr>
        <w:t>Exp</w:t>
      </w:r>
      <w:r w:rsidR="0004080B" w:rsidRPr="0097386F">
        <w:rPr>
          <w:rFonts w:ascii="Arial" w:hAnsi="Arial" w:cs="Arial"/>
        </w:rPr>
        <w:t>a</w:t>
      </w:r>
      <w:r w:rsidRPr="0097386F">
        <w:rPr>
          <w:rFonts w:ascii="Arial" w:hAnsi="Arial" w:cs="Arial"/>
        </w:rPr>
        <w:t>nded in 2024, the scheme now covers emissions</w:t>
      </w:r>
      <w:r w:rsidR="00EC3C07" w:rsidRPr="0097386F">
        <w:rPr>
          <w:rStyle w:val="FootnoteReference"/>
          <w:rFonts w:ascii="Arial" w:hAnsi="Arial" w:cs="Arial"/>
        </w:rPr>
        <w:footnoteReference w:id="1"/>
      </w:r>
      <w:r w:rsidRPr="0097386F">
        <w:rPr>
          <w:rFonts w:ascii="Arial" w:hAnsi="Arial" w:cs="Arial"/>
        </w:rPr>
        <w:t xml:space="preserve"> from energy generation, manufacturing, </w:t>
      </w:r>
      <w:r w:rsidR="00BC0903" w:rsidRPr="0097386F">
        <w:rPr>
          <w:rFonts w:ascii="Arial" w:hAnsi="Arial" w:cs="Arial"/>
        </w:rPr>
        <w:t xml:space="preserve">internal </w:t>
      </w:r>
      <w:r w:rsidR="00B77393" w:rsidRPr="0097386F">
        <w:rPr>
          <w:rFonts w:ascii="Arial" w:hAnsi="Arial" w:cs="Arial"/>
        </w:rPr>
        <w:t>aviation</w:t>
      </w:r>
      <w:r w:rsidR="00BC0903" w:rsidRPr="0097386F">
        <w:rPr>
          <w:rStyle w:val="FootnoteReference"/>
          <w:rFonts w:ascii="Arial" w:hAnsi="Arial" w:cs="Arial"/>
        </w:rPr>
        <w:footnoteReference w:id="2"/>
      </w:r>
      <w:r w:rsidRPr="0097386F">
        <w:rPr>
          <w:rFonts w:ascii="Arial" w:hAnsi="Arial" w:cs="Arial"/>
        </w:rPr>
        <w:t>, and maritime transport.</w:t>
      </w:r>
      <w:r w:rsidR="006D1CFA" w:rsidRPr="0097386F">
        <w:rPr>
          <w:rFonts w:ascii="Arial" w:hAnsi="Arial" w:cs="Arial"/>
        </w:rPr>
        <w:t xml:space="preserve"> </w:t>
      </w:r>
      <w:r w:rsidR="00D53DB4" w:rsidRPr="0097386F">
        <w:rPr>
          <w:rFonts w:ascii="Arial" w:hAnsi="Arial" w:cs="Arial"/>
        </w:rPr>
        <w:t>The scheme includ</w:t>
      </w:r>
      <w:r w:rsidR="00321A29" w:rsidRPr="0097386F">
        <w:rPr>
          <w:rFonts w:ascii="Arial" w:hAnsi="Arial" w:cs="Arial"/>
        </w:rPr>
        <w:t>es</w:t>
      </w:r>
      <w:r w:rsidR="00D53DB4" w:rsidRPr="0097386F">
        <w:rPr>
          <w:rFonts w:ascii="Arial" w:hAnsi="Arial" w:cs="Arial"/>
        </w:rPr>
        <w:t xml:space="preserve"> o</w:t>
      </w:r>
      <w:r w:rsidR="006D1CFA" w:rsidRPr="0097386F">
        <w:rPr>
          <w:rFonts w:ascii="Arial" w:hAnsi="Arial" w:cs="Arial"/>
        </w:rPr>
        <w:t>ver</w:t>
      </w:r>
      <w:r w:rsidR="00D70243" w:rsidRPr="0097386F">
        <w:rPr>
          <w:rFonts w:ascii="Arial" w:hAnsi="Arial" w:cs="Arial"/>
        </w:rPr>
        <w:t xml:space="preserve"> </w:t>
      </w:r>
      <w:r w:rsidR="00F0026C" w:rsidRPr="0097386F">
        <w:rPr>
          <w:rFonts w:ascii="Arial" w:hAnsi="Arial" w:cs="Arial"/>
        </w:rPr>
        <w:t>8,</w:t>
      </w:r>
      <w:r w:rsidR="006D1CFA" w:rsidRPr="0097386F">
        <w:rPr>
          <w:rFonts w:ascii="Arial" w:hAnsi="Arial" w:cs="Arial"/>
        </w:rPr>
        <w:t>500</w:t>
      </w:r>
      <w:r w:rsidR="00F0026C" w:rsidRPr="0097386F">
        <w:rPr>
          <w:rFonts w:ascii="Arial" w:hAnsi="Arial" w:cs="Arial"/>
        </w:rPr>
        <w:t xml:space="preserve"> installations, 379 aircraft operators, </w:t>
      </w:r>
      <w:r w:rsidR="00D53DB4" w:rsidRPr="0097386F">
        <w:rPr>
          <w:rFonts w:ascii="Arial" w:hAnsi="Arial" w:cs="Arial"/>
        </w:rPr>
        <w:t xml:space="preserve">and </w:t>
      </w:r>
      <w:r w:rsidR="00F0026C" w:rsidRPr="0097386F">
        <w:rPr>
          <w:rFonts w:ascii="Arial" w:hAnsi="Arial" w:cs="Arial"/>
        </w:rPr>
        <w:t>2251 shipping companies</w:t>
      </w:r>
      <w:r w:rsidR="00EC3C07" w:rsidRPr="0097386F">
        <w:rPr>
          <w:rFonts w:ascii="Arial" w:hAnsi="Arial" w:cs="Arial"/>
        </w:rPr>
        <w:t>.</w:t>
      </w:r>
    </w:p>
    <w:p w14:paraId="7AE72E85" w14:textId="0E838CDE" w:rsidR="0065013A" w:rsidRPr="0097386F" w:rsidRDefault="00BF6C99" w:rsidP="0065013A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>California C&amp;</w:t>
      </w:r>
      <w:r w:rsidR="00207A43" w:rsidRPr="0097386F">
        <w:rPr>
          <w:rFonts w:ascii="Arial" w:hAnsi="Arial" w:cs="Arial"/>
          <w:b/>
          <w:bCs/>
        </w:rPr>
        <w:t>T:</w:t>
      </w:r>
      <w:r w:rsidR="0065013A" w:rsidRPr="0097386F">
        <w:rPr>
          <w:rFonts w:ascii="Arial" w:hAnsi="Arial" w:cs="Arial"/>
          <w:b/>
          <w:bCs/>
        </w:rPr>
        <w:t xml:space="preserve"> </w:t>
      </w:r>
      <w:r w:rsidR="0065013A" w:rsidRPr="0097386F">
        <w:rPr>
          <w:rFonts w:ascii="Arial" w:hAnsi="Arial" w:cs="Arial"/>
        </w:rPr>
        <w:t xml:space="preserve">Broader in scope than the EU ETS, this scheme covers </w:t>
      </w:r>
      <w:r w:rsidR="006A1472" w:rsidRPr="0097386F">
        <w:rPr>
          <w:rFonts w:ascii="Arial" w:hAnsi="Arial" w:cs="Arial"/>
        </w:rPr>
        <w:t xml:space="preserve">sector </w:t>
      </w:r>
      <w:r w:rsidR="0065013A" w:rsidRPr="0097386F">
        <w:rPr>
          <w:rFonts w:ascii="Arial" w:hAnsi="Arial" w:cs="Arial"/>
        </w:rPr>
        <w:t>emissions</w:t>
      </w:r>
      <w:r w:rsidR="00EC3C07" w:rsidRPr="0097386F">
        <w:rPr>
          <w:rStyle w:val="FootnoteReference"/>
          <w:rFonts w:ascii="Arial" w:hAnsi="Arial" w:cs="Arial"/>
        </w:rPr>
        <w:footnoteReference w:id="3"/>
      </w:r>
      <w:r w:rsidR="0065013A" w:rsidRPr="0097386F">
        <w:rPr>
          <w:rFonts w:ascii="Arial" w:hAnsi="Arial" w:cs="Arial"/>
        </w:rPr>
        <w:t xml:space="preserve"> from </w:t>
      </w:r>
      <w:r w:rsidR="00475B53" w:rsidRPr="0097386F">
        <w:rPr>
          <w:rFonts w:ascii="Arial" w:hAnsi="Arial" w:cs="Arial"/>
        </w:rPr>
        <w:t>mining, power, buildings, transport, industrial, agriculture, and forestry</w:t>
      </w:r>
      <w:r w:rsidR="00CA7097" w:rsidRPr="0097386F">
        <w:rPr>
          <w:rFonts w:ascii="Arial" w:hAnsi="Arial" w:cs="Arial"/>
        </w:rPr>
        <w:t>.</w:t>
      </w:r>
      <w:r w:rsidR="005100CD" w:rsidRPr="0097386F">
        <w:rPr>
          <w:rFonts w:ascii="Arial" w:hAnsi="Arial" w:cs="Arial"/>
        </w:rPr>
        <w:t xml:space="preserve"> Approximately 400 installations are included.</w:t>
      </w:r>
    </w:p>
    <w:p w14:paraId="511AAE8D" w14:textId="74C4BA41" w:rsidR="00C576B5" w:rsidRPr="0097386F" w:rsidRDefault="005650CF" w:rsidP="00716A6C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>Allocation principle</w:t>
      </w:r>
    </w:p>
    <w:p w14:paraId="37EA0099" w14:textId="64DDDD8E" w:rsidR="00BA75E6" w:rsidRPr="0097386F" w:rsidRDefault="00594DF5" w:rsidP="00716A6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EU ETS: </w:t>
      </w:r>
      <w:r w:rsidR="004B705A" w:rsidRPr="0097386F">
        <w:rPr>
          <w:rFonts w:ascii="Arial" w:hAnsi="Arial" w:cs="Arial"/>
        </w:rPr>
        <w:t>57% auctioned</w:t>
      </w:r>
      <w:r w:rsidR="00FC7B66" w:rsidRPr="0097386F">
        <w:rPr>
          <w:rFonts w:ascii="Arial" w:hAnsi="Arial" w:cs="Arial"/>
        </w:rPr>
        <w:t xml:space="preserve">, the remained is primarily free allocation with some held in a stability </w:t>
      </w:r>
      <w:r w:rsidR="00BA75E6" w:rsidRPr="0097386F">
        <w:rPr>
          <w:rFonts w:ascii="Arial" w:hAnsi="Arial" w:cs="Arial"/>
        </w:rPr>
        <w:t>reserve</w:t>
      </w:r>
      <w:r w:rsidR="004B705A" w:rsidRPr="0097386F">
        <w:rPr>
          <w:rFonts w:ascii="Arial" w:hAnsi="Arial" w:cs="Arial"/>
        </w:rPr>
        <w:t>.</w:t>
      </w:r>
      <w:r w:rsidR="00BA75E6" w:rsidRPr="0097386F">
        <w:rPr>
          <w:rFonts w:ascii="Arial" w:hAnsi="Arial" w:cs="Arial"/>
        </w:rPr>
        <w:t xml:space="preserve"> </w:t>
      </w:r>
      <w:r w:rsidR="00826988" w:rsidRPr="0097386F">
        <w:rPr>
          <w:rFonts w:ascii="Arial" w:hAnsi="Arial" w:cs="Arial"/>
        </w:rPr>
        <w:t xml:space="preserve">10% of free allocation goes to lower-income member states. </w:t>
      </w:r>
      <w:r w:rsidR="002922A2" w:rsidRPr="0097386F">
        <w:rPr>
          <w:rFonts w:ascii="Arial" w:hAnsi="Arial" w:cs="Arial"/>
        </w:rPr>
        <w:t>Free allocation</w:t>
      </w:r>
      <w:r w:rsidR="00000668" w:rsidRPr="0097386F">
        <w:rPr>
          <w:rFonts w:ascii="Arial" w:hAnsi="Arial" w:cs="Arial"/>
        </w:rPr>
        <w:t xml:space="preserve"> based on performance benchmarks including technology progress</w:t>
      </w:r>
      <w:r w:rsidR="005475A4" w:rsidRPr="0097386F">
        <w:rPr>
          <w:rFonts w:ascii="Arial" w:hAnsi="Arial" w:cs="Arial"/>
        </w:rPr>
        <w:t xml:space="preserve">, </w:t>
      </w:r>
      <w:r w:rsidR="00000668" w:rsidRPr="0097386F">
        <w:rPr>
          <w:rFonts w:ascii="Arial" w:hAnsi="Arial" w:cs="Arial"/>
        </w:rPr>
        <w:t>risk of leakage</w:t>
      </w:r>
      <w:r w:rsidR="00B01E71" w:rsidRPr="0097386F">
        <w:rPr>
          <w:rStyle w:val="FootnoteReference"/>
          <w:rFonts w:ascii="Arial" w:hAnsi="Arial" w:cs="Arial"/>
        </w:rPr>
        <w:footnoteReference w:id="4"/>
      </w:r>
      <w:r w:rsidR="006575AE" w:rsidRPr="0097386F">
        <w:rPr>
          <w:rFonts w:ascii="Arial" w:hAnsi="Arial" w:cs="Arial"/>
        </w:rPr>
        <w:t>,</w:t>
      </w:r>
      <w:r w:rsidR="005475A4" w:rsidRPr="0097386F">
        <w:rPr>
          <w:rFonts w:ascii="Arial" w:hAnsi="Arial" w:cs="Arial"/>
        </w:rPr>
        <w:t xml:space="preserve"> as well as</w:t>
      </w:r>
      <w:r w:rsidR="006575AE" w:rsidRPr="0097386F">
        <w:rPr>
          <w:rFonts w:ascii="Arial" w:hAnsi="Arial" w:cs="Arial"/>
        </w:rPr>
        <w:t xml:space="preserve"> </w:t>
      </w:r>
      <w:r w:rsidR="005475A4" w:rsidRPr="0097386F">
        <w:rPr>
          <w:rFonts w:ascii="Arial" w:hAnsi="Arial" w:cs="Arial"/>
        </w:rPr>
        <w:t xml:space="preserve">provisions for </w:t>
      </w:r>
      <w:r w:rsidR="006575AE" w:rsidRPr="0097386F">
        <w:rPr>
          <w:rFonts w:ascii="Arial" w:hAnsi="Arial" w:cs="Arial"/>
        </w:rPr>
        <w:t xml:space="preserve">fast-growing </w:t>
      </w:r>
      <w:r w:rsidR="0093762B" w:rsidRPr="0097386F">
        <w:rPr>
          <w:rFonts w:ascii="Arial" w:hAnsi="Arial" w:cs="Arial"/>
        </w:rPr>
        <w:t>companies</w:t>
      </w:r>
      <w:r w:rsidR="005475A4" w:rsidRPr="0097386F">
        <w:rPr>
          <w:rFonts w:ascii="Arial" w:hAnsi="Arial" w:cs="Arial"/>
        </w:rPr>
        <w:t xml:space="preserve"> and </w:t>
      </w:r>
      <w:r w:rsidR="0093762B" w:rsidRPr="0097386F">
        <w:rPr>
          <w:rFonts w:ascii="Arial" w:hAnsi="Arial" w:cs="Arial"/>
        </w:rPr>
        <w:t>new market entrants</w:t>
      </w:r>
      <w:r w:rsidR="002922A2" w:rsidRPr="0097386F">
        <w:rPr>
          <w:rFonts w:ascii="Arial" w:hAnsi="Arial" w:cs="Arial"/>
        </w:rPr>
        <w:t xml:space="preserve">. </w:t>
      </w:r>
      <w:r w:rsidR="005475A4" w:rsidRPr="0097386F">
        <w:rPr>
          <w:rFonts w:ascii="Arial" w:hAnsi="Arial" w:cs="Arial"/>
        </w:rPr>
        <w:t>The b</w:t>
      </w:r>
      <w:r w:rsidR="002922A2" w:rsidRPr="0097386F">
        <w:rPr>
          <w:rFonts w:ascii="Arial" w:hAnsi="Arial" w:cs="Arial"/>
        </w:rPr>
        <w:t xml:space="preserve">enchmarking is notably </w:t>
      </w:r>
      <w:r w:rsidR="006554FF" w:rsidRPr="0097386F">
        <w:rPr>
          <w:rFonts w:ascii="Arial" w:hAnsi="Arial" w:cs="Arial"/>
        </w:rPr>
        <w:t>nuanced</w:t>
      </w:r>
      <w:r w:rsidR="002922A2" w:rsidRPr="0097386F">
        <w:rPr>
          <w:rFonts w:ascii="Arial" w:hAnsi="Arial" w:cs="Arial"/>
        </w:rPr>
        <w:t xml:space="preserve"> </w:t>
      </w:r>
      <w:r w:rsidR="0052750F" w:rsidRPr="0097386F">
        <w:rPr>
          <w:rFonts w:ascii="Arial" w:hAnsi="Arial" w:cs="Arial"/>
        </w:rPr>
        <w:fldChar w:fldCharType="begin"/>
      </w:r>
      <w:r w:rsidR="0052750F" w:rsidRPr="0097386F">
        <w:rPr>
          <w:rFonts w:ascii="Arial" w:hAnsi="Arial" w:cs="Arial"/>
        </w:rPr>
        <w:instrText xml:space="preserve"> ADDIN EN.CITE &lt;EndNote&gt;&lt;Cite&gt;&lt;Author&gt;European Commission&lt;/Author&gt;&lt;Year&gt;2024&lt;/Year&gt;&lt;RecNum&gt;60&lt;/RecNum&gt;&lt;DisplayText&gt;(European Commission, 2024)&lt;/DisplayText&gt;&lt;record&gt;&lt;rec-number&gt;60&lt;/rec-number&gt;&lt;foreign-keys&gt;&lt;key app="EN" db-id="ttwsetvfy922vjexsf4xxeslw250dxrsttf5" timestamp="1769071259"&gt;60&lt;/key&gt;&lt;/foreign-keys&gt;&lt;ref-type name="Report"&gt;27&lt;/ref-type&gt;&lt;contributors&gt;&lt;authors&gt;&lt;author&gt;European Commission, &lt;/author&gt;&lt;/authors&gt;&lt;/contributors&gt;&lt;titles&gt;&lt;title&gt;General Guidance Document No. 1 on the Harmonised Free Allocation Meth odology for the EU Emissions Trading System&lt;/title&gt;&lt;/titles&gt;&lt;dates&gt;&lt;year&gt;2024&lt;/year&gt;&lt;pub-dates&gt;&lt;date&gt;2024&lt;/date&gt;&lt;/pub-dates&gt;&lt;/dates&gt;&lt;publisher&gt;European Commission&lt;/publisher&gt;&lt;work-type&gt;techreport&lt;/work-type&gt;&lt;urls&gt;&lt;related-urls&gt;&lt;url&gt;https://climate.ec.europa.eu/document/download/d5276f6c-4355-438a-a0ef-0c03a9b34a39_en?filename=1_gd1_general_guidance_en.pdf&lt;/url&gt;&lt;/related-urls&gt;&lt;/urls&gt;&lt;/record&gt;&lt;/Cite&gt;&lt;/EndNote&gt;</w:instrText>
      </w:r>
      <w:r w:rsidR="0052750F" w:rsidRPr="0097386F">
        <w:rPr>
          <w:rFonts w:ascii="Arial" w:hAnsi="Arial" w:cs="Arial"/>
        </w:rPr>
        <w:fldChar w:fldCharType="separate"/>
      </w:r>
      <w:r w:rsidR="0052750F" w:rsidRPr="0097386F">
        <w:rPr>
          <w:rFonts w:ascii="Arial" w:hAnsi="Arial" w:cs="Arial"/>
          <w:noProof/>
        </w:rPr>
        <w:t>(European Commission, 2024)</w:t>
      </w:r>
      <w:r w:rsidR="0052750F" w:rsidRPr="0097386F">
        <w:rPr>
          <w:rFonts w:ascii="Arial" w:hAnsi="Arial" w:cs="Arial"/>
        </w:rPr>
        <w:fldChar w:fldCharType="end"/>
      </w:r>
      <w:r w:rsidR="002922A2" w:rsidRPr="0097386F">
        <w:rPr>
          <w:rFonts w:ascii="Arial" w:hAnsi="Arial" w:cs="Arial"/>
        </w:rPr>
        <w:t>.</w:t>
      </w:r>
    </w:p>
    <w:p w14:paraId="3EE4B293" w14:textId="0B8F9AD9" w:rsidR="00BE72BB" w:rsidRPr="0097386F" w:rsidRDefault="00172820" w:rsidP="00172820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California C&amp;T: </w:t>
      </w:r>
      <w:r w:rsidR="00130500" w:rsidRPr="0097386F">
        <w:rPr>
          <w:rFonts w:ascii="Arial" w:hAnsi="Arial" w:cs="Arial"/>
        </w:rPr>
        <w:t>46% auctioned.</w:t>
      </w:r>
      <w:r w:rsidR="00F8716C" w:rsidRPr="0097386F">
        <w:rPr>
          <w:rFonts w:ascii="Arial" w:hAnsi="Arial" w:cs="Arial"/>
        </w:rPr>
        <w:t xml:space="preserve"> Similar to the EU,</w:t>
      </w:r>
      <w:r w:rsidR="00130500" w:rsidRPr="0097386F">
        <w:rPr>
          <w:rFonts w:ascii="Arial" w:hAnsi="Arial" w:cs="Arial"/>
        </w:rPr>
        <w:t xml:space="preserve"> </w:t>
      </w:r>
      <w:r w:rsidR="00F8716C" w:rsidRPr="0097386F">
        <w:rPr>
          <w:rFonts w:ascii="Arial" w:hAnsi="Arial" w:cs="Arial"/>
        </w:rPr>
        <w:t>f</w:t>
      </w:r>
      <w:r w:rsidR="00BE72BB" w:rsidRPr="0097386F">
        <w:rPr>
          <w:rFonts w:ascii="Arial" w:hAnsi="Arial" w:cs="Arial"/>
        </w:rPr>
        <w:t xml:space="preserve">ree allocation primarily </w:t>
      </w:r>
      <w:r w:rsidR="00F8716C" w:rsidRPr="0097386F">
        <w:rPr>
          <w:rFonts w:ascii="Arial" w:hAnsi="Arial" w:cs="Arial"/>
        </w:rPr>
        <w:t xml:space="preserve">for </w:t>
      </w:r>
      <w:r w:rsidR="00A668F5" w:rsidRPr="0097386F">
        <w:rPr>
          <w:rFonts w:ascii="Arial" w:hAnsi="Arial" w:cs="Arial"/>
        </w:rPr>
        <w:t xml:space="preserve">utilities </w:t>
      </w:r>
      <w:r w:rsidR="00F8716C" w:rsidRPr="0097386F">
        <w:rPr>
          <w:rFonts w:ascii="Arial" w:hAnsi="Arial" w:cs="Arial"/>
        </w:rPr>
        <w:t xml:space="preserve">to </w:t>
      </w:r>
      <w:r w:rsidR="00A668F5" w:rsidRPr="0097386F">
        <w:rPr>
          <w:rFonts w:ascii="Arial" w:hAnsi="Arial" w:cs="Arial"/>
        </w:rPr>
        <w:t xml:space="preserve">benefit </w:t>
      </w:r>
      <w:r w:rsidR="00255B90" w:rsidRPr="0097386F">
        <w:rPr>
          <w:rFonts w:ascii="Arial" w:hAnsi="Arial" w:cs="Arial"/>
        </w:rPr>
        <w:t>ratepayers</w:t>
      </w:r>
      <w:r w:rsidR="00A668F5" w:rsidRPr="0097386F">
        <w:rPr>
          <w:rFonts w:ascii="Arial" w:hAnsi="Arial" w:cs="Arial"/>
        </w:rPr>
        <w:t>, and energy intensive industrial facilities</w:t>
      </w:r>
      <w:r w:rsidR="00BE72BB" w:rsidRPr="0097386F">
        <w:rPr>
          <w:rFonts w:ascii="Arial" w:hAnsi="Arial" w:cs="Arial"/>
        </w:rPr>
        <w:t xml:space="preserve"> </w:t>
      </w:r>
      <w:r w:rsidR="00A668F5" w:rsidRPr="0097386F">
        <w:rPr>
          <w:rFonts w:ascii="Arial" w:hAnsi="Arial" w:cs="Arial"/>
        </w:rPr>
        <w:t xml:space="preserve">to assistance </w:t>
      </w:r>
      <w:r w:rsidR="002F755C" w:rsidRPr="0097386F">
        <w:rPr>
          <w:rFonts w:ascii="Arial" w:hAnsi="Arial" w:cs="Arial"/>
        </w:rPr>
        <w:t>transition</w:t>
      </w:r>
      <w:r w:rsidR="00557777" w:rsidRPr="0097386F">
        <w:rPr>
          <w:rFonts w:ascii="Arial" w:hAnsi="Arial" w:cs="Arial"/>
        </w:rPr>
        <w:t xml:space="preserve">, </w:t>
      </w:r>
      <w:r w:rsidR="00A668F5" w:rsidRPr="0097386F">
        <w:rPr>
          <w:rFonts w:ascii="Arial" w:hAnsi="Arial" w:cs="Arial"/>
        </w:rPr>
        <w:t>minimise leakage</w:t>
      </w:r>
      <w:r w:rsidR="007C2B58" w:rsidRPr="0097386F">
        <w:rPr>
          <w:rFonts w:ascii="Arial" w:hAnsi="Arial" w:cs="Arial"/>
        </w:rPr>
        <w:t>, and reward</w:t>
      </w:r>
      <w:r w:rsidR="00255B90" w:rsidRPr="0097386F">
        <w:rPr>
          <w:rFonts w:ascii="Arial" w:hAnsi="Arial" w:cs="Arial"/>
        </w:rPr>
        <w:t xml:space="preserve"> early movers</w:t>
      </w:r>
      <w:r w:rsidR="0090051B" w:rsidRPr="0097386F">
        <w:rPr>
          <w:rFonts w:ascii="Arial" w:hAnsi="Arial" w:cs="Arial"/>
        </w:rPr>
        <w:t xml:space="preserve"> </w:t>
      </w:r>
      <w:r w:rsidR="003C46A2" w:rsidRPr="0097386F">
        <w:rPr>
          <w:rFonts w:ascii="Arial" w:hAnsi="Arial" w:cs="Arial"/>
        </w:rPr>
        <w:fldChar w:fldCharType="begin"/>
      </w:r>
      <w:r w:rsidR="002C67BE" w:rsidRPr="0097386F">
        <w:rPr>
          <w:rFonts w:ascii="Arial" w:hAnsi="Arial" w:cs="Arial"/>
        </w:rPr>
        <w:instrText xml:space="preserve"> ADDIN EN.CITE &lt;EndNote&gt;&lt;Cite&gt;&lt;Author&gt;California Air Resources Board&lt;/Author&gt;&lt;Year&gt;2025&lt;/Year&gt;&lt;RecNum&gt;61&lt;/RecNum&gt;&lt;DisplayText&gt;(California Air Resources Board, 2025c)&lt;/DisplayText&gt;&lt;record&gt;&lt;rec-number&gt;61&lt;/rec-number&gt;&lt;foreign-keys&gt;&lt;key app="EN" db-id="ttwsetvfy922vjexsf4xxeslw250dxrsttf5" timestamp="1769071335"&gt;61&lt;/key&gt;&lt;/foreign-keys&gt;&lt;ref-type name="Generic"&gt;13&lt;/ref-type&gt;&lt;contributors&gt;&lt;authors&gt;&lt;author&gt;California Air Resources Board,&lt;/author&gt;&lt;/authors&gt;&lt;/contributors&gt;&lt;titles&gt;&lt;title&gt;Allowance Allocation — Cap-and-Trade Program&lt;/title&gt;&lt;/titles&gt;&lt;dates&gt;&lt;year&gt;2025&lt;/year&gt;&lt;pub-dates&gt;&lt;date&gt;2025&lt;/date&gt;&lt;/pub-dates&gt;&lt;/dates&gt;&lt;urls&gt;&lt;related-urls&gt;&lt;url&gt;https://ww2.arb.ca.gov/our-work/programs/cap-and-trade-program/allowance-allocation&lt;/url&gt;&lt;/related-urls&gt;&lt;/urls&gt;&lt;/record&gt;&lt;/Cite&gt;&lt;/EndNote&gt;</w:instrText>
      </w:r>
      <w:r w:rsidR="003C46A2" w:rsidRPr="0097386F">
        <w:rPr>
          <w:rFonts w:ascii="Arial" w:hAnsi="Arial" w:cs="Arial"/>
        </w:rPr>
        <w:fldChar w:fldCharType="separate"/>
      </w:r>
      <w:r w:rsidR="002C67BE" w:rsidRPr="0097386F">
        <w:rPr>
          <w:rFonts w:ascii="Arial" w:hAnsi="Arial" w:cs="Arial"/>
          <w:noProof/>
        </w:rPr>
        <w:t>(California Air Resources Board, 2025c)</w:t>
      </w:r>
      <w:r w:rsidR="003C46A2" w:rsidRPr="0097386F">
        <w:rPr>
          <w:rFonts w:ascii="Arial" w:hAnsi="Arial" w:cs="Arial"/>
        </w:rPr>
        <w:fldChar w:fldCharType="end"/>
      </w:r>
      <w:r w:rsidR="0090051B" w:rsidRPr="0097386F">
        <w:rPr>
          <w:rFonts w:ascii="Arial" w:hAnsi="Arial" w:cs="Arial"/>
        </w:rPr>
        <w:t>.</w:t>
      </w:r>
    </w:p>
    <w:p w14:paraId="76785D4B" w14:textId="3C09B401" w:rsidR="005B1E24" w:rsidRPr="0097386F" w:rsidRDefault="005B1E24" w:rsidP="00716A6C">
      <w:pPr>
        <w:jc w:val="both"/>
        <w:rPr>
          <w:rFonts w:ascii="Arial" w:hAnsi="Arial" w:cs="Arial"/>
          <w:b/>
          <w:bCs/>
        </w:rPr>
      </w:pPr>
      <w:r w:rsidRPr="0097386F">
        <w:rPr>
          <w:rFonts w:ascii="Arial" w:hAnsi="Arial" w:cs="Arial"/>
          <w:b/>
          <w:bCs/>
        </w:rPr>
        <w:t>Price Stability</w:t>
      </w:r>
    </w:p>
    <w:p w14:paraId="77B74065" w14:textId="12D7919C" w:rsidR="005B1E24" w:rsidRPr="0097386F" w:rsidRDefault="007730B6" w:rsidP="001F4F7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EU ETS: </w:t>
      </w:r>
      <w:r w:rsidR="00CF7A83" w:rsidRPr="0097386F">
        <w:rPr>
          <w:rFonts w:ascii="Arial" w:hAnsi="Arial" w:cs="Arial"/>
        </w:rPr>
        <w:t xml:space="preserve">A Market Stability Reserve </w:t>
      </w:r>
      <w:r w:rsidR="00557777" w:rsidRPr="0097386F">
        <w:rPr>
          <w:rFonts w:ascii="Arial" w:hAnsi="Arial" w:cs="Arial"/>
        </w:rPr>
        <w:t>addresses</w:t>
      </w:r>
      <w:r w:rsidR="00CF7A83" w:rsidRPr="0097386F">
        <w:rPr>
          <w:rFonts w:ascii="Arial" w:hAnsi="Arial" w:cs="Arial"/>
        </w:rPr>
        <w:t xml:space="preserve"> </w:t>
      </w:r>
      <w:r w:rsidR="00557777" w:rsidRPr="0097386F">
        <w:rPr>
          <w:rFonts w:ascii="Arial" w:hAnsi="Arial" w:cs="Arial"/>
        </w:rPr>
        <w:t xml:space="preserve">a </w:t>
      </w:r>
      <w:r w:rsidR="00CF7A83" w:rsidRPr="0097386F">
        <w:rPr>
          <w:rFonts w:ascii="Arial" w:hAnsi="Arial" w:cs="Arial"/>
        </w:rPr>
        <w:t>growing allowance</w:t>
      </w:r>
      <w:r w:rsidR="00557777" w:rsidRPr="0097386F">
        <w:rPr>
          <w:rFonts w:ascii="Arial" w:hAnsi="Arial" w:cs="Arial"/>
        </w:rPr>
        <w:t xml:space="preserve"> surplus</w:t>
      </w:r>
      <w:r w:rsidR="001F4F7D" w:rsidRPr="0097386F">
        <w:rPr>
          <w:rFonts w:ascii="Arial" w:hAnsi="Arial" w:cs="Arial"/>
        </w:rPr>
        <w:t xml:space="preserve"> and protect</w:t>
      </w:r>
      <w:r w:rsidR="00557777" w:rsidRPr="0097386F">
        <w:rPr>
          <w:rFonts w:ascii="Arial" w:hAnsi="Arial" w:cs="Arial"/>
        </w:rPr>
        <w:t>s</w:t>
      </w:r>
      <w:r w:rsidR="001F4F7D" w:rsidRPr="0097386F">
        <w:rPr>
          <w:rFonts w:ascii="Arial" w:hAnsi="Arial" w:cs="Arial"/>
        </w:rPr>
        <w:t xml:space="preserve"> against demand shocks</w:t>
      </w:r>
      <w:r w:rsidR="00CF7A83" w:rsidRPr="0097386F">
        <w:rPr>
          <w:rFonts w:ascii="Arial" w:hAnsi="Arial" w:cs="Arial"/>
        </w:rPr>
        <w:t xml:space="preserve"> by regulating the volume of new permits</w:t>
      </w:r>
      <w:r w:rsidR="001F4F7D" w:rsidRPr="0097386F">
        <w:rPr>
          <w:rFonts w:ascii="Arial" w:hAnsi="Arial" w:cs="Arial"/>
        </w:rPr>
        <w:t>.</w:t>
      </w:r>
      <w:r w:rsidR="001F5001" w:rsidRPr="0097386F">
        <w:rPr>
          <w:rFonts w:ascii="Arial" w:hAnsi="Arial" w:cs="Arial"/>
        </w:rPr>
        <w:t xml:space="preserve"> There are also established future and options markets</w:t>
      </w:r>
      <w:r w:rsidR="001F4F7D" w:rsidRPr="0097386F">
        <w:rPr>
          <w:rFonts w:ascii="Arial" w:hAnsi="Arial" w:cs="Arial"/>
        </w:rPr>
        <w:t xml:space="preserve"> to promote </w:t>
      </w:r>
      <w:r w:rsidR="00B25AA2" w:rsidRPr="0097386F">
        <w:rPr>
          <w:rFonts w:ascii="Arial" w:hAnsi="Arial" w:cs="Arial"/>
        </w:rPr>
        <w:t>hedging and smooth shocks.</w:t>
      </w:r>
    </w:p>
    <w:p w14:paraId="5BA6BC2A" w14:textId="1EFD98FD" w:rsidR="00B25AA2" w:rsidRPr="0097386F" w:rsidRDefault="007730B6" w:rsidP="00716A6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California C&amp;T: </w:t>
      </w:r>
      <w:r w:rsidR="00B25AA2" w:rsidRPr="0097386F">
        <w:rPr>
          <w:rFonts w:ascii="Arial" w:hAnsi="Arial" w:cs="Arial"/>
        </w:rPr>
        <w:t xml:space="preserve">An </w:t>
      </w:r>
      <w:r w:rsidR="00557777" w:rsidRPr="0097386F">
        <w:rPr>
          <w:rFonts w:ascii="Arial" w:hAnsi="Arial" w:cs="Arial"/>
        </w:rPr>
        <w:t xml:space="preserve">annually increasing </w:t>
      </w:r>
      <w:r w:rsidR="00B25AA2" w:rsidRPr="0097386F">
        <w:rPr>
          <w:rFonts w:ascii="Arial" w:hAnsi="Arial" w:cs="Arial"/>
        </w:rPr>
        <w:t>auction price floor supports permit prices</w:t>
      </w:r>
      <w:r w:rsidR="001A557E" w:rsidRPr="0097386F">
        <w:rPr>
          <w:rFonts w:ascii="Arial" w:hAnsi="Arial" w:cs="Arial"/>
        </w:rPr>
        <w:t>.</w:t>
      </w:r>
      <w:r w:rsidR="00A3585F" w:rsidRPr="0097386F">
        <w:rPr>
          <w:rFonts w:ascii="Arial" w:hAnsi="Arial" w:cs="Arial"/>
        </w:rPr>
        <w:t xml:space="preserve"> Similarly to the EU, an Allowance Price Containment Reserve </w:t>
      </w:r>
      <w:r w:rsidR="00745F8E" w:rsidRPr="0097386F">
        <w:rPr>
          <w:rFonts w:ascii="Arial" w:hAnsi="Arial" w:cs="Arial"/>
        </w:rPr>
        <w:t xml:space="preserve">exists to provide extra </w:t>
      </w:r>
      <w:r w:rsidR="0047322E" w:rsidRPr="0097386F">
        <w:rPr>
          <w:rFonts w:ascii="Arial" w:hAnsi="Arial" w:cs="Arial"/>
        </w:rPr>
        <w:t xml:space="preserve">permits </w:t>
      </w:r>
      <w:r w:rsidR="00745F8E" w:rsidRPr="0097386F">
        <w:rPr>
          <w:rFonts w:ascii="Arial" w:hAnsi="Arial" w:cs="Arial"/>
        </w:rPr>
        <w:t>if necessary</w:t>
      </w:r>
      <w:r w:rsidR="0047322E" w:rsidRPr="0097386F">
        <w:rPr>
          <w:rFonts w:ascii="Arial" w:hAnsi="Arial" w:cs="Arial"/>
        </w:rPr>
        <w:t>, although there has been no such occasion to date.</w:t>
      </w:r>
    </w:p>
    <w:p w14:paraId="4DF87D21" w14:textId="5326BFF1" w:rsidR="006E090F" w:rsidRPr="0097386F" w:rsidRDefault="006E090F" w:rsidP="00716A6C">
      <w:pPr>
        <w:jc w:val="both"/>
        <w:rPr>
          <w:rFonts w:ascii="Arial" w:hAnsi="Arial" w:cs="Arial"/>
          <w:b/>
          <w:bCs/>
        </w:rPr>
      </w:pPr>
      <w:r w:rsidRPr="0097386F">
        <w:rPr>
          <w:rFonts w:ascii="Arial" w:hAnsi="Arial" w:cs="Arial"/>
          <w:b/>
          <w:bCs/>
        </w:rPr>
        <w:t>Re</w:t>
      </w:r>
      <w:r w:rsidR="00A87508" w:rsidRPr="0097386F">
        <w:rPr>
          <w:rFonts w:ascii="Arial" w:hAnsi="Arial" w:cs="Arial"/>
          <w:b/>
          <w:bCs/>
        </w:rPr>
        <w:t>venue Re</w:t>
      </w:r>
      <w:r w:rsidRPr="0097386F">
        <w:rPr>
          <w:rFonts w:ascii="Arial" w:hAnsi="Arial" w:cs="Arial"/>
          <w:b/>
          <w:bCs/>
        </w:rPr>
        <w:t>investment</w:t>
      </w:r>
    </w:p>
    <w:p w14:paraId="1CE72023" w14:textId="3E3A8390" w:rsidR="0047322E" w:rsidRPr="0097386F" w:rsidRDefault="0047322E" w:rsidP="00406D0D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EU ETS: </w:t>
      </w:r>
      <w:r w:rsidR="00BA309D" w:rsidRPr="0097386F">
        <w:rPr>
          <w:rFonts w:ascii="Arial" w:hAnsi="Arial" w:cs="Arial"/>
        </w:rPr>
        <w:t>The 2023 breakdown of fund usage by member states included project support for energy (43%), transport (</w:t>
      </w:r>
      <w:r w:rsidR="00A0332D" w:rsidRPr="0097386F">
        <w:rPr>
          <w:rFonts w:ascii="Arial" w:hAnsi="Arial" w:cs="Arial"/>
        </w:rPr>
        <w:t>23%),</w:t>
      </w:r>
      <w:r w:rsidR="004D3EE1" w:rsidRPr="0097386F">
        <w:rPr>
          <w:rFonts w:ascii="Arial" w:hAnsi="Arial" w:cs="Arial"/>
        </w:rPr>
        <w:t xml:space="preserve"> and</w:t>
      </w:r>
      <w:r w:rsidR="00A0332D" w:rsidRPr="0097386F">
        <w:rPr>
          <w:rFonts w:ascii="Arial" w:hAnsi="Arial" w:cs="Arial"/>
        </w:rPr>
        <w:t xml:space="preserve"> Social and Just Transition (12%)</w:t>
      </w:r>
      <w:r w:rsidR="00015A66" w:rsidRPr="0097386F">
        <w:rPr>
          <w:rFonts w:ascii="Arial" w:hAnsi="Arial" w:cs="Arial"/>
        </w:rPr>
        <w:t>. A share of ETS revenues fun</w:t>
      </w:r>
      <w:r w:rsidR="009F6C49" w:rsidRPr="0097386F">
        <w:rPr>
          <w:rFonts w:ascii="Arial" w:hAnsi="Arial" w:cs="Arial"/>
        </w:rPr>
        <w:t>d</w:t>
      </w:r>
      <w:r w:rsidR="00015A66" w:rsidRPr="0097386F">
        <w:rPr>
          <w:rFonts w:ascii="Arial" w:hAnsi="Arial" w:cs="Arial"/>
        </w:rPr>
        <w:t xml:space="preserve"> EU Innovation</w:t>
      </w:r>
      <w:r w:rsidR="00406D0D" w:rsidRPr="0097386F">
        <w:rPr>
          <w:rFonts w:ascii="Arial" w:hAnsi="Arial" w:cs="Arial"/>
        </w:rPr>
        <w:t xml:space="preserve">, </w:t>
      </w:r>
      <w:r w:rsidR="00015A66" w:rsidRPr="0097386F">
        <w:rPr>
          <w:rFonts w:ascii="Arial" w:hAnsi="Arial" w:cs="Arial"/>
        </w:rPr>
        <w:t>Modernisation</w:t>
      </w:r>
      <w:r w:rsidR="00406D0D" w:rsidRPr="0097386F">
        <w:rPr>
          <w:rFonts w:ascii="Arial" w:hAnsi="Arial" w:cs="Arial"/>
        </w:rPr>
        <w:t>, and</w:t>
      </w:r>
      <w:r w:rsidR="00015A66" w:rsidRPr="0097386F">
        <w:rPr>
          <w:rFonts w:ascii="Arial" w:hAnsi="Arial" w:cs="Arial"/>
        </w:rPr>
        <w:t xml:space="preserve"> Social Climate </w:t>
      </w:r>
      <w:r w:rsidR="00406D0D" w:rsidRPr="0097386F">
        <w:rPr>
          <w:rFonts w:ascii="Arial" w:hAnsi="Arial" w:cs="Arial"/>
        </w:rPr>
        <w:t>f</w:t>
      </w:r>
      <w:r w:rsidR="00015A66" w:rsidRPr="0097386F">
        <w:rPr>
          <w:rFonts w:ascii="Arial" w:hAnsi="Arial" w:cs="Arial"/>
        </w:rPr>
        <w:t>und</w:t>
      </w:r>
      <w:r w:rsidR="00406D0D" w:rsidRPr="0097386F">
        <w:rPr>
          <w:rFonts w:ascii="Arial" w:hAnsi="Arial" w:cs="Arial"/>
        </w:rPr>
        <w:t>s</w:t>
      </w:r>
      <w:r w:rsidR="00015A66" w:rsidRPr="0097386F">
        <w:rPr>
          <w:rFonts w:ascii="Arial" w:hAnsi="Arial" w:cs="Arial"/>
        </w:rPr>
        <w:t>.</w:t>
      </w:r>
    </w:p>
    <w:p w14:paraId="380EA1DD" w14:textId="7C2F50C5" w:rsidR="00BA30AC" w:rsidRPr="0097386F" w:rsidRDefault="00BA30AC" w:rsidP="00716A6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 xml:space="preserve">California C&amp;T: </w:t>
      </w:r>
      <w:r w:rsidRPr="0097386F">
        <w:rPr>
          <w:rFonts w:ascii="Arial" w:hAnsi="Arial" w:cs="Arial"/>
        </w:rPr>
        <w:t xml:space="preserve">Most </w:t>
      </w:r>
      <w:r w:rsidR="00992EAA" w:rsidRPr="0097386F">
        <w:rPr>
          <w:rFonts w:ascii="Arial" w:hAnsi="Arial" w:cs="Arial"/>
        </w:rPr>
        <w:t xml:space="preserve">auction revenues go to a ringfenced </w:t>
      </w:r>
      <w:r w:rsidR="00D60512" w:rsidRPr="0097386F">
        <w:rPr>
          <w:rFonts w:ascii="Arial" w:hAnsi="Arial" w:cs="Arial"/>
        </w:rPr>
        <w:t>California Climate Investments</w:t>
      </w:r>
      <w:r w:rsidR="00992EAA" w:rsidRPr="0097386F">
        <w:rPr>
          <w:rFonts w:ascii="Arial" w:hAnsi="Arial" w:cs="Arial"/>
        </w:rPr>
        <w:t xml:space="preserve"> fund</w:t>
      </w:r>
      <w:r w:rsidR="00D60512" w:rsidRPr="0097386F">
        <w:rPr>
          <w:rFonts w:ascii="Arial" w:hAnsi="Arial" w:cs="Arial"/>
        </w:rPr>
        <w:t xml:space="preserve"> </w:t>
      </w:r>
      <w:r w:rsidR="002C67BE" w:rsidRPr="0097386F">
        <w:rPr>
          <w:rFonts w:ascii="Arial" w:hAnsi="Arial" w:cs="Arial"/>
        </w:rPr>
        <w:fldChar w:fldCharType="begin"/>
      </w:r>
      <w:r w:rsidR="002C67BE" w:rsidRPr="0097386F">
        <w:rPr>
          <w:rFonts w:ascii="Arial" w:hAnsi="Arial" w:cs="Arial"/>
        </w:rPr>
        <w:instrText xml:space="preserve"> ADDIN EN.CITE &lt;EndNote&gt;&lt;Cite&gt;&lt;Author&gt;California Air Resources Board&lt;/Author&gt;&lt;Year&gt;2025&lt;/Year&gt;&lt;RecNum&gt;62&lt;/RecNum&gt;&lt;DisplayText&gt;(California Air Resources Board, 2025b)&lt;/DisplayText&gt;&lt;record&gt;&lt;rec-number&gt;62&lt;/rec-number&gt;&lt;foreign-keys&gt;&lt;key app="EN" db-id="ttwsetvfy922vjexsf4xxeslw250dxrsttf5" timestamp="1769071401"&gt;62&lt;/key&gt;&lt;/foreign-keys&gt;&lt;ref-type name="Report"&gt;27&lt;/ref-type&gt;&lt;contributors&gt;&lt;authors&gt;&lt;author&gt;California Air Resources Board,&lt;/author&gt;&lt;/authors&gt;&lt;/contributors&gt;&lt;titles&gt;&lt;title&gt;2025 Annual Report to the Legislature on California Climate Investment s Using Cap-and-Trade Auction Proceeds&lt;/title&gt;&lt;/titles&gt;&lt;dates&gt;&lt;year&gt;2025&lt;/year&gt;&lt;pub-dates&gt;&lt;date&gt;2025&lt;/date&gt;&lt;/pub-dates&gt;&lt;/dates&gt;&lt;pub-location&gt;Sacramento, CA&lt;/pub-location&gt;&lt;publisher&gt;California Air Resources Board&lt;/publisher&gt;&lt;work-type&gt;techreport&lt;/work-type&gt;&lt;urls&gt;&lt;related-urls&gt;&lt;url&gt;https://ww2.arb.ca.gov/sites/default/files/auction-proceeds/cci_annual_report_2025.pdf&lt;/url&gt;&lt;/related-urls&gt;&lt;/urls&gt;&lt;/record&gt;&lt;/Cite&gt;&lt;/EndNote&gt;</w:instrText>
      </w:r>
      <w:r w:rsidR="002C67BE" w:rsidRPr="0097386F">
        <w:rPr>
          <w:rFonts w:ascii="Arial" w:hAnsi="Arial" w:cs="Arial"/>
        </w:rPr>
        <w:fldChar w:fldCharType="separate"/>
      </w:r>
      <w:r w:rsidR="002C67BE" w:rsidRPr="0097386F">
        <w:rPr>
          <w:rFonts w:ascii="Arial" w:hAnsi="Arial" w:cs="Arial"/>
          <w:noProof/>
        </w:rPr>
        <w:t>(California Air Resources Board, 2025b)</w:t>
      </w:r>
      <w:r w:rsidR="002C67BE" w:rsidRPr="0097386F">
        <w:rPr>
          <w:rFonts w:ascii="Arial" w:hAnsi="Arial" w:cs="Arial"/>
        </w:rPr>
        <w:fldChar w:fldCharType="end"/>
      </w:r>
      <w:r w:rsidR="00992EAA" w:rsidRPr="0097386F">
        <w:rPr>
          <w:rFonts w:ascii="Arial" w:hAnsi="Arial" w:cs="Arial"/>
        </w:rPr>
        <w:t xml:space="preserve">. </w:t>
      </w:r>
      <w:r w:rsidR="00290E76" w:rsidRPr="0097386F">
        <w:rPr>
          <w:rFonts w:ascii="Arial" w:hAnsi="Arial" w:cs="Arial"/>
        </w:rPr>
        <w:t>73</w:t>
      </w:r>
      <w:r w:rsidR="00992EAA" w:rsidRPr="0097386F">
        <w:rPr>
          <w:rFonts w:ascii="Arial" w:hAnsi="Arial" w:cs="Arial"/>
        </w:rPr>
        <w:t xml:space="preserve">% of this </w:t>
      </w:r>
      <w:r w:rsidR="00290E76" w:rsidRPr="0097386F">
        <w:rPr>
          <w:rFonts w:ascii="Arial" w:hAnsi="Arial" w:cs="Arial"/>
        </w:rPr>
        <w:t>has been</w:t>
      </w:r>
      <w:r w:rsidR="00992EAA" w:rsidRPr="0097386F">
        <w:rPr>
          <w:rFonts w:ascii="Arial" w:hAnsi="Arial" w:cs="Arial"/>
        </w:rPr>
        <w:t xml:space="preserve"> targeted towards </w:t>
      </w:r>
      <w:r w:rsidR="00290E76" w:rsidRPr="0097386F">
        <w:rPr>
          <w:rFonts w:ascii="Arial" w:hAnsi="Arial" w:cs="Arial"/>
        </w:rPr>
        <w:t xml:space="preserve">low-income and </w:t>
      </w:r>
      <w:r w:rsidR="00992EAA" w:rsidRPr="0097386F">
        <w:rPr>
          <w:rFonts w:ascii="Arial" w:hAnsi="Arial" w:cs="Arial"/>
        </w:rPr>
        <w:t>disadvantaged communities.</w:t>
      </w:r>
    </w:p>
    <w:p w14:paraId="04D939DE" w14:textId="1B1F810F" w:rsidR="00A74C6E" w:rsidRPr="0097386F" w:rsidRDefault="00A74C6E" w:rsidP="00716A6C">
      <w:pPr>
        <w:jc w:val="both"/>
        <w:rPr>
          <w:rFonts w:ascii="Arial" w:hAnsi="Arial" w:cs="Arial"/>
          <w:b/>
          <w:bCs/>
        </w:rPr>
      </w:pPr>
      <w:r w:rsidRPr="0097386F">
        <w:rPr>
          <w:rFonts w:ascii="Arial" w:hAnsi="Arial" w:cs="Arial"/>
          <w:b/>
          <w:bCs/>
        </w:rPr>
        <w:t>Governance</w:t>
      </w:r>
    </w:p>
    <w:p w14:paraId="76D68DFF" w14:textId="13E53591" w:rsidR="00A74C6E" w:rsidRPr="0097386F" w:rsidRDefault="00A74C6E" w:rsidP="00716A6C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t>EU ETS:</w:t>
      </w:r>
      <w:r w:rsidRPr="0097386F">
        <w:rPr>
          <w:rFonts w:ascii="Arial" w:hAnsi="Arial" w:cs="Arial"/>
        </w:rPr>
        <w:t xml:space="preserve"> </w:t>
      </w:r>
      <w:r w:rsidR="00FC1A63" w:rsidRPr="0097386F">
        <w:rPr>
          <w:rFonts w:ascii="Arial" w:hAnsi="Arial" w:cs="Arial"/>
        </w:rPr>
        <w:t>The</w:t>
      </w:r>
      <w:r w:rsidR="004A0AC7" w:rsidRPr="0097386F">
        <w:rPr>
          <w:rFonts w:ascii="Arial" w:hAnsi="Arial" w:cs="Arial"/>
        </w:rPr>
        <w:t xml:space="preserve"> EU’s</w:t>
      </w:r>
      <w:r w:rsidR="00FC1A63" w:rsidRPr="0097386F">
        <w:rPr>
          <w:rFonts w:ascii="Arial" w:hAnsi="Arial" w:cs="Arial"/>
        </w:rPr>
        <w:t xml:space="preserve"> </w:t>
      </w:r>
      <w:r w:rsidR="006C3A8E" w:rsidRPr="0097386F">
        <w:rPr>
          <w:rFonts w:ascii="Arial" w:hAnsi="Arial" w:cs="Arial"/>
        </w:rPr>
        <w:t xml:space="preserve">largely unique </w:t>
      </w:r>
      <w:r w:rsidRPr="0097386F">
        <w:rPr>
          <w:rFonts w:ascii="Arial" w:hAnsi="Arial" w:cs="Arial"/>
        </w:rPr>
        <w:t>Carbon Border Adjustment Mechanism (CBAM)</w:t>
      </w:r>
      <w:r w:rsidR="00FC1A63" w:rsidRPr="0097386F">
        <w:rPr>
          <w:rFonts w:ascii="Arial" w:hAnsi="Arial" w:cs="Arial"/>
        </w:rPr>
        <w:t xml:space="preserve"> </w:t>
      </w:r>
      <w:r w:rsidR="00C11B0F" w:rsidRPr="0097386F">
        <w:rPr>
          <w:rFonts w:ascii="Arial" w:hAnsi="Arial" w:cs="Arial"/>
        </w:rPr>
        <w:t xml:space="preserve">accounts for carbon-intensive goods that are imported to the EU. The mechanism </w:t>
      </w:r>
      <w:r w:rsidR="00FC1A63" w:rsidRPr="0097386F">
        <w:rPr>
          <w:rFonts w:ascii="Arial" w:hAnsi="Arial" w:cs="Arial"/>
        </w:rPr>
        <w:t>is used to reduce carbon leakage</w:t>
      </w:r>
      <w:r w:rsidR="00A00E2C" w:rsidRPr="0097386F">
        <w:rPr>
          <w:rFonts w:ascii="Arial" w:hAnsi="Arial" w:cs="Arial"/>
        </w:rPr>
        <w:t xml:space="preserve"> by ensuring imported goods under certain high-risk sectors is accounted for</w:t>
      </w:r>
      <w:r w:rsidRPr="0097386F">
        <w:rPr>
          <w:rFonts w:ascii="Arial" w:hAnsi="Arial" w:cs="Arial"/>
        </w:rPr>
        <w:t>.</w:t>
      </w:r>
    </w:p>
    <w:p w14:paraId="62BD14EB" w14:textId="6A5CAA93" w:rsidR="00F02BD2" w:rsidRPr="0097386F" w:rsidRDefault="00597668" w:rsidP="004E67DE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 w:rsidRPr="0097386F">
        <w:rPr>
          <w:rFonts w:ascii="Arial" w:hAnsi="Arial" w:cs="Arial"/>
          <w:b/>
          <w:bCs/>
        </w:rPr>
        <w:lastRenderedPageBreak/>
        <w:t xml:space="preserve">California C&amp;T: </w:t>
      </w:r>
      <w:r w:rsidR="00A23898" w:rsidRPr="0097386F">
        <w:rPr>
          <w:rFonts w:ascii="Arial" w:hAnsi="Arial" w:cs="Arial"/>
        </w:rPr>
        <w:t xml:space="preserve">The scheme has been formally linked with Québec’s </w:t>
      </w:r>
      <w:r w:rsidR="007603EC" w:rsidRPr="0097386F">
        <w:rPr>
          <w:rFonts w:ascii="Arial" w:hAnsi="Arial" w:cs="Arial"/>
        </w:rPr>
        <w:t xml:space="preserve">Cap and Trade scheme since 2014. </w:t>
      </w:r>
      <w:r w:rsidRPr="0097386F">
        <w:rPr>
          <w:rFonts w:ascii="Arial" w:hAnsi="Arial" w:cs="Arial"/>
        </w:rPr>
        <w:t xml:space="preserve">Unlike the EU ETS, California allows </w:t>
      </w:r>
      <w:r w:rsidR="00A23898" w:rsidRPr="0097386F">
        <w:rPr>
          <w:rFonts w:ascii="Arial" w:hAnsi="Arial" w:cs="Arial"/>
        </w:rPr>
        <w:t>offsets and credits up to 4% of an installation’s compliance obligation</w:t>
      </w:r>
      <w:r w:rsidR="007603EC" w:rsidRPr="0097386F">
        <w:rPr>
          <w:rFonts w:ascii="Arial" w:hAnsi="Arial" w:cs="Arial"/>
        </w:rPr>
        <w:t xml:space="preserve"> by trading with Québec.</w:t>
      </w:r>
    </w:p>
    <w:p w14:paraId="3F999ABE" w14:textId="3F22A4E1" w:rsidR="00290260" w:rsidRPr="0097386F" w:rsidRDefault="004E67DE" w:rsidP="00290260">
      <w:pPr>
        <w:pStyle w:val="Heading1"/>
        <w:rPr>
          <w:rFonts w:ascii="Arial" w:hAnsi="Arial" w:cs="Arial"/>
          <w:color w:val="auto"/>
          <w:sz w:val="36"/>
          <w:szCs w:val="36"/>
        </w:rPr>
      </w:pPr>
      <w:r w:rsidRPr="0097386F">
        <w:rPr>
          <w:rFonts w:ascii="Arial" w:hAnsi="Arial" w:cs="Arial"/>
          <w:color w:val="auto"/>
          <w:sz w:val="36"/>
          <w:szCs w:val="36"/>
        </w:rPr>
        <w:t>Evaluation</w:t>
      </w:r>
    </w:p>
    <w:p w14:paraId="46C0C7A7" w14:textId="0E915059" w:rsidR="003B188C" w:rsidRPr="0097386F" w:rsidRDefault="003B188C" w:rsidP="004B603C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Laing et al., </w:t>
      </w:r>
      <w:r w:rsidR="00382F0D" w:rsidRPr="0097386F">
        <w:rPr>
          <w:rFonts w:ascii="Arial" w:hAnsi="Arial" w:cs="Arial"/>
        </w:rPr>
        <w:fldChar w:fldCharType="begin"/>
      </w:r>
      <w:r w:rsidR="00382F0D" w:rsidRPr="0097386F">
        <w:rPr>
          <w:rFonts w:ascii="Arial" w:hAnsi="Arial" w:cs="Arial"/>
        </w:rPr>
        <w:instrText xml:space="preserve"> ADDIN EN.CITE &lt;EndNote&gt;&lt;Cite ExcludeAuth="1"&gt;&lt;Author&gt;Laing&lt;/Author&gt;&lt;Year&gt;2013&lt;/Year&gt;&lt;RecNum&gt;63&lt;/RecNum&gt;&lt;DisplayText&gt;(2013)&lt;/DisplayText&gt;&lt;record&gt;&lt;rec-number&gt;63&lt;/rec-number&gt;&lt;foreign-keys&gt;&lt;key app="EN" db-id="ttwsetvfy922vjexsf4xxeslw250dxrsttf5" timestamp="1769071473"&gt;63&lt;/key&gt;&lt;/foreign-keys&gt;&lt;ref-type name="Report"&gt;27&lt;/ref-type&gt;&lt;contributors&gt;&lt;authors&gt;&lt;author&gt;Laing, Timothy&lt;/author&gt;&lt;author&gt;Sato, Misato&lt;/author&gt;&lt;author&gt;Grubb, Michael&lt;/author&gt;&lt;author&gt;Comberti, Claudia&lt;/author&gt;&lt;/authors&gt;&lt;/contributors&gt;&lt;titles&gt;&lt;title&gt;Assessing the Effectiveness of the EU Emissions Trading System&lt;/title&gt;&lt;/titles&gt;&lt;dates&gt;&lt;year&gt;2013&lt;/year&gt;&lt;pub-dates&gt;&lt;date&gt;2013/1//&lt;/date&gt;&lt;/pub-dates&gt;&lt;/dates&gt;&lt;publisher&gt;Centre for Climate Change Economics&lt;/publisher&gt;&lt;isbn&gt;106&lt;/isbn&gt;&lt;work-type&gt;Working Paper&lt;/work-type&gt;&lt;urls&gt;&lt;related-urls&gt;&lt;url&gt;https://www.jcfj.ie/wp-content/uploads/2016/02/WP106-effectiveness-eu-emissions-trading-system.pdf&lt;/url&gt;&lt;/related-urls&gt;&lt;/urls&gt;&lt;/record&gt;&lt;/Cite&gt;&lt;/EndNote&gt;</w:instrText>
      </w:r>
      <w:r w:rsidR="00382F0D" w:rsidRPr="0097386F">
        <w:rPr>
          <w:rFonts w:ascii="Arial" w:hAnsi="Arial" w:cs="Arial"/>
        </w:rPr>
        <w:fldChar w:fldCharType="separate"/>
      </w:r>
      <w:r w:rsidR="00382F0D" w:rsidRPr="0097386F">
        <w:rPr>
          <w:rFonts w:ascii="Arial" w:hAnsi="Arial" w:cs="Arial"/>
          <w:noProof/>
        </w:rPr>
        <w:t>(2013)</w:t>
      </w:r>
      <w:r w:rsidR="00382F0D" w:rsidRPr="0097386F">
        <w:rPr>
          <w:rFonts w:ascii="Arial" w:hAnsi="Arial" w:cs="Arial"/>
        </w:rPr>
        <w:fldChar w:fldCharType="end"/>
      </w:r>
      <w:r w:rsidR="00382F0D" w:rsidRPr="0097386F">
        <w:rPr>
          <w:rFonts w:ascii="Arial" w:hAnsi="Arial" w:cs="Arial"/>
        </w:rPr>
        <w:t xml:space="preserve"> </w:t>
      </w:r>
      <w:r w:rsidRPr="0097386F">
        <w:rPr>
          <w:rFonts w:ascii="Arial" w:hAnsi="Arial" w:cs="Arial"/>
        </w:rPr>
        <w:t xml:space="preserve">reviewed the </w:t>
      </w:r>
      <w:r w:rsidR="001D061F" w:rsidRPr="0097386F">
        <w:rPr>
          <w:rFonts w:ascii="Arial" w:hAnsi="Arial" w:cs="Arial"/>
        </w:rPr>
        <w:t>e</w:t>
      </w:r>
      <w:r w:rsidR="005C0307" w:rsidRPr="0097386F">
        <w:rPr>
          <w:rFonts w:ascii="Arial" w:hAnsi="Arial" w:cs="Arial"/>
        </w:rPr>
        <w:t xml:space="preserve">xisting body of studies evaluating the first eight years of the EU ETS. </w:t>
      </w:r>
      <w:r w:rsidR="001A3B79" w:rsidRPr="0097386F">
        <w:rPr>
          <w:rFonts w:ascii="Arial" w:hAnsi="Arial" w:cs="Arial"/>
        </w:rPr>
        <w:t>T</w:t>
      </w:r>
      <w:r w:rsidR="00F841E3" w:rsidRPr="0097386F">
        <w:rPr>
          <w:rFonts w:ascii="Arial" w:hAnsi="Arial" w:cs="Arial"/>
        </w:rPr>
        <w:t xml:space="preserve">hey concluded that studies have in general found that </w:t>
      </w:r>
      <w:r w:rsidR="00DF43B1" w:rsidRPr="0097386F">
        <w:rPr>
          <w:rFonts w:ascii="Arial" w:hAnsi="Arial" w:cs="Arial"/>
        </w:rPr>
        <w:t>the EU ETS has driven a reduction in emissions, although over</w:t>
      </w:r>
      <w:r w:rsidR="00627682" w:rsidRPr="0097386F">
        <w:rPr>
          <w:rFonts w:ascii="Arial" w:hAnsi="Arial" w:cs="Arial"/>
        </w:rPr>
        <w:t>-allocation has reduced this.</w:t>
      </w:r>
    </w:p>
    <w:p w14:paraId="6047FEB3" w14:textId="69340711" w:rsidR="002929A4" w:rsidRPr="0097386F" w:rsidRDefault="004B603C" w:rsidP="004B603C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Difference-in-difference </w:t>
      </w:r>
      <w:r w:rsidR="00D358AD" w:rsidRPr="0097386F">
        <w:rPr>
          <w:rFonts w:ascii="Arial" w:hAnsi="Arial" w:cs="Arial"/>
        </w:rPr>
        <w:t>studies</w:t>
      </w:r>
      <w:r w:rsidRPr="0097386F">
        <w:rPr>
          <w:rFonts w:ascii="Arial" w:hAnsi="Arial" w:cs="Arial"/>
        </w:rPr>
        <w:t xml:space="preserve"> ha</w:t>
      </w:r>
      <w:r w:rsidR="00D358AD" w:rsidRPr="0097386F">
        <w:rPr>
          <w:rFonts w:ascii="Arial" w:hAnsi="Arial" w:cs="Arial"/>
        </w:rPr>
        <w:t>ve</w:t>
      </w:r>
      <w:r w:rsidRPr="0097386F">
        <w:rPr>
          <w:rFonts w:ascii="Arial" w:hAnsi="Arial" w:cs="Arial"/>
        </w:rPr>
        <w:t xml:space="preserve"> been used by multiple studies to establish a causal link between the EU ETS and a variety of economic indicators. </w:t>
      </w:r>
      <w:r w:rsidR="00772339" w:rsidRPr="0097386F">
        <w:rPr>
          <w:rFonts w:ascii="Arial" w:hAnsi="Arial" w:cs="Arial"/>
        </w:rPr>
        <w:t xml:space="preserve">Marin et al, </w:t>
      </w:r>
      <w:r w:rsidR="00382F0D" w:rsidRPr="0097386F">
        <w:rPr>
          <w:rFonts w:ascii="Arial" w:hAnsi="Arial" w:cs="Arial"/>
        </w:rPr>
        <w:fldChar w:fldCharType="begin"/>
      </w:r>
      <w:r w:rsidR="00382F0D" w:rsidRPr="0097386F">
        <w:rPr>
          <w:rFonts w:ascii="Arial" w:hAnsi="Arial" w:cs="Arial"/>
        </w:rPr>
        <w:instrText xml:space="preserve"> ADDIN EN.CITE &lt;EndNote&gt;&lt;Cite ExcludeAuth="1"&gt;&lt;Author&gt;Marin&lt;/Author&gt;&lt;Year&gt;2018&lt;/Year&gt;&lt;RecNum&gt;64&lt;/RecNum&gt;&lt;DisplayText&gt;(2018)&lt;/DisplayText&gt;&lt;record&gt;&lt;rec-number&gt;64&lt;/rec-number&gt;&lt;foreign-keys&gt;&lt;key app="EN" db-id="ttwsetvfy922vjexsf4xxeslw250dxrsttf5" timestamp="1769071518"&gt;64&lt;/key&gt;&lt;/foreign-keys&gt;&lt;ref-type name="Journal Article"&gt;17&lt;/ref-type&gt;&lt;contributors&gt;&lt;authors&gt;&lt;author&gt;Marin, Giovanni&lt;/author&gt;&lt;author&gt;Marino, Marianna&lt;/author&gt;&lt;author&gt;Pellegrin, Claudia&lt;/author&gt;&lt;/authors&gt;&lt;/contributors&gt;&lt;titles&gt;&lt;title&gt;The Impact of the European Emission Trading Scheme on Multiple Measure s of Economic Performance&lt;/title&gt;&lt;secondary-title&gt;Environmental &amp;amp; Resource Economics&lt;/secondary-title&gt;&lt;/titles&gt;&lt;periodical&gt;&lt;full-title&gt;Environmental &amp;amp; Resource Economics&lt;/full-title&gt;&lt;/periodical&gt;&lt;pages&gt;551-582&lt;/pages&gt;&lt;volume&gt;71&lt;/volume&gt;&lt;number&gt;2&lt;/number&gt;&lt;dates&gt;&lt;year&gt;2018&lt;/year&gt;&lt;pub-dates&gt;&lt;date&gt;2018&lt;/date&gt;&lt;/pub-dates&gt;&lt;/dates&gt;&lt;urls&gt;&lt;related-urls&gt;&lt;url&gt;https://link.springer.com/article/10.1007/s10640-017-0173-0&lt;/url&gt;&lt;/related-urls&gt;&lt;/urls&gt;&lt;electronic-resource-num&gt;10.1007/s10640-017-0173-0&lt;/electronic-resource-num&gt;&lt;/record&gt;&lt;/Cite&gt;&lt;/EndNote&gt;</w:instrText>
      </w:r>
      <w:r w:rsidR="00382F0D" w:rsidRPr="0097386F">
        <w:rPr>
          <w:rFonts w:ascii="Arial" w:hAnsi="Arial" w:cs="Arial"/>
        </w:rPr>
        <w:fldChar w:fldCharType="separate"/>
      </w:r>
      <w:r w:rsidR="00382F0D" w:rsidRPr="0097386F">
        <w:rPr>
          <w:rFonts w:ascii="Arial" w:hAnsi="Arial" w:cs="Arial"/>
          <w:noProof/>
        </w:rPr>
        <w:t>(2018)</w:t>
      </w:r>
      <w:r w:rsidR="00382F0D" w:rsidRPr="0097386F">
        <w:rPr>
          <w:rFonts w:ascii="Arial" w:hAnsi="Arial" w:cs="Arial"/>
        </w:rPr>
        <w:fldChar w:fldCharType="end"/>
      </w:r>
      <w:r w:rsidR="00382F0D" w:rsidRPr="0097386F">
        <w:rPr>
          <w:rFonts w:ascii="Arial" w:hAnsi="Arial" w:cs="Arial"/>
        </w:rPr>
        <w:t xml:space="preserve"> </w:t>
      </w:r>
      <w:r w:rsidRPr="0097386F">
        <w:rPr>
          <w:rFonts w:ascii="Arial" w:hAnsi="Arial" w:cs="Arial"/>
        </w:rPr>
        <w:t xml:space="preserve">used this approach and firm-level matching to find that </w:t>
      </w:r>
      <w:r w:rsidR="002E6B91" w:rsidRPr="0097386F">
        <w:rPr>
          <w:rFonts w:ascii="Arial" w:hAnsi="Arial" w:cs="Arial"/>
        </w:rPr>
        <w:t>the EU ETS did not negatively impact economic performanc</w:t>
      </w:r>
      <w:r w:rsidR="007D3135" w:rsidRPr="0097386F">
        <w:rPr>
          <w:rFonts w:ascii="Arial" w:hAnsi="Arial" w:cs="Arial"/>
        </w:rPr>
        <w:t>e</w:t>
      </w:r>
      <w:r w:rsidR="002E6B91" w:rsidRPr="0097386F">
        <w:rPr>
          <w:rFonts w:ascii="Arial" w:hAnsi="Arial" w:cs="Arial"/>
        </w:rPr>
        <w:t xml:space="preserve"> and </w:t>
      </w:r>
      <w:r w:rsidR="0016595E" w:rsidRPr="0097386F">
        <w:rPr>
          <w:rFonts w:ascii="Arial" w:hAnsi="Arial" w:cs="Arial"/>
        </w:rPr>
        <w:t>resulted in improved labour productivity.</w:t>
      </w:r>
      <w:r w:rsidR="00984242" w:rsidRPr="0097386F">
        <w:rPr>
          <w:rFonts w:ascii="Arial" w:hAnsi="Arial" w:cs="Arial"/>
        </w:rPr>
        <w:t xml:space="preserve"> </w:t>
      </w:r>
      <w:r w:rsidR="004B7DDD" w:rsidRPr="0097386F">
        <w:rPr>
          <w:rFonts w:ascii="Arial" w:hAnsi="Arial" w:cs="Arial"/>
        </w:rPr>
        <w:t>Similarly,</w:t>
      </w:r>
      <w:r w:rsidR="00984242" w:rsidRPr="0097386F">
        <w:rPr>
          <w:rFonts w:ascii="Arial" w:hAnsi="Arial" w:cs="Arial"/>
        </w:rPr>
        <w:t xml:space="preserve"> </w:t>
      </w:r>
      <w:r w:rsidR="00382F0D" w:rsidRPr="0097386F">
        <w:rPr>
          <w:rFonts w:ascii="Arial" w:hAnsi="Arial" w:cs="Arial"/>
          <w:noProof/>
        </w:rPr>
        <w:t>Jaraitē and Maria</w:t>
      </w:r>
      <w:r w:rsidR="00984242" w:rsidRPr="0097386F">
        <w:rPr>
          <w:rFonts w:ascii="Arial" w:hAnsi="Arial" w:cs="Arial"/>
        </w:rPr>
        <w:t>,</w:t>
      </w:r>
      <w:r w:rsidR="00382F0D" w:rsidRPr="0097386F">
        <w:rPr>
          <w:rFonts w:ascii="Arial" w:hAnsi="Arial" w:cs="Arial"/>
        </w:rPr>
        <w:t xml:space="preserve"> </w:t>
      </w:r>
      <w:r w:rsidR="00382F0D" w:rsidRPr="0097386F">
        <w:rPr>
          <w:rFonts w:ascii="Arial" w:hAnsi="Arial" w:cs="Arial"/>
        </w:rPr>
        <w:fldChar w:fldCharType="begin"/>
      </w:r>
      <w:r w:rsidR="00382F0D" w:rsidRPr="0097386F">
        <w:rPr>
          <w:rFonts w:ascii="Arial" w:hAnsi="Arial" w:cs="Arial"/>
        </w:rPr>
        <w:instrText xml:space="preserve"> ADDIN EN.CITE &lt;EndNote&gt;&lt;Cite ExcludeAuth="1"&gt;&lt;Author&gt;Jaraitē&lt;/Author&gt;&lt;Year&gt;2016&lt;/Year&gt;&lt;RecNum&gt;65&lt;/RecNum&gt;&lt;DisplayText&gt;(2016)&lt;/DisplayText&gt;&lt;record&gt;&lt;rec-number&gt;65&lt;/rec-number&gt;&lt;foreign-keys&gt;&lt;key app="EN" db-id="ttwsetvfy922vjexsf4xxeslw250dxrsttf5" timestamp="1769071563"&gt;65&lt;/key&gt;&lt;/foreign-keys&gt;&lt;ref-type name="Journal Article"&gt;17&lt;/ref-type&gt;&lt;contributors&gt;&lt;authors&gt;&lt;author&gt;Jaraitē, Jūratè&lt;/author&gt;&lt;author&gt;Maria, Corrado Di&lt;/author&gt;&lt;/authors&gt;&lt;/contributors&gt;&lt;titles&gt;&lt;title&gt;Did the EU ETS Make a Difference? An Empirical Assessment Using Lithua nian Firm-Level Data&lt;/title&gt;&lt;secondary-title&gt;The Energy Journal&lt;/secondary-title&gt;&lt;/titles&gt;&lt;periodical&gt;&lt;full-title&gt;The Energy Journal&lt;/full-title&gt;&lt;/periodical&gt;&lt;pages&gt;68-92&lt;/pages&gt;&lt;volume&gt;37&lt;/volume&gt;&lt;number&gt;2&lt;/number&gt;&lt;dates&gt;&lt;year&gt;2016&lt;/year&gt;&lt;pub-dates&gt;&lt;date&gt;2016&lt;/date&gt;&lt;/pub-dates&gt;&lt;/dates&gt;&lt;urls&gt;&lt;related-urls&gt;&lt;url&gt;https://journals.sagepub.com/doi/abs/10.5547/01956574.37.2.jjar&lt;/url&gt;&lt;/related-urls&gt;&lt;/urls&gt;&lt;electronic-resource-num&gt;10.5547/01956574.37.2.jjar&lt;/electronic-resource-num&gt;&lt;/record&gt;&lt;/Cite&gt;&lt;/EndNote&gt;</w:instrText>
      </w:r>
      <w:r w:rsidR="00382F0D" w:rsidRPr="0097386F">
        <w:rPr>
          <w:rFonts w:ascii="Arial" w:hAnsi="Arial" w:cs="Arial"/>
        </w:rPr>
        <w:fldChar w:fldCharType="separate"/>
      </w:r>
      <w:r w:rsidR="00382F0D" w:rsidRPr="0097386F">
        <w:rPr>
          <w:rFonts w:ascii="Arial" w:hAnsi="Arial" w:cs="Arial"/>
          <w:noProof/>
        </w:rPr>
        <w:t>(2016)</w:t>
      </w:r>
      <w:r w:rsidR="00382F0D" w:rsidRPr="0097386F">
        <w:rPr>
          <w:rFonts w:ascii="Arial" w:hAnsi="Arial" w:cs="Arial"/>
        </w:rPr>
        <w:fldChar w:fldCharType="end"/>
      </w:r>
      <w:r w:rsidR="00382F0D" w:rsidRPr="0097386F">
        <w:rPr>
          <w:rFonts w:ascii="Arial" w:hAnsi="Arial" w:cs="Arial"/>
        </w:rPr>
        <w:t xml:space="preserve"> </w:t>
      </w:r>
      <w:r w:rsidR="00984242" w:rsidRPr="0097386F">
        <w:rPr>
          <w:rFonts w:ascii="Arial" w:hAnsi="Arial" w:cs="Arial"/>
        </w:rPr>
        <w:t xml:space="preserve">provided causal evidence </w:t>
      </w:r>
      <w:r w:rsidR="00AF44F1" w:rsidRPr="0097386F">
        <w:rPr>
          <w:rFonts w:ascii="Arial" w:hAnsi="Arial" w:cs="Arial"/>
        </w:rPr>
        <w:t xml:space="preserve">that the EU ETS has increased investments in </w:t>
      </w:r>
      <w:r w:rsidR="00057517" w:rsidRPr="0097386F">
        <w:rPr>
          <w:rFonts w:ascii="Arial" w:hAnsi="Arial" w:cs="Arial"/>
        </w:rPr>
        <w:t>Lithuania</w:t>
      </w:r>
      <w:r w:rsidR="008B2F3B" w:rsidRPr="0097386F">
        <w:rPr>
          <w:rFonts w:ascii="Arial" w:hAnsi="Arial" w:cs="Arial"/>
        </w:rPr>
        <w:t xml:space="preserve"> </w:t>
      </w:r>
      <w:r w:rsidR="00D32CCD" w:rsidRPr="0097386F">
        <w:rPr>
          <w:rFonts w:ascii="Arial" w:hAnsi="Arial" w:cs="Arial"/>
        </w:rPr>
        <w:t>without reducing profitability</w:t>
      </w:r>
      <w:r w:rsidR="00382F0D" w:rsidRPr="0097386F">
        <w:rPr>
          <w:rFonts w:ascii="Arial" w:hAnsi="Arial" w:cs="Arial"/>
        </w:rPr>
        <w:t>.</w:t>
      </w:r>
    </w:p>
    <w:p w14:paraId="4FC2FF91" w14:textId="0A01E5B0" w:rsidR="002929A4" w:rsidRPr="0097386F" w:rsidRDefault="00382F0D" w:rsidP="0053547A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  <w:noProof/>
        </w:rPr>
        <w:t>Kramer and Lessmann</w:t>
      </w:r>
      <w:r w:rsidR="008E0CDC" w:rsidRPr="0097386F">
        <w:rPr>
          <w:rFonts w:ascii="Arial" w:hAnsi="Arial" w:cs="Arial"/>
        </w:rPr>
        <w:t xml:space="preserve">, </w:t>
      </w:r>
      <w:r w:rsidRPr="0097386F">
        <w:rPr>
          <w:rFonts w:ascii="Arial" w:hAnsi="Arial" w:cs="Arial"/>
        </w:rPr>
        <w:fldChar w:fldCharType="begin"/>
      </w:r>
      <w:r w:rsidRPr="0097386F">
        <w:rPr>
          <w:rFonts w:ascii="Arial" w:hAnsi="Arial" w:cs="Arial"/>
        </w:rPr>
        <w:instrText xml:space="preserve"> ADDIN EN.CITE &lt;EndNote&gt;&lt;Cite ExcludeAuth="1"&gt;&lt;Author&gt;Kramer&lt;/Author&gt;&lt;Year&gt;2024&lt;/Year&gt;&lt;RecNum&gt;67&lt;/RecNum&gt;&lt;DisplayText&gt;(2024)&lt;/DisplayText&gt;&lt;record&gt;&lt;rec-number&gt;67&lt;/rec-number&gt;&lt;foreign-keys&gt;&lt;key app="EN" db-id="ttwsetvfy922vjexsf4xxeslw250dxrsttf5" timestamp="1769071608"&gt;67&lt;/key&gt;&lt;/foreign-keys&gt;&lt;ref-type name="Journal Article"&gt;17&lt;/ref-type&gt;&lt;contributors&gt;&lt;authors&gt;&lt;author&gt;Kramer, Niklas&lt;/author&gt;&lt;author&gt;Lessmann, Christian&lt;/author&gt;&lt;/authors&gt;&lt;/contributors&gt;&lt;titles&gt;&lt;title&gt;The effect of cap-and-trade on sectoral emissions: Evidence from Calif ornia&lt;/title&gt;&lt;secondary-title&gt;Energy Policy&lt;/secondary-title&gt;&lt;/titles&gt;&lt;periodical&gt;&lt;full-title&gt;Energy Policy&lt;/full-title&gt;&lt;/periodical&gt;&lt;pages&gt;113504&lt;/pages&gt;&lt;volume&gt;188&lt;/volume&gt;&lt;dates&gt;&lt;year&gt;2024&lt;/year&gt;&lt;pub-dates&gt;&lt;date&gt;2024&lt;/date&gt;&lt;/pub-dates&gt;&lt;/dates&gt;&lt;urls&gt;&lt;related-urls&gt;&lt;url&gt;https://www.sciencedirect.com/science/article/pii/S0301421524000867&lt;/url&gt;&lt;/related-urls&gt;&lt;/urls&gt;&lt;electronic-resource-num&gt;10.1016/j.enpol.2024.113504&lt;/electronic-resource-num&gt;&lt;/record&gt;&lt;/Cite&gt;&lt;/EndNote&gt;</w:instrText>
      </w:r>
      <w:r w:rsidRPr="0097386F">
        <w:rPr>
          <w:rFonts w:ascii="Arial" w:hAnsi="Arial" w:cs="Arial"/>
        </w:rPr>
        <w:fldChar w:fldCharType="separate"/>
      </w:r>
      <w:r w:rsidRPr="0097386F">
        <w:rPr>
          <w:rFonts w:ascii="Arial" w:hAnsi="Arial" w:cs="Arial"/>
          <w:noProof/>
        </w:rPr>
        <w:t>(2024)</w:t>
      </w:r>
      <w:r w:rsidRPr="0097386F">
        <w:rPr>
          <w:rFonts w:ascii="Arial" w:hAnsi="Arial" w:cs="Arial"/>
        </w:rPr>
        <w:fldChar w:fldCharType="end"/>
      </w:r>
      <w:r w:rsidR="00E15663" w:rsidRPr="0097386F">
        <w:rPr>
          <w:rFonts w:ascii="Arial" w:hAnsi="Arial" w:cs="Arial"/>
        </w:rPr>
        <w:t xml:space="preserve"> evaluated California’s C&amp;T</w:t>
      </w:r>
      <w:r w:rsidR="00381E87" w:rsidRPr="0097386F">
        <w:rPr>
          <w:rFonts w:ascii="Arial" w:hAnsi="Arial" w:cs="Arial"/>
        </w:rPr>
        <w:t xml:space="preserve"> scheme over the 2005-2019 period</w:t>
      </w:r>
      <w:r w:rsidR="00E15663" w:rsidRPr="0097386F">
        <w:rPr>
          <w:rFonts w:ascii="Arial" w:hAnsi="Arial" w:cs="Arial"/>
        </w:rPr>
        <w:t xml:space="preserve"> using a synthetic control model.</w:t>
      </w:r>
      <w:r w:rsidR="00381E87" w:rsidRPr="0097386F">
        <w:rPr>
          <w:rFonts w:ascii="Arial" w:hAnsi="Arial" w:cs="Arial"/>
        </w:rPr>
        <w:t xml:space="preserve"> They found emissions from the </w:t>
      </w:r>
      <w:r w:rsidR="008C203A" w:rsidRPr="0097386F">
        <w:rPr>
          <w:rFonts w:ascii="Arial" w:hAnsi="Arial" w:cs="Arial"/>
        </w:rPr>
        <w:t xml:space="preserve">power sector were reduced significantly compared to the counterfactual, but this was somewhat offset by a smaller increase in industrial </w:t>
      </w:r>
      <w:r w:rsidR="00AD7A49" w:rsidRPr="0097386F">
        <w:rPr>
          <w:rFonts w:ascii="Arial" w:hAnsi="Arial" w:cs="Arial"/>
        </w:rPr>
        <w:t>emissions.</w:t>
      </w:r>
      <w:r w:rsidR="001817EC" w:rsidRPr="0097386F">
        <w:rPr>
          <w:rFonts w:ascii="Arial" w:hAnsi="Arial" w:cs="Arial"/>
        </w:rPr>
        <w:t xml:space="preserve"> Ho</w:t>
      </w:r>
      <w:r w:rsidR="00D06E4D" w:rsidRPr="0097386F">
        <w:rPr>
          <w:rFonts w:ascii="Arial" w:hAnsi="Arial" w:cs="Arial"/>
        </w:rPr>
        <w:t xml:space="preserve">lliman and Collins, </w:t>
      </w:r>
      <w:r w:rsidRPr="0097386F">
        <w:rPr>
          <w:rFonts w:ascii="Arial" w:hAnsi="Arial" w:cs="Arial"/>
        </w:rPr>
        <w:fldChar w:fldCharType="begin"/>
      </w:r>
      <w:r w:rsidRPr="0097386F">
        <w:rPr>
          <w:rFonts w:ascii="Arial" w:hAnsi="Arial" w:cs="Arial"/>
        </w:rPr>
        <w:instrText xml:space="preserve"> ADDIN EN.CITE &lt;EndNote&gt;&lt;Cite ExcludeAuth="1"&gt;&lt;Author&gt;Holliman&lt;/Author&gt;&lt;Year&gt;2023&lt;/Year&gt;&lt;RecNum&gt;68&lt;/RecNum&gt;&lt;DisplayText&gt;(2023)&lt;/DisplayText&gt;&lt;record&gt;&lt;rec-number&gt;68&lt;/rec-number&gt;&lt;foreign-keys&gt;&lt;key app="EN" db-id="ttwsetvfy922vjexsf4xxeslw250dxrsttf5" timestamp="1769071650"&gt;68&lt;/key&gt;&lt;/foreign-keys&gt;&lt;ref-type name="Journal Article"&gt;17&lt;/ref-type&gt;&lt;contributors&gt;&lt;authors&gt;&lt;author&gt;Holliman, Alvin&lt;/author&gt;&lt;author&gt;Collins, Kimberly&lt;/author&gt;&lt;/authors&gt;&lt;/contributors&gt;&lt;titles&gt;&lt;title&gt;California’s cap-and-trade program: is it effective in advancing socia l, economic, and environmental equity?&lt;/title&gt;&lt;secondary-title&gt;Public Administration and Policy: An Asia-Pacific Journal&lt;/secondary-title&gt;&lt;/titles&gt;&lt;periodical&gt;&lt;full-title&gt;Public Administration and Policy: An Asia-Pacific Journal&lt;/full-title&gt;&lt;/periodical&gt;&lt;pages&gt;128-141&lt;/pages&gt;&lt;volume&gt;26&lt;/volume&gt;&lt;number&gt;2&lt;/number&gt;&lt;dates&gt;&lt;year&gt;2023&lt;/year&gt;&lt;pub-dates&gt;&lt;date&gt;2023&lt;/date&gt;&lt;/pub-dates&gt;&lt;/dates&gt;&lt;urls&gt;&lt;related-urls&gt;&lt;url&gt;https://www.emerald.com/insight/content/doi/10.1108/PAP-06-2022-0069&lt;/url&gt;&lt;/related-urls&gt;&lt;/urls&gt;&lt;electronic-resource-num&gt;10.1108/PAP-06-2022-0069&lt;/electronic-resource-num&gt;&lt;/record&gt;&lt;/Cite&gt;&lt;/EndNote&gt;</w:instrText>
      </w:r>
      <w:r w:rsidRPr="0097386F">
        <w:rPr>
          <w:rFonts w:ascii="Arial" w:hAnsi="Arial" w:cs="Arial"/>
        </w:rPr>
        <w:fldChar w:fldCharType="separate"/>
      </w:r>
      <w:r w:rsidRPr="0097386F">
        <w:rPr>
          <w:rFonts w:ascii="Arial" w:hAnsi="Arial" w:cs="Arial"/>
          <w:noProof/>
        </w:rPr>
        <w:t>(2023)</w:t>
      </w:r>
      <w:r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 xml:space="preserve"> </w:t>
      </w:r>
      <w:r w:rsidR="00D06E4D" w:rsidRPr="0097386F">
        <w:rPr>
          <w:rFonts w:ascii="Arial" w:hAnsi="Arial" w:cs="Arial"/>
        </w:rPr>
        <w:t xml:space="preserve">concluded the </w:t>
      </w:r>
      <w:r w:rsidR="00B74E73" w:rsidRPr="0097386F">
        <w:rPr>
          <w:rFonts w:ascii="Arial" w:hAnsi="Arial" w:cs="Arial"/>
        </w:rPr>
        <w:t>Cap-and-Trade</w:t>
      </w:r>
      <w:r w:rsidR="00D06E4D" w:rsidRPr="0097386F">
        <w:rPr>
          <w:rFonts w:ascii="Arial" w:hAnsi="Arial" w:cs="Arial"/>
        </w:rPr>
        <w:t xml:space="preserve"> system </w:t>
      </w:r>
      <w:r w:rsidR="007A2FEB" w:rsidRPr="0097386F">
        <w:rPr>
          <w:rFonts w:ascii="Arial" w:hAnsi="Arial" w:cs="Arial"/>
        </w:rPr>
        <w:t>enhanced social and environmental equity but did not reduce emissions in line with California’s goals.</w:t>
      </w:r>
      <w:r w:rsidR="00B74E73" w:rsidRPr="0097386F">
        <w:rPr>
          <w:rFonts w:ascii="Arial" w:hAnsi="Arial" w:cs="Arial"/>
        </w:rPr>
        <w:t xml:space="preserve"> Furthermore, they identified evidence of regressive </w:t>
      </w:r>
      <w:r w:rsidR="00272C3D" w:rsidRPr="0097386F">
        <w:rPr>
          <w:rFonts w:ascii="Arial" w:hAnsi="Arial" w:cs="Arial"/>
        </w:rPr>
        <w:t>taxation of transport</w:t>
      </w:r>
      <w:r w:rsidR="00661AC5" w:rsidRPr="0097386F">
        <w:rPr>
          <w:rFonts w:ascii="Arial" w:hAnsi="Arial" w:cs="Arial"/>
        </w:rPr>
        <w:t>.</w:t>
      </w:r>
    </w:p>
    <w:p w14:paraId="495B117F" w14:textId="0872EFE3" w:rsidR="00553B84" w:rsidRPr="0097386F" w:rsidRDefault="00C52034" w:rsidP="0053547A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The </w:t>
      </w:r>
      <w:r w:rsidR="00553B84" w:rsidRPr="0097386F">
        <w:rPr>
          <w:rFonts w:ascii="Arial" w:hAnsi="Arial" w:cs="Arial"/>
        </w:rPr>
        <w:t xml:space="preserve">literature review above is extended </w:t>
      </w:r>
      <w:r w:rsidR="002D24C7" w:rsidRPr="0097386F">
        <w:rPr>
          <w:rFonts w:ascii="Arial" w:hAnsi="Arial" w:cs="Arial"/>
        </w:rPr>
        <w:t xml:space="preserve">here </w:t>
      </w:r>
      <w:r w:rsidR="00553B84" w:rsidRPr="0097386F">
        <w:rPr>
          <w:rFonts w:ascii="Arial" w:hAnsi="Arial" w:cs="Arial"/>
        </w:rPr>
        <w:t xml:space="preserve">by an empirical analysis of more recent </w:t>
      </w:r>
      <w:r w:rsidR="002D24C7" w:rsidRPr="0097386F">
        <w:rPr>
          <w:rFonts w:ascii="Arial" w:hAnsi="Arial" w:cs="Arial"/>
        </w:rPr>
        <w:t>data</w:t>
      </w:r>
      <w:r w:rsidR="00553B84" w:rsidRPr="0097386F">
        <w:rPr>
          <w:rFonts w:ascii="Arial" w:hAnsi="Arial" w:cs="Arial"/>
        </w:rPr>
        <w:t xml:space="preserve">. The years 2019-2023 </w:t>
      </w:r>
      <w:r w:rsidR="002D24C7" w:rsidRPr="0097386F">
        <w:rPr>
          <w:rFonts w:ascii="Arial" w:hAnsi="Arial" w:cs="Arial"/>
        </w:rPr>
        <w:t>are</w:t>
      </w:r>
      <w:r w:rsidR="00553B84" w:rsidRPr="0097386F">
        <w:rPr>
          <w:rFonts w:ascii="Arial" w:hAnsi="Arial" w:cs="Arial"/>
        </w:rPr>
        <w:t xml:space="preserve"> used to </w:t>
      </w:r>
      <w:r w:rsidR="00A947D6" w:rsidRPr="0097386F">
        <w:rPr>
          <w:rFonts w:ascii="Arial" w:hAnsi="Arial" w:cs="Arial"/>
        </w:rPr>
        <w:t>compare</w:t>
      </w:r>
      <w:r w:rsidR="00553B84" w:rsidRPr="0097386F">
        <w:rPr>
          <w:rFonts w:ascii="Arial" w:hAnsi="Arial" w:cs="Arial"/>
        </w:rPr>
        <w:t xml:space="preserve"> the EU ETS and California’s Cap and Trade scheme. </w:t>
      </w:r>
    </w:p>
    <w:p w14:paraId="5D53C336" w14:textId="45A0010C" w:rsidR="00825582" w:rsidRPr="0097386F" w:rsidRDefault="0053547A" w:rsidP="0053547A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>Average reduction in emissions (</w:t>
      </w:r>
      <w:r w:rsidR="00F66BE5" w:rsidRPr="0097386F">
        <w:rPr>
          <w:rFonts w:ascii="Arial" w:hAnsi="Arial" w:cs="Arial"/>
        </w:rPr>
        <w:t>C0</w:t>
      </w:r>
      <w:r w:rsidR="00F66BE5" w:rsidRPr="0097386F">
        <w:rPr>
          <w:rFonts w:ascii="Arial" w:hAnsi="Arial" w:cs="Arial"/>
          <w:vertAlign w:val="subscript"/>
        </w:rPr>
        <w:t>2</w:t>
      </w:r>
      <w:r w:rsidRPr="0097386F">
        <w:rPr>
          <w:rFonts w:ascii="Arial" w:hAnsi="Arial" w:cs="Arial"/>
        </w:rPr>
        <w:t xml:space="preserve">e) under the EU ETS is summarised in table 1. </w:t>
      </w:r>
      <w:r w:rsidR="00A2430F" w:rsidRPr="0097386F">
        <w:rPr>
          <w:rFonts w:ascii="Arial" w:hAnsi="Arial" w:cs="Arial"/>
        </w:rPr>
        <w:t xml:space="preserve">Maritime transport was only recently </w:t>
      </w:r>
      <w:r w:rsidRPr="0097386F">
        <w:rPr>
          <w:rFonts w:ascii="Arial" w:hAnsi="Arial" w:cs="Arial"/>
        </w:rPr>
        <w:t>incorporated into</w:t>
      </w:r>
      <w:r w:rsidR="00A2430F" w:rsidRPr="0097386F">
        <w:rPr>
          <w:rFonts w:ascii="Arial" w:hAnsi="Arial" w:cs="Arial"/>
        </w:rPr>
        <w:t xml:space="preserve"> the EU ETS </w:t>
      </w:r>
      <w:r w:rsidR="00C13E32" w:rsidRPr="0097386F">
        <w:rPr>
          <w:rFonts w:ascii="Arial" w:hAnsi="Arial" w:cs="Arial"/>
        </w:rPr>
        <w:t>and is excluded due to insufficient data.</w:t>
      </w:r>
      <w:r w:rsidR="00A947D6" w:rsidRPr="0097386F">
        <w:rPr>
          <w:rFonts w:ascii="Arial" w:hAnsi="Arial" w:cs="Arial"/>
        </w:rPr>
        <w:t xml:space="preserve"> Notably EU Industrial Production has been flat over the period of analysis, experiencing only 0.06% average annual growth</w:t>
      </w:r>
      <w:r w:rsidR="00F84335" w:rsidRPr="0097386F">
        <w:rPr>
          <w:rFonts w:ascii="Arial" w:hAnsi="Arial" w:cs="Arial"/>
        </w:rPr>
        <w:t xml:space="preserve"> </w:t>
      </w:r>
      <w:r w:rsidR="00F84335" w:rsidRPr="0097386F">
        <w:rPr>
          <w:rFonts w:ascii="Arial" w:hAnsi="Arial" w:cs="Arial"/>
        </w:rPr>
        <w:fldChar w:fldCharType="begin"/>
      </w:r>
      <w:r w:rsidR="006011D1" w:rsidRPr="0097386F">
        <w:rPr>
          <w:rFonts w:ascii="Arial" w:hAnsi="Arial" w:cs="Arial"/>
        </w:rPr>
        <w:instrText xml:space="preserve"> ADDIN EN.CITE &lt;EndNote&gt;&lt;Cite&gt;&lt;Author&gt;Eurostat&lt;/Author&gt;&lt;Year&gt;2025&lt;/Year&gt;&lt;RecNum&gt;69&lt;/RecNum&gt;&lt;DisplayText&gt;(Eurostat, 2025b)&lt;/DisplayText&gt;&lt;record&gt;&lt;rec-number&gt;69&lt;/rec-number&gt;&lt;foreign-keys&gt;&lt;key app="EN" db-id="ttwsetvfy922vjexsf4xxeslw250dxrsttf5" timestamp="1769071936"&gt;69&lt;/key&gt;&lt;/foreign-keys&gt;&lt;ref-type name="Generic"&gt;13&lt;/ref-type&gt;&lt;contributors&gt;&lt;authors&gt;&lt;author&gt;Eurostat,&lt;/author&gt;&lt;/authors&gt;&lt;/contributors&gt;&lt;titles&gt;&lt;title&gt;STS_Industrial_production_2025_V2.xlsx: Industrial Production Short-Te rm Statistics&lt;/title&gt;&lt;/titles&gt;&lt;dates&gt;&lt;year&gt;2025&lt;/year&gt;&lt;pub-dates&gt;&lt;date&gt;2025&lt;/date&gt;&lt;/pub-dates&gt;&lt;/dates&gt;&lt;urls&gt;&lt;related-urls&gt;&lt;url&gt;https://ec.europa.eu/eurostat/statistics-explained/images/d/dc/STS_Industrial_production_2025_V2.xlsx&lt;/url&gt;&lt;/related-urls&gt;&lt;/urls&gt;&lt;/record&gt;&lt;/Cite&gt;&lt;/EndNote&gt;</w:instrText>
      </w:r>
      <w:r w:rsidR="00F84335" w:rsidRPr="0097386F">
        <w:rPr>
          <w:rFonts w:ascii="Arial" w:hAnsi="Arial" w:cs="Arial"/>
        </w:rPr>
        <w:fldChar w:fldCharType="separate"/>
      </w:r>
      <w:r w:rsidR="006011D1" w:rsidRPr="0097386F">
        <w:rPr>
          <w:rFonts w:ascii="Arial" w:hAnsi="Arial" w:cs="Arial"/>
          <w:noProof/>
        </w:rPr>
        <w:t>(Eurostat, 2025b)</w:t>
      </w:r>
      <w:r w:rsidR="00F84335" w:rsidRPr="0097386F">
        <w:rPr>
          <w:rFonts w:ascii="Arial" w:hAnsi="Arial" w:cs="Arial"/>
        </w:rPr>
        <w:fldChar w:fldCharType="end"/>
      </w:r>
      <w:r w:rsidR="00A947D6" w:rsidRPr="0097386F">
        <w:rPr>
          <w:rFonts w:ascii="Arial" w:hAnsi="Arial" w:cs="Arial"/>
        </w:rPr>
        <w:t xml:space="preserve">. This must be </w:t>
      </w:r>
      <w:r w:rsidR="00F15E78" w:rsidRPr="0097386F">
        <w:rPr>
          <w:rFonts w:ascii="Arial" w:hAnsi="Arial" w:cs="Arial"/>
        </w:rPr>
        <w:t>seen</w:t>
      </w:r>
      <w:r w:rsidR="00A947D6" w:rsidRPr="0097386F">
        <w:rPr>
          <w:rFonts w:ascii="Arial" w:hAnsi="Arial" w:cs="Arial"/>
        </w:rPr>
        <w:t xml:space="preserve"> in the context of strong industrial emissions reduction and possibly indicates carbon leakage. This is evidenced by </w:t>
      </w:r>
      <w:r w:rsidR="00F15E78" w:rsidRPr="0097386F">
        <w:rPr>
          <w:rFonts w:ascii="Arial" w:hAnsi="Arial" w:cs="Arial"/>
        </w:rPr>
        <w:t>steady</w:t>
      </w:r>
      <w:r w:rsidR="00A947D6" w:rsidRPr="0097386F">
        <w:rPr>
          <w:rFonts w:ascii="Arial" w:hAnsi="Arial" w:cs="Arial"/>
        </w:rPr>
        <w:t xml:space="preserve"> annual GDP growth of 1.36% </w:t>
      </w:r>
      <w:r w:rsidR="002B0DED" w:rsidRPr="0097386F">
        <w:rPr>
          <w:rFonts w:ascii="Arial" w:hAnsi="Arial" w:cs="Arial"/>
        </w:rPr>
        <w:fldChar w:fldCharType="begin"/>
      </w:r>
      <w:r w:rsidR="002B0DED" w:rsidRPr="0097386F">
        <w:rPr>
          <w:rFonts w:ascii="Arial" w:hAnsi="Arial" w:cs="Arial"/>
        </w:rPr>
        <w:instrText xml:space="preserve"> ADDIN EN.CITE &lt;EndNote&gt;&lt;Cite&gt;&lt;Author&gt;World Bank&lt;/Author&gt;&lt;Year&gt;2025&lt;/Year&gt;&lt;RecNum&gt;70&lt;/RecNum&gt;&lt;DisplayText&gt;(World Bank, 2025)&lt;/DisplayText&gt;&lt;record&gt;&lt;rec-number&gt;70&lt;/rec-number&gt;&lt;foreign-keys&gt;&lt;key app="EN" db-id="ttwsetvfy922vjexsf4xxeslw250dxrsttf5" timestamp="1769071979"&gt;70&lt;/key&gt;&lt;/foreign-keys&gt;&lt;ref-type name="Generic"&gt;13&lt;/ref-type&gt;&lt;contributors&gt;&lt;authors&gt;&lt;author&gt;World Bank,&lt;/author&gt;&lt;/authors&gt;&lt;/contributors&gt;&lt;titles&gt;&lt;title&gt;GDP growth (annual %): European Union (Indicator: NY.GDP.MKTP.KD.ZG)&lt;/title&gt;&lt;/titles&gt;&lt;dates&gt;&lt;year&gt;2025&lt;/year&gt;&lt;pub-dates&gt;&lt;date&gt;2025&lt;/date&gt;&lt;/pub-dates&gt;&lt;/dates&gt;&lt;urls&gt;&lt;related-urls&gt;&lt;url&gt;https://data.worldbank.org/indicator/NY.GDP.MKTP.KD.ZG?end=2023&amp;amp;locations=EU&amp;amp;start=2019&amp;amp;view=chart&lt;/url&gt;&lt;/related-urls&gt;&lt;/urls&gt;&lt;/record&gt;&lt;/Cite&gt;&lt;/EndNote&gt;</w:instrText>
      </w:r>
      <w:r w:rsidR="002B0DED" w:rsidRPr="0097386F">
        <w:rPr>
          <w:rFonts w:ascii="Arial" w:hAnsi="Arial" w:cs="Arial"/>
        </w:rPr>
        <w:fldChar w:fldCharType="separate"/>
      </w:r>
      <w:r w:rsidR="002B0DED" w:rsidRPr="0097386F">
        <w:rPr>
          <w:rFonts w:ascii="Arial" w:hAnsi="Arial" w:cs="Arial"/>
          <w:noProof/>
        </w:rPr>
        <w:t>(World Bank, 2025)</w:t>
      </w:r>
      <w:r w:rsidR="002B0DED" w:rsidRPr="0097386F">
        <w:rPr>
          <w:rFonts w:ascii="Arial" w:hAnsi="Arial" w:cs="Arial"/>
        </w:rPr>
        <w:fldChar w:fldCharType="end"/>
      </w:r>
      <w:r w:rsidR="00A947D6" w:rsidRPr="0097386F">
        <w:rPr>
          <w:rFonts w:ascii="Arial" w:hAnsi="Arial" w:cs="Arial"/>
        </w:rPr>
        <w:t xml:space="preserve">. </w:t>
      </w:r>
      <w:r w:rsidR="00F15E78" w:rsidRPr="0097386F">
        <w:rPr>
          <w:rFonts w:ascii="Arial" w:hAnsi="Arial" w:cs="Arial"/>
        </w:rPr>
        <w:t>E</w:t>
      </w:r>
      <w:r w:rsidR="00A947D6" w:rsidRPr="0097386F">
        <w:rPr>
          <w:rFonts w:ascii="Arial" w:hAnsi="Arial" w:cs="Arial"/>
        </w:rPr>
        <w:t>mployment has also increased by 3.6% over the period</w:t>
      </w:r>
      <w:r w:rsidR="00F15E78" w:rsidRPr="0097386F">
        <w:rPr>
          <w:rFonts w:ascii="Arial" w:hAnsi="Arial" w:cs="Arial"/>
        </w:rPr>
        <w:t xml:space="preserve">, </w:t>
      </w:r>
      <w:r w:rsidR="00A947D6" w:rsidRPr="0097386F">
        <w:rPr>
          <w:rFonts w:ascii="Arial" w:hAnsi="Arial" w:cs="Arial"/>
        </w:rPr>
        <w:t xml:space="preserve">indicating an </w:t>
      </w:r>
      <w:r w:rsidR="00F15E78" w:rsidRPr="0097386F">
        <w:rPr>
          <w:rFonts w:ascii="Arial" w:hAnsi="Arial" w:cs="Arial"/>
        </w:rPr>
        <w:t xml:space="preserve">largely </w:t>
      </w:r>
      <w:r w:rsidR="00A947D6" w:rsidRPr="0097386F">
        <w:rPr>
          <w:rFonts w:ascii="Arial" w:hAnsi="Arial" w:cs="Arial"/>
        </w:rPr>
        <w:t>healthy</w:t>
      </w:r>
      <w:r w:rsidR="00F15E78" w:rsidRPr="0097386F">
        <w:rPr>
          <w:rFonts w:ascii="Arial" w:hAnsi="Arial" w:cs="Arial"/>
        </w:rPr>
        <w:t xml:space="preserve"> European</w:t>
      </w:r>
      <w:r w:rsidR="00A947D6" w:rsidRPr="0097386F">
        <w:rPr>
          <w:rFonts w:ascii="Arial" w:hAnsi="Arial" w:cs="Arial"/>
        </w:rPr>
        <w:t xml:space="preserve"> econom</w:t>
      </w:r>
      <w:r w:rsidR="00F15E78" w:rsidRPr="0097386F">
        <w:rPr>
          <w:rFonts w:ascii="Arial" w:hAnsi="Arial" w:cs="Arial"/>
        </w:rPr>
        <w:t>y</w:t>
      </w:r>
      <w:r w:rsidR="006011D1" w:rsidRPr="0097386F">
        <w:rPr>
          <w:rFonts w:ascii="Arial" w:hAnsi="Arial" w:cs="Arial"/>
        </w:rPr>
        <w:t xml:space="preserve"> </w:t>
      </w:r>
      <w:r w:rsidR="006011D1" w:rsidRPr="0097386F">
        <w:rPr>
          <w:rFonts w:ascii="Arial" w:hAnsi="Arial" w:cs="Arial"/>
        </w:rPr>
        <w:fldChar w:fldCharType="begin"/>
      </w:r>
      <w:r w:rsidR="006011D1" w:rsidRPr="0097386F">
        <w:rPr>
          <w:rFonts w:ascii="Arial" w:hAnsi="Arial" w:cs="Arial"/>
        </w:rPr>
        <w:instrText xml:space="preserve"> ADDIN EN.CITE &lt;EndNote&gt;&lt;Cite&gt;&lt;Author&gt;Eurostat&lt;/Author&gt;&lt;Year&gt;2025&lt;/Year&gt;&lt;RecNum&gt;71&lt;/RecNum&gt;&lt;DisplayText&gt;(Eurostat, 2025a)&lt;/DisplayText&gt;&lt;record&gt;&lt;rec-number&gt;71&lt;/rec-number&gt;&lt;foreign-keys&gt;&lt;key app="EN" db-id="ttwsetvfy922vjexsf4xxeslw250dxrsttf5" timestamp="1769072031"&gt;71&lt;/key&gt;&lt;/foreign-keys&gt;&lt;ref-type name="Generic"&gt;13&lt;/ref-type&gt;&lt;contributors&gt;&lt;authors&gt;&lt;author&gt;Eurostat,&lt;/author&gt;&lt;/authors&gt;&lt;/contributors&gt;&lt;titles&gt;&lt;title&gt;EU labour market - quarterly statistics&lt;/title&gt;&lt;/titles&gt;&lt;dates&gt;&lt;year&gt;2025&lt;/year&gt;&lt;pub-dates&gt;&lt;date&gt;2025&lt;/date&gt;&lt;/pub-dates&gt;&lt;/dates&gt;&lt;urls&gt;&lt;related-urls&gt;&lt;url&gt;https://ec.europa.eu/eurostat/statistics-explained/index.php?title=EU_labour_market_-_quarterly_statistics&lt;/url&gt;&lt;/related-urls&gt;&lt;/urls&gt;&lt;/record&gt;&lt;/Cite&gt;&lt;/EndNote&gt;</w:instrText>
      </w:r>
      <w:r w:rsidR="006011D1" w:rsidRPr="0097386F">
        <w:rPr>
          <w:rFonts w:ascii="Arial" w:hAnsi="Arial" w:cs="Arial"/>
        </w:rPr>
        <w:fldChar w:fldCharType="separate"/>
      </w:r>
      <w:r w:rsidR="006011D1" w:rsidRPr="0097386F">
        <w:rPr>
          <w:rFonts w:ascii="Arial" w:hAnsi="Arial" w:cs="Arial"/>
          <w:noProof/>
        </w:rPr>
        <w:t>(Eurostat, 2025a)</w:t>
      </w:r>
      <w:r w:rsidR="006011D1" w:rsidRPr="0097386F">
        <w:rPr>
          <w:rFonts w:ascii="Arial" w:hAnsi="Arial" w:cs="Arial"/>
        </w:rPr>
        <w:fldChar w:fldCharType="end"/>
      </w:r>
      <w:r w:rsidR="00A947D6" w:rsidRPr="0097386F">
        <w:rPr>
          <w:rFonts w:ascii="Arial" w:hAnsi="Arial" w:cs="Arial"/>
        </w:rPr>
        <w:t xml:space="preserve">. The share of electricity production from renewable sources has increased from 34% in 2019 to 45% in 2023 </w:t>
      </w:r>
      <w:r w:rsidR="00767AE6" w:rsidRPr="0097386F">
        <w:rPr>
          <w:rFonts w:ascii="Arial" w:hAnsi="Arial" w:cs="Arial"/>
        </w:rPr>
        <w:fldChar w:fldCharType="begin"/>
      </w:r>
      <w:r w:rsidR="00767AE6" w:rsidRPr="0097386F">
        <w:rPr>
          <w:rFonts w:ascii="Arial" w:hAnsi="Arial" w:cs="Arial"/>
        </w:rPr>
        <w:instrText xml:space="preserve"> ADDIN EN.CITE &lt;EndNote&gt;&lt;Cite&gt;&lt;Author&gt;Our World in Data&lt;/Author&gt;&lt;Year&gt;2025&lt;/Year&gt;&lt;RecNum&gt;72&lt;/RecNum&gt;&lt;DisplayText&gt;(Our World in Data, 2025)&lt;/DisplayText&gt;&lt;record&gt;&lt;rec-number&gt;72&lt;/rec-number&gt;&lt;foreign-keys&gt;&lt;key app="EN" db-id="ttwsetvfy922vjexsf4xxeslw250dxrsttf5" timestamp="1769072089"&gt;72&lt;/key&gt;&lt;/foreign-keys&gt;&lt;ref-type name="Generic"&gt;13&lt;/ref-type&gt;&lt;contributors&gt;&lt;authors&gt;&lt;author&gt;Our World in Data,&lt;/author&gt;&lt;/authors&gt;&lt;/contributors&gt;&lt;titles&gt;&lt;title&gt;Share of electricity generation from renewable sources (%): EU27&lt;/title&gt;&lt;/titles&gt;&lt;dates&gt;&lt;year&gt;2025&lt;/year&gt;&lt;pub-dates&gt;&lt;date&gt;2025&lt;/date&gt;&lt;/pub-dates&gt;&lt;/dates&gt;&lt;urls&gt;&lt;related-urls&gt;&lt;url&gt;https://ourworldindata.org/grapher/share-electricity-renewables?tab=line&amp;amp;country= OWID_EU27&amp;amp;mapSelect= OWID_EU27&lt;/url&gt;&lt;/related-urls&gt;&lt;/urls&gt;&lt;/record&gt;&lt;/Cite&gt;&lt;/EndNote&gt;</w:instrText>
      </w:r>
      <w:r w:rsidR="00767AE6" w:rsidRPr="0097386F">
        <w:rPr>
          <w:rFonts w:ascii="Arial" w:hAnsi="Arial" w:cs="Arial"/>
        </w:rPr>
        <w:fldChar w:fldCharType="separate"/>
      </w:r>
      <w:r w:rsidR="00767AE6" w:rsidRPr="0097386F">
        <w:rPr>
          <w:rFonts w:ascii="Arial" w:hAnsi="Arial" w:cs="Arial"/>
          <w:noProof/>
        </w:rPr>
        <w:t>(Our World in Data, 2025)</w:t>
      </w:r>
      <w:r w:rsidR="00767AE6" w:rsidRPr="0097386F">
        <w:rPr>
          <w:rFonts w:ascii="Arial" w:hAnsi="Arial" w:cs="Arial"/>
        </w:rPr>
        <w:fldChar w:fldCharType="end"/>
      </w:r>
      <w:r w:rsidR="00A947D6" w:rsidRPr="0097386F">
        <w:rPr>
          <w:rFonts w:ascii="Arial" w:hAnsi="Arial" w:cs="Arial"/>
        </w:rPr>
        <w:t>. Although not providing causal evidence, the analysis indicates an association between the ever-tightening EU ETS caps and a reallocation of economic activity away from carbon-intensive activity.</w:t>
      </w:r>
    </w:p>
    <w:p w14:paraId="7A6C6099" w14:textId="7ED2FBA3" w:rsidR="00253AFB" w:rsidRPr="0097386F" w:rsidRDefault="00253AFB" w:rsidP="00253AFB">
      <w:pPr>
        <w:pStyle w:val="Caption"/>
        <w:keepNext/>
        <w:rPr>
          <w:rFonts w:ascii="Arial" w:hAnsi="Arial" w:cs="Arial"/>
          <w:sz w:val="20"/>
          <w:szCs w:val="20"/>
        </w:rPr>
      </w:pPr>
      <w:r w:rsidRPr="0097386F">
        <w:rPr>
          <w:rFonts w:ascii="Arial" w:hAnsi="Arial" w:cs="Arial"/>
          <w:sz w:val="20"/>
          <w:szCs w:val="20"/>
        </w:rPr>
        <w:t xml:space="preserve">Table </w:t>
      </w:r>
      <w:r w:rsidR="00E4751A" w:rsidRPr="0097386F">
        <w:rPr>
          <w:rFonts w:ascii="Arial" w:hAnsi="Arial" w:cs="Arial"/>
          <w:sz w:val="20"/>
          <w:szCs w:val="20"/>
        </w:rPr>
        <w:fldChar w:fldCharType="begin"/>
      </w:r>
      <w:r w:rsidR="00E4751A" w:rsidRPr="0097386F">
        <w:rPr>
          <w:rFonts w:ascii="Arial" w:hAnsi="Arial" w:cs="Arial"/>
          <w:sz w:val="20"/>
          <w:szCs w:val="20"/>
        </w:rPr>
        <w:instrText xml:space="preserve"> SEQ Table \* ARABIC </w:instrText>
      </w:r>
      <w:r w:rsidR="00E4751A" w:rsidRPr="0097386F">
        <w:rPr>
          <w:rFonts w:ascii="Arial" w:hAnsi="Arial" w:cs="Arial"/>
          <w:sz w:val="20"/>
          <w:szCs w:val="20"/>
        </w:rPr>
        <w:fldChar w:fldCharType="separate"/>
      </w:r>
      <w:r w:rsidR="00400589" w:rsidRPr="0097386F">
        <w:rPr>
          <w:rFonts w:ascii="Arial" w:hAnsi="Arial" w:cs="Arial"/>
          <w:noProof/>
          <w:sz w:val="20"/>
          <w:szCs w:val="20"/>
        </w:rPr>
        <w:t>1</w:t>
      </w:r>
      <w:r w:rsidR="00E4751A" w:rsidRPr="0097386F">
        <w:rPr>
          <w:rFonts w:ascii="Arial" w:hAnsi="Arial" w:cs="Arial"/>
          <w:sz w:val="20"/>
          <w:szCs w:val="20"/>
        </w:rPr>
        <w:fldChar w:fldCharType="end"/>
      </w:r>
      <w:r w:rsidRPr="0097386F">
        <w:rPr>
          <w:rFonts w:ascii="Arial" w:hAnsi="Arial" w:cs="Arial"/>
          <w:sz w:val="20"/>
          <w:szCs w:val="20"/>
        </w:rPr>
        <w:t xml:space="preserve"> </w:t>
      </w:r>
      <w:r w:rsidR="00197DBA" w:rsidRPr="0097386F">
        <w:rPr>
          <w:rFonts w:ascii="Arial" w:hAnsi="Arial" w:cs="Arial"/>
          <w:sz w:val="20"/>
          <w:szCs w:val="20"/>
        </w:rPr>
        <w:t>Data calculated from</w:t>
      </w:r>
      <w:r w:rsidRPr="0097386F">
        <w:rPr>
          <w:rFonts w:ascii="Arial" w:hAnsi="Arial" w:cs="Arial"/>
          <w:sz w:val="20"/>
          <w:szCs w:val="20"/>
        </w:rPr>
        <w:t xml:space="preserve"> </w:t>
      </w:r>
      <w:hyperlink r:id="rId8" w:history="1">
        <w:r w:rsidR="00015CDA" w:rsidRPr="0097386F">
          <w:rPr>
            <w:rStyle w:val="Hyperlink"/>
            <w:rFonts w:ascii="Arial" w:hAnsi="Arial" w:cs="Arial"/>
            <w:color w:val="44546A" w:themeColor="text2"/>
            <w:sz w:val="20"/>
            <w:szCs w:val="20"/>
          </w:rPr>
          <w:t xml:space="preserve">European Commission </w:t>
        </w:r>
        <w:r w:rsidR="001B3586" w:rsidRPr="0097386F">
          <w:rPr>
            <w:rStyle w:val="Hyperlink"/>
            <w:rFonts w:ascii="Arial" w:hAnsi="Arial" w:cs="Arial"/>
            <w:color w:val="44546A" w:themeColor="text2"/>
            <w:sz w:val="20"/>
            <w:szCs w:val="20"/>
          </w:rPr>
          <w:t>data</w:t>
        </w:r>
      </w:hyperlink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4682"/>
        <w:gridCol w:w="4327"/>
      </w:tblGrid>
      <w:tr w:rsidR="004F229E" w:rsidRPr="0097386F" w14:paraId="202257DE" w14:textId="77777777" w:rsidTr="004B0D4F">
        <w:trPr>
          <w:trHeight w:val="587"/>
        </w:trPr>
        <w:tc>
          <w:tcPr>
            <w:tcW w:w="4682" w:type="dxa"/>
          </w:tcPr>
          <w:p w14:paraId="0BCB63DE" w14:textId="50F7AC87" w:rsidR="004F229E" w:rsidRPr="0097386F" w:rsidRDefault="005327C4" w:rsidP="004E67DE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>Sector</w:t>
            </w:r>
          </w:p>
        </w:tc>
        <w:tc>
          <w:tcPr>
            <w:tcW w:w="4327" w:type="dxa"/>
          </w:tcPr>
          <w:p w14:paraId="3CB6C359" w14:textId="77777777" w:rsidR="004B0D4F" w:rsidRPr="0097386F" w:rsidRDefault="004F229E" w:rsidP="004E67DE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 xml:space="preserve">Average </w:t>
            </w:r>
            <w:r w:rsidR="009D0883" w:rsidRPr="0097386F">
              <w:rPr>
                <w:rFonts w:ascii="Arial" w:hAnsi="Arial" w:cs="Arial"/>
                <w:b/>
                <w:bCs/>
              </w:rPr>
              <w:t>C0</w:t>
            </w:r>
            <w:r w:rsidR="009D0883" w:rsidRPr="0097386F">
              <w:rPr>
                <w:rFonts w:ascii="Arial" w:hAnsi="Arial" w:cs="Arial"/>
                <w:b/>
                <w:bCs/>
                <w:vertAlign w:val="subscript"/>
              </w:rPr>
              <w:t>2</w:t>
            </w:r>
            <w:r w:rsidR="004B0D4F" w:rsidRPr="0097386F">
              <w:rPr>
                <w:rFonts w:ascii="Arial" w:hAnsi="Arial" w:cs="Arial"/>
                <w:b/>
                <w:bCs/>
              </w:rPr>
              <w:t>e A</w:t>
            </w:r>
            <w:r w:rsidRPr="0097386F">
              <w:rPr>
                <w:rFonts w:ascii="Arial" w:hAnsi="Arial" w:cs="Arial"/>
                <w:b/>
                <w:bCs/>
              </w:rPr>
              <w:t xml:space="preserve">nnual Reduction </w:t>
            </w:r>
          </w:p>
          <w:p w14:paraId="14C2F99E" w14:textId="7460B2C2" w:rsidR="004F229E" w:rsidRPr="0097386F" w:rsidRDefault="004F229E" w:rsidP="004E67DE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>(2019-202</w:t>
            </w:r>
            <w:r w:rsidR="0050352C" w:rsidRPr="0097386F">
              <w:rPr>
                <w:rFonts w:ascii="Arial" w:hAnsi="Arial" w:cs="Arial"/>
                <w:b/>
                <w:bCs/>
              </w:rPr>
              <w:t>3</w:t>
            </w:r>
            <w:r w:rsidRPr="0097386F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4F229E" w:rsidRPr="0097386F" w14:paraId="0B096C61" w14:textId="77777777" w:rsidTr="00A2430F">
        <w:trPr>
          <w:trHeight w:val="166"/>
        </w:trPr>
        <w:tc>
          <w:tcPr>
            <w:tcW w:w="4682" w:type="dxa"/>
          </w:tcPr>
          <w:p w14:paraId="60C117CB" w14:textId="6DDFD1A1" w:rsidR="004F229E" w:rsidRPr="0097386F" w:rsidRDefault="004F229E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Electricity &amp; Heat</w:t>
            </w:r>
            <w:r w:rsidR="007F1D71" w:rsidRPr="0097386F">
              <w:rPr>
                <w:rFonts w:ascii="Arial" w:hAnsi="Arial" w:cs="Arial"/>
              </w:rPr>
              <w:t xml:space="preserve"> Production</w:t>
            </w:r>
          </w:p>
        </w:tc>
        <w:tc>
          <w:tcPr>
            <w:tcW w:w="4327" w:type="dxa"/>
          </w:tcPr>
          <w:p w14:paraId="6ABAA514" w14:textId="28A4DC0B" w:rsidR="004F229E" w:rsidRPr="0097386F" w:rsidRDefault="00B01DCF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10.0</w:t>
            </w:r>
            <w:r w:rsidR="002D7571" w:rsidRPr="0097386F">
              <w:rPr>
                <w:rFonts w:ascii="Arial" w:hAnsi="Arial" w:cs="Arial"/>
              </w:rPr>
              <w:t>%</w:t>
            </w:r>
          </w:p>
        </w:tc>
      </w:tr>
      <w:tr w:rsidR="004F229E" w:rsidRPr="0097386F" w14:paraId="2A07B9BA" w14:textId="77777777" w:rsidTr="00A2430F">
        <w:trPr>
          <w:trHeight w:val="166"/>
        </w:trPr>
        <w:tc>
          <w:tcPr>
            <w:tcW w:w="4682" w:type="dxa"/>
          </w:tcPr>
          <w:p w14:paraId="038F7486" w14:textId="7ED593CB" w:rsidR="004F229E" w:rsidRPr="0097386F" w:rsidRDefault="004F229E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Industrial Production</w:t>
            </w:r>
          </w:p>
        </w:tc>
        <w:tc>
          <w:tcPr>
            <w:tcW w:w="4327" w:type="dxa"/>
          </w:tcPr>
          <w:p w14:paraId="3175DD65" w14:textId="650269E1" w:rsidR="004F229E" w:rsidRPr="0097386F" w:rsidRDefault="0050352C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5.42</w:t>
            </w:r>
            <w:r w:rsidR="002D7571" w:rsidRPr="0097386F">
              <w:rPr>
                <w:rFonts w:ascii="Arial" w:hAnsi="Arial" w:cs="Arial"/>
              </w:rPr>
              <w:t>%</w:t>
            </w:r>
          </w:p>
        </w:tc>
      </w:tr>
      <w:tr w:rsidR="003C2C55" w:rsidRPr="0097386F" w14:paraId="58DE0C76" w14:textId="77777777" w:rsidTr="00A2430F">
        <w:trPr>
          <w:trHeight w:val="166"/>
        </w:trPr>
        <w:tc>
          <w:tcPr>
            <w:tcW w:w="4682" w:type="dxa"/>
          </w:tcPr>
          <w:p w14:paraId="250F4708" w14:textId="58665151" w:rsidR="003C2C55" w:rsidRPr="0097386F" w:rsidRDefault="00631BD3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Aviation</w:t>
            </w:r>
            <w:r w:rsidR="000912B4" w:rsidRPr="0097386F">
              <w:rPr>
                <w:rStyle w:val="FootnoteReference"/>
                <w:rFonts w:ascii="Arial" w:hAnsi="Arial" w:cs="Arial"/>
              </w:rPr>
              <w:footnoteReference w:id="5"/>
            </w:r>
          </w:p>
        </w:tc>
        <w:tc>
          <w:tcPr>
            <w:tcW w:w="4327" w:type="dxa"/>
          </w:tcPr>
          <w:p w14:paraId="5624B26E" w14:textId="42EBA414" w:rsidR="003C2C55" w:rsidRPr="0097386F" w:rsidRDefault="00626435" w:rsidP="004E67DE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(</w:t>
            </w:r>
            <w:r w:rsidR="00BA7B10" w:rsidRPr="0097386F">
              <w:rPr>
                <w:rFonts w:ascii="Arial" w:hAnsi="Arial" w:cs="Arial"/>
              </w:rPr>
              <w:t>1</w:t>
            </w:r>
            <w:r w:rsidR="00D859EC" w:rsidRPr="0097386F">
              <w:rPr>
                <w:rFonts w:ascii="Arial" w:hAnsi="Arial" w:cs="Arial"/>
              </w:rPr>
              <w:t>0</w:t>
            </w:r>
            <w:r w:rsidR="00BA7B10" w:rsidRPr="0097386F">
              <w:rPr>
                <w:rFonts w:ascii="Arial" w:hAnsi="Arial" w:cs="Arial"/>
              </w:rPr>
              <w:t>.</w:t>
            </w:r>
            <w:r w:rsidR="00D859EC" w:rsidRPr="0097386F">
              <w:rPr>
                <w:rFonts w:ascii="Arial" w:hAnsi="Arial" w:cs="Arial"/>
              </w:rPr>
              <w:t>9</w:t>
            </w:r>
            <w:r w:rsidR="002D7571" w:rsidRPr="0097386F">
              <w:rPr>
                <w:rFonts w:ascii="Arial" w:hAnsi="Arial" w:cs="Arial"/>
              </w:rPr>
              <w:t>%</w:t>
            </w:r>
            <w:r w:rsidRPr="0097386F">
              <w:rPr>
                <w:rFonts w:ascii="Arial" w:hAnsi="Arial" w:cs="Arial"/>
              </w:rPr>
              <w:t>)</w:t>
            </w:r>
          </w:p>
        </w:tc>
      </w:tr>
    </w:tbl>
    <w:p w14:paraId="37D049A7" w14:textId="77777777" w:rsidR="00400589" w:rsidRPr="0097386F" w:rsidRDefault="00400589" w:rsidP="004E67DE">
      <w:pPr>
        <w:rPr>
          <w:rFonts w:ascii="Arial" w:hAnsi="Arial" w:cs="Arial"/>
        </w:rPr>
      </w:pPr>
    </w:p>
    <w:p w14:paraId="6C7ADFDE" w14:textId="6F7C2173" w:rsidR="00DD7D64" w:rsidRPr="0097386F" w:rsidRDefault="00DD7D64" w:rsidP="004E67DE">
      <w:pPr>
        <w:rPr>
          <w:rFonts w:ascii="Arial" w:hAnsi="Arial" w:cs="Arial"/>
        </w:rPr>
      </w:pPr>
      <w:r w:rsidRPr="0097386F">
        <w:rPr>
          <w:rFonts w:ascii="Arial" w:hAnsi="Arial" w:cs="Arial"/>
        </w:rPr>
        <w:lastRenderedPageBreak/>
        <w:t>Table 2 compiles sectoral emissions data for California over the same period</w:t>
      </w:r>
      <w:r w:rsidRPr="0097386F">
        <w:rPr>
          <w:rStyle w:val="FootnoteReference"/>
          <w:rFonts w:ascii="Arial" w:hAnsi="Arial" w:cs="Arial"/>
        </w:rPr>
        <w:footnoteReference w:id="6"/>
      </w:r>
      <w:r w:rsidRPr="0097386F">
        <w:rPr>
          <w:rFonts w:ascii="Arial" w:hAnsi="Arial" w:cs="Arial"/>
        </w:rPr>
        <w:t>.</w:t>
      </w:r>
      <w:r w:rsidR="00AE7511" w:rsidRPr="0097386F">
        <w:rPr>
          <w:rFonts w:ascii="Arial" w:hAnsi="Arial" w:cs="Arial"/>
        </w:rPr>
        <w:t xml:space="preserve"> </w:t>
      </w:r>
      <w:r w:rsidRPr="0097386F">
        <w:rPr>
          <w:rFonts w:ascii="Arial" w:hAnsi="Arial" w:cs="Arial"/>
        </w:rPr>
        <w:t>Unlike the EU, Californian Industrial production has seen steady growth of the period of study while simultaneously steadily reducing emissions</w:t>
      </w:r>
      <w:r w:rsidR="00C7325F" w:rsidRPr="0097386F">
        <w:rPr>
          <w:rFonts w:ascii="Arial" w:hAnsi="Arial" w:cs="Arial"/>
        </w:rPr>
        <w:t xml:space="preserve"> </w:t>
      </w:r>
      <w:r w:rsidR="00C7325F" w:rsidRPr="0097386F">
        <w:rPr>
          <w:rFonts w:ascii="Arial" w:hAnsi="Arial" w:cs="Arial"/>
        </w:rPr>
        <w:fldChar w:fldCharType="begin"/>
      </w:r>
      <w:r w:rsidR="00792786" w:rsidRPr="0097386F">
        <w:rPr>
          <w:rFonts w:ascii="Arial" w:hAnsi="Arial" w:cs="Arial"/>
        </w:rPr>
        <w:instrText xml:space="preserve"> ADDIN EN.CITE &lt;EndNote&gt;&lt;Cite&gt;&lt;Author&gt;Analysis&lt;/Author&gt;&lt;Year&gt;2025&lt;/Year&gt;&lt;RecNum&gt;73&lt;/RecNum&gt;&lt;DisplayText&gt;(Analysis, 2025)&lt;/DisplayText&gt;&lt;record&gt;&lt;rec-number&gt;73&lt;/rec-number&gt;&lt;foreign-keys&gt;&lt;key app="EN" db-id="ttwsetvfy922vjexsf4xxeslw250dxrsttf5" timestamp="1769072210"&gt;73&lt;/key&gt;&lt;/foreign-keys&gt;&lt;ref-type name="Generic"&gt;13&lt;/ref-type&gt;&lt;contributors&gt;&lt;authors&gt;&lt;author&gt;U. S. Bureau of Economic Analysis&lt;/author&gt;&lt;/authors&gt;&lt;/contributors&gt;&lt;titles&gt;&lt;title&gt;Gross Domestic Product: All Industry Total in California (FRED series CANGSP)&lt;/title&gt;&lt;/titles&gt;&lt;dates&gt;&lt;year&gt;2025&lt;/year&gt;&lt;pub-dates&gt;&lt;date&gt;2025&lt;/date&gt;&lt;/pub-dates&gt;&lt;/dates&gt;&lt;urls&gt;&lt;related-urls&gt;&lt;url&gt;https://fred.stlouisfed.org/series/CANGSP&lt;/url&gt;&lt;/related-urls&gt;&lt;/urls&gt;&lt;/record&gt;&lt;/Cite&gt;&lt;/EndNote&gt;</w:instrText>
      </w:r>
      <w:r w:rsidR="00C7325F" w:rsidRPr="0097386F">
        <w:rPr>
          <w:rFonts w:ascii="Arial" w:hAnsi="Arial" w:cs="Arial"/>
        </w:rPr>
        <w:fldChar w:fldCharType="separate"/>
      </w:r>
      <w:r w:rsidR="00792786" w:rsidRPr="0097386F">
        <w:rPr>
          <w:rFonts w:ascii="Arial" w:hAnsi="Arial" w:cs="Arial"/>
          <w:noProof/>
        </w:rPr>
        <w:t>(Analysis, 2025)</w:t>
      </w:r>
      <w:r w:rsidR="00C7325F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 xml:space="preserve">. The wider economy has grown in tandem, with average annual GDP growth of 5.8% and healthy employment </w:t>
      </w:r>
      <w:r w:rsidR="00BB56DE" w:rsidRPr="0097386F">
        <w:rPr>
          <w:rFonts w:ascii="Arial" w:hAnsi="Arial" w:cs="Arial"/>
        </w:rPr>
        <w:fldChar w:fldCharType="begin"/>
      </w:r>
      <w:r w:rsidR="00792786" w:rsidRPr="0097386F">
        <w:rPr>
          <w:rFonts w:ascii="Arial" w:hAnsi="Arial" w:cs="Arial"/>
        </w:rPr>
        <w:instrText xml:space="preserve"> ADDIN EN.CITE &lt;EndNote&gt;&lt;Cite&gt;&lt;Author&gt;U.S. Bureau of Economic Analysis&lt;/Author&gt;&lt;Year&gt;2025&lt;/Year&gt;&lt;RecNum&gt;74&lt;/RecNum&gt;&lt;DisplayText&gt;(U.S. Bureau of Economic Analysis, 2025)&lt;/DisplayText&gt;&lt;record&gt;&lt;rec-number&gt;74&lt;/rec-number&gt;&lt;foreign-keys&gt;&lt;key app="EN" db-id="ttwsetvfy922vjexsf4xxeslw250dxrsttf5" timestamp="1769072247"&gt;74&lt;/key&gt;&lt;/foreign-keys&gt;&lt;ref-type name="Generic"&gt;13&lt;/ref-type&gt;&lt;contributors&gt;&lt;authors&gt;&lt;author&gt;U.S. Bureau of Economic Analysis,&lt;/author&gt;&lt;/authors&gt;&lt;/contributors&gt;&lt;titles&gt;&lt;title&gt;Gross Domestic Product (GDP) by State&lt;/title&gt;&lt;/titles&gt;&lt;dates&gt;&lt;year&gt;2025&lt;/year&gt;&lt;pub-dates&gt;&lt;date&gt;2025&lt;/date&gt;&lt;/pub-dates&gt;&lt;/dates&gt;&lt;urls&gt;&lt;related-urls&gt;&lt;url&gt;https://www.bea.gov/data/gdp/gdp-state&lt;/url&gt;&lt;/related-urls&gt;&lt;/urls&gt;&lt;/record&gt;&lt;/Cite&gt;&lt;/EndNote&gt;</w:instrText>
      </w:r>
      <w:r w:rsidR="00BB56DE" w:rsidRPr="0097386F">
        <w:rPr>
          <w:rFonts w:ascii="Arial" w:hAnsi="Arial" w:cs="Arial"/>
        </w:rPr>
        <w:fldChar w:fldCharType="separate"/>
      </w:r>
      <w:r w:rsidR="00792786" w:rsidRPr="0097386F">
        <w:rPr>
          <w:rFonts w:ascii="Arial" w:hAnsi="Arial" w:cs="Arial"/>
          <w:noProof/>
        </w:rPr>
        <w:t>(U.S. Bureau of Economic Analysis, 2025)</w:t>
      </w:r>
      <w:r w:rsidR="00BB56DE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>. The notable increase in mining emissions over the period highlight</w:t>
      </w:r>
      <w:r w:rsidR="00890657" w:rsidRPr="0097386F">
        <w:rPr>
          <w:rFonts w:ascii="Arial" w:hAnsi="Arial" w:cs="Arial"/>
        </w:rPr>
        <w:t xml:space="preserve">s the </w:t>
      </w:r>
      <w:r w:rsidR="00400589" w:rsidRPr="0097386F">
        <w:rPr>
          <w:rFonts w:ascii="Arial" w:hAnsi="Arial" w:cs="Arial"/>
        </w:rPr>
        <w:t>high cost of abatement in this industry, if it is possible at all.</w:t>
      </w:r>
    </w:p>
    <w:p w14:paraId="10E49752" w14:textId="338DEC7E" w:rsidR="00101E36" w:rsidRPr="0097386F" w:rsidRDefault="00400589" w:rsidP="004E67DE">
      <w:pPr>
        <w:rPr>
          <w:rFonts w:ascii="Arial" w:hAnsi="Arial" w:cs="Arial"/>
        </w:rPr>
      </w:pPr>
      <w:r w:rsidRPr="0097386F">
        <w:rPr>
          <w:rFonts w:ascii="Arial" w:hAnsi="Arial" w:cs="Arial"/>
        </w:rPr>
        <w:t>Surprisingly, transport emissions have reduced annually by an average of 3.8%, indicating a decoupling from economic activity. This may in part be the result of</w:t>
      </w:r>
      <w:r w:rsidR="006E4D23" w:rsidRPr="0097386F">
        <w:rPr>
          <w:rFonts w:ascii="Arial" w:hAnsi="Arial" w:cs="Arial"/>
        </w:rPr>
        <w:t xml:space="preserve"> a</w:t>
      </w:r>
      <w:r w:rsidRPr="0097386F">
        <w:rPr>
          <w:rFonts w:ascii="Arial" w:hAnsi="Arial" w:cs="Arial"/>
        </w:rPr>
        <w:t xml:space="preserve"> $5 Billion reinvestment of Cap and Trade auction proceeds in transport projects</w:t>
      </w:r>
      <w:r w:rsidR="0055054E" w:rsidRPr="0097386F">
        <w:rPr>
          <w:rFonts w:ascii="Arial" w:hAnsi="Arial" w:cs="Arial"/>
        </w:rPr>
        <w:t xml:space="preserve"> </w:t>
      </w:r>
      <w:r w:rsidR="001D4C3B" w:rsidRPr="0097386F">
        <w:rPr>
          <w:rFonts w:ascii="Arial" w:hAnsi="Arial" w:cs="Arial"/>
        </w:rPr>
        <w:fldChar w:fldCharType="begin"/>
      </w:r>
      <w:r w:rsidR="001D4C3B" w:rsidRPr="0097386F">
        <w:rPr>
          <w:rFonts w:ascii="Arial" w:hAnsi="Arial" w:cs="Arial"/>
        </w:rPr>
        <w:instrText xml:space="preserve"> ADDIN EN.CITE &lt;EndNote&gt;&lt;Cite&gt;&lt;Author&gt;California Air Resources Board&lt;/Author&gt;&lt;Year&gt;2025&lt;/Year&gt;&lt;RecNum&gt;75&lt;/RecNum&gt;&lt;DisplayText&gt;(California Air Resources Board, 2025d)&lt;/DisplayText&gt;&lt;record&gt;&lt;rec-number&gt;75&lt;/rec-number&gt;&lt;foreign-keys&gt;&lt;key app="EN" db-id="ttwsetvfy922vjexsf4xxeslw250dxrsttf5" timestamp="1769072411"&gt;75&lt;/key&gt;&lt;/foreign-keys&gt;&lt;ref-type name="Generic"&gt;13&lt;/ref-type&gt;&lt;contributors&gt;&lt;authors&gt;&lt;author&gt;California Air Resources Board,&lt;/author&gt;&lt;/authors&gt;&lt;/contributors&gt;&lt;titles&gt;&lt;title&gt;California Climate Investments Data Dashboard&lt;/title&gt;&lt;/titles&gt;&lt;dates&gt;&lt;year&gt;2025&lt;/year&gt;&lt;pub-dates&gt;&lt;date&gt;2025&lt;/date&gt;&lt;/pub-dates&gt;&lt;/dates&gt;&lt;urls&gt;&lt;related-urls&gt;&lt;url&gt;https://www.caclimateinvestments.ca.gov/cci-data-dashboard&lt;/url&gt;&lt;/related-urls&gt;&lt;/urls&gt;&lt;/record&gt;&lt;/Cite&gt;&lt;/EndNote&gt;</w:instrText>
      </w:r>
      <w:r w:rsidR="001D4C3B" w:rsidRPr="0097386F">
        <w:rPr>
          <w:rFonts w:ascii="Arial" w:hAnsi="Arial" w:cs="Arial"/>
        </w:rPr>
        <w:fldChar w:fldCharType="separate"/>
      </w:r>
      <w:r w:rsidR="001D4C3B" w:rsidRPr="0097386F">
        <w:rPr>
          <w:rFonts w:ascii="Arial" w:hAnsi="Arial" w:cs="Arial"/>
          <w:noProof/>
        </w:rPr>
        <w:t>(California Air Resources Board, 2025d)</w:t>
      </w:r>
      <w:r w:rsidR="001D4C3B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>. However, as noted by Holliman and Collins</w:t>
      </w:r>
      <w:r w:rsidR="009E4F1B"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</w:rPr>
        <w:t xml:space="preserve"> </w:t>
      </w:r>
      <w:r w:rsidR="009E4F1B" w:rsidRPr="0097386F">
        <w:rPr>
          <w:rFonts w:ascii="Arial" w:hAnsi="Arial" w:cs="Arial"/>
        </w:rPr>
        <w:fldChar w:fldCharType="begin"/>
      </w:r>
      <w:r w:rsidR="009E4F1B" w:rsidRPr="0097386F">
        <w:rPr>
          <w:rFonts w:ascii="Arial" w:hAnsi="Arial" w:cs="Arial"/>
        </w:rPr>
        <w:instrText xml:space="preserve"> ADDIN EN.CITE &lt;EndNote&gt;&lt;Cite ExcludeAuth="1"&gt;&lt;Author&gt;Holliman&lt;/Author&gt;&lt;Year&gt;2023&lt;/Year&gt;&lt;RecNum&gt;68&lt;/RecNum&gt;&lt;DisplayText&gt;(2023)&lt;/DisplayText&gt;&lt;record&gt;&lt;rec-number&gt;68&lt;/rec-number&gt;&lt;foreign-keys&gt;&lt;key app="EN" db-id="ttwsetvfy922vjexsf4xxeslw250dxrsttf5" timestamp="1769071650"&gt;68&lt;/key&gt;&lt;/foreign-keys&gt;&lt;ref-type name="Journal Article"&gt;17&lt;/ref-type&gt;&lt;contributors&gt;&lt;authors&gt;&lt;author&gt;Holliman, Alvin&lt;/author&gt;&lt;author&gt;Collins, Kimberly&lt;/author&gt;&lt;/authors&gt;&lt;/contributors&gt;&lt;titles&gt;&lt;title&gt;California’s cap-and-trade program: is it effective in advancing socia l, economic, and environmental equity?&lt;/title&gt;&lt;secondary-title&gt;Public Administration and Policy: An Asia-Pacific Journal&lt;/secondary-title&gt;&lt;/titles&gt;&lt;periodical&gt;&lt;full-title&gt;Public Administration and Policy: An Asia-Pacific Journal&lt;/full-title&gt;&lt;/periodical&gt;&lt;pages&gt;128-141&lt;/pages&gt;&lt;volume&gt;26&lt;/volume&gt;&lt;number&gt;2&lt;/number&gt;&lt;dates&gt;&lt;year&gt;2023&lt;/year&gt;&lt;pub-dates&gt;&lt;date&gt;2023&lt;/date&gt;&lt;/pub-dates&gt;&lt;/dates&gt;&lt;urls&gt;&lt;related-urls&gt;&lt;url&gt;https://www.emerald.com/insight/content/doi/10.1108/PAP-06-2022-0069&lt;/url&gt;&lt;/related-urls&gt;&lt;/urls&gt;&lt;electronic-resource-num&gt;10.1108/PAP-06-2022-0069&lt;/electronic-resource-num&gt;&lt;/record&gt;&lt;/Cite&gt;&lt;/EndNote&gt;</w:instrText>
      </w:r>
      <w:r w:rsidR="009E4F1B" w:rsidRPr="0097386F">
        <w:rPr>
          <w:rFonts w:ascii="Arial" w:hAnsi="Arial" w:cs="Arial"/>
        </w:rPr>
        <w:fldChar w:fldCharType="separate"/>
      </w:r>
      <w:r w:rsidR="009E4F1B" w:rsidRPr="0097386F">
        <w:rPr>
          <w:rFonts w:ascii="Arial" w:hAnsi="Arial" w:cs="Arial"/>
          <w:noProof/>
        </w:rPr>
        <w:t>(2023)</w:t>
      </w:r>
      <w:r w:rsidR="009E4F1B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>, the cost of this shift may be unduly carried by California’s lower income population. The high level of auction funds directed to disadvantaged and low-income communities may negate this regressive effect</w:t>
      </w:r>
      <w:r w:rsidR="00AD117F" w:rsidRPr="0097386F">
        <w:rPr>
          <w:rFonts w:ascii="Arial" w:hAnsi="Arial" w:cs="Arial"/>
        </w:rPr>
        <w:t xml:space="preserve">, as argued by </w:t>
      </w:r>
      <w:r w:rsidR="000350AE" w:rsidRPr="0097386F">
        <w:rPr>
          <w:rFonts w:ascii="Arial" w:hAnsi="Arial" w:cs="Arial"/>
        </w:rPr>
        <w:t>Me</w:t>
      </w:r>
      <w:r w:rsidR="00EA4FE2" w:rsidRPr="0097386F">
        <w:rPr>
          <w:rFonts w:ascii="Arial" w:hAnsi="Arial" w:cs="Arial"/>
        </w:rPr>
        <w:t>t</w:t>
      </w:r>
      <w:r w:rsidR="000350AE" w:rsidRPr="0097386F">
        <w:rPr>
          <w:rFonts w:ascii="Arial" w:hAnsi="Arial" w:cs="Arial"/>
        </w:rPr>
        <w:t xml:space="preserve">calf, </w:t>
      </w:r>
      <w:r w:rsidR="00EA4FE2" w:rsidRPr="0097386F">
        <w:rPr>
          <w:rFonts w:ascii="Arial" w:hAnsi="Arial" w:cs="Arial"/>
        </w:rPr>
        <w:fldChar w:fldCharType="begin"/>
      </w:r>
      <w:r w:rsidR="00EA4FE2" w:rsidRPr="0097386F">
        <w:rPr>
          <w:rFonts w:ascii="Arial" w:hAnsi="Arial" w:cs="Arial"/>
        </w:rPr>
        <w:instrText xml:space="preserve"> ADDIN EN.CITE &lt;EndNote&gt;&lt;Cite ExcludeAuth="1"&gt;&lt;Author&gt;Metcalf&lt;/Author&gt;&lt;Year&gt;2023&lt;/Year&gt;&lt;RecNum&gt;55&lt;/RecNum&gt;&lt;DisplayText&gt;(2023)&lt;/DisplayText&gt;&lt;record&gt;&lt;rec-number&gt;55&lt;/rec-number&gt;&lt;foreign-keys&gt;&lt;key app="EN" db-id="ttwsetvfy922vjexsf4xxeslw250dxrsttf5" timestamp="1769070803"&gt;55&lt;/key&gt;&lt;/foreign-keys&gt;&lt;ref-type name="Journal Article"&gt;17&lt;/ref-type&gt;&lt;contributors&gt;&lt;authors&gt;&lt;author&gt;Metcalf, Gilbert E.&lt;/author&gt;&lt;/authors&gt;&lt;/contributors&gt;&lt;titles&gt;&lt;title&gt;Five myths about carbon pricing&lt;/title&gt;&lt;secondary-title&gt;Oxford Review of Economic Policy&lt;/secondary-title&gt;&lt;/titles&gt;&lt;periodical&gt;&lt;full-title&gt;Oxford Review of Economic Policy&lt;/full-title&gt;&lt;/periodical&gt;&lt;pages&gt;680-693&lt;/pages&gt;&lt;volume&gt;39&lt;/volume&gt;&lt;number&gt;4&lt;/number&gt;&lt;dates&gt;&lt;year&gt;2023&lt;/year&gt;&lt;pub-dates&gt;&lt;date&gt;2023&lt;/date&gt;&lt;/pub-dates&gt;&lt;/dates&gt;&lt;urls&gt;&lt;related-urls&gt;&lt;url&gt;https://doi.org/10.1093/oxrep/grad042&lt;/url&gt;&lt;/related-urls&gt;&lt;/urls&gt;&lt;electronic-resource-num&gt;10.1093/oxrep/grad042&lt;/electronic-resource-num&gt;&lt;/record&gt;&lt;/Cite&gt;&lt;/EndNote&gt;</w:instrText>
      </w:r>
      <w:r w:rsidR="00EA4FE2" w:rsidRPr="0097386F">
        <w:rPr>
          <w:rFonts w:ascii="Arial" w:hAnsi="Arial" w:cs="Arial"/>
        </w:rPr>
        <w:fldChar w:fldCharType="separate"/>
      </w:r>
      <w:r w:rsidR="00EA4FE2" w:rsidRPr="0097386F">
        <w:rPr>
          <w:rFonts w:ascii="Arial" w:hAnsi="Arial" w:cs="Arial"/>
          <w:noProof/>
        </w:rPr>
        <w:t>(2023)</w:t>
      </w:r>
      <w:r w:rsidR="00EA4FE2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>. The success of transport sector emissions abatement provides a roadmap to the EU ETS 2 scheme, due to launch in 2028.</w:t>
      </w:r>
    </w:p>
    <w:p w14:paraId="7DA0BC63" w14:textId="2E9CDC76" w:rsidR="005F042B" w:rsidRPr="0097386F" w:rsidRDefault="005F042B" w:rsidP="005F042B">
      <w:pPr>
        <w:pStyle w:val="Caption"/>
        <w:keepNext/>
        <w:rPr>
          <w:rFonts w:ascii="Arial" w:hAnsi="Arial" w:cs="Arial"/>
          <w:sz w:val="20"/>
          <w:szCs w:val="20"/>
        </w:rPr>
      </w:pPr>
      <w:r w:rsidRPr="0097386F">
        <w:rPr>
          <w:rFonts w:ascii="Arial" w:hAnsi="Arial" w:cs="Arial"/>
          <w:sz w:val="20"/>
          <w:szCs w:val="20"/>
        </w:rPr>
        <w:t xml:space="preserve">Table </w:t>
      </w:r>
      <w:r w:rsidR="00E4751A" w:rsidRPr="0097386F">
        <w:rPr>
          <w:rFonts w:ascii="Arial" w:hAnsi="Arial" w:cs="Arial"/>
          <w:sz w:val="20"/>
          <w:szCs w:val="20"/>
        </w:rPr>
        <w:fldChar w:fldCharType="begin"/>
      </w:r>
      <w:r w:rsidR="00E4751A" w:rsidRPr="0097386F">
        <w:rPr>
          <w:rFonts w:ascii="Arial" w:hAnsi="Arial" w:cs="Arial"/>
          <w:sz w:val="20"/>
          <w:szCs w:val="20"/>
        </w:rPr>
        <w:instrText xml:space="preserve"> SEQ Table \* ARABIC </w:instrText>
      </w:r>
      <w:r w:rsidR="00E4751A" w:rsidRPr="0097386F">
        <w:rPr>
          <w:rFonts w:ascii="Arial" w:hAnsi="Arial" w:cs="Arial"/>
          <w:sz w:val="20"/>
          <w:szCs w:val="20"/>
        </w:rPr>
        <w:fldChar w:fldCharType="separate"/>
      </w:r>
      <w:r w:rsidR="00400589" w:rsidRPr="0097386F">
        <w:rPr>
          <w:rFonts w:ascii="Arial" w:hAnsi="Arial" w:cs="Arial"/>
          <w:noProof/>
          <w:sz w:val="20"/>
          <w:szCs w:val="20"/>
        </w:rPr>
        <w:t>2</w:t>
      </w:r>
      <w:r w:rsidR="00E4751A" w:rsidRPr="0097386F">
        <w:rPr>
          <w:rFonts w:ascii="Arial" w:hAnsi="Arial" w:cs="Arial"/>
          <w:sz w:val="20"/>
          <w:szCs w:val="20"/>
        </w:rPr>
        <w:fldChar w:fldCharType="end"/>
      </w:r>
      <w:r w:rsidRPr="0097386F">
        <w:rPr>
          <w:rFonts w:ascii="Arial" w:hAnsi="Arial" w:cs="Arial"/>
          <w:sz w:val="20"/>
          <w:szCs w:val="20"/>
        </w:rPr>
        <w:t xml:space="preserve"> Data calculated from</w:t>
      </w:r>
      <w:r w:rsidR="001F6F56" w:rsidRPr="0097386F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1F6F56" w:rsidRPr="0097386F">
          <w:rPr>
            <w:rStyle w:val="Hyperlink"/>
            <w:rFonts w:ascii="Arial" w:hAnsi="Arial" w:cs="Arial"/>
            <w:color w:val="44546A" w:themeColor="text2"/>
            <w:sz w:val="20"/>
            <w:szCs w:val="20"/>
          </w:rPr>
          <w:t>California Air Resources Board data</w:t>
        </w:r>
      </w:hyperlink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4682"/>
        <w:gridCol w:w="4327"/>
      </w:tblGrid>
      <w:tr w:rsidR="004B0D4F" w:rsidRPr="0097386F" w14:paraId="442272A7" w14:textId="77777777" w:rsidTr="004B0D4F">
        <w:trPr>
          <w:trHeight w:val="578"/>
        </w:trPr>
        <w:tc>
          <w:tcPr>
            <w:tcW w:w="4682" w:type="dxa"/>
          </w:tcPr>
          <w:p w14:paraId="24695298" w14:textId="77777777" w:rsidR="004B0D4F" w:rsidRPr="0097386F" w:rsidRDefault="004B0D4F" w:rsidP="004B0D4F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>Sector</w:t>
            </w:r>
          </w:p>
        </w:tc>
        <w:tc>
          <w:tcPr>
            <w:tcW w:w="4327" w:type="dxa"/>
          </w:tcPr>
          <w:p w14:paraId="58642B55" w14:textId="77777777" w:rsidR="004B0D4F" w:rsidRPr="0097386F" w:rsidRDefault="004B0D4F" w:rsidP="004B0D4F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>Average C0</w:t>
            </w:r>
            <w:r w:rsidRPr="0097386F">
              <w:rPr>
                <w:rFonts w:ascii="Arial" w:hAnsi="Arial" w:cs="Arial"/>
                <w:b/>
                <w:bCs/>
                <w:vertAlign w:val="subscript"/>
              </w:rPr>
              <w:t>2</w:t>
            </w:r>
            <w:r w:rsidRPr="0097386F">
              <w:rPr>
                <w:rFonts w:ascii="Arial" w:hAnsi="Arial" w:cs="Arial"/>
                <w:b/>
                <w:bCs/>
              </w:rPr>
              <w:t xml:space="preserve">e Annual Reduction </w:t>
            </w:r>
          </w:p>
          <w:p w14:paraId="7792570D" w14:textId="15DF2EFA" w:rsidR="004B0D4F" w:rsidRPr="0097386F" w:rsidRDefault="004B0D4F" w:rsidP="004B0D4F">
            <w:pPr>
              <w:rPr>
                <w:rFonts w:ascii="Arial" w:hAnsi="Arial" w:cs="Arial"/>
                <w:b/>
                <w:bCs/>
              </w:rPr>
            </w:pPr>
            <w:r w:rsidRPr="0097386F">
              <w:rPr>
                <w:rFonts w:ascii="Arial" w:hAnsi="Arial" w:cs="Arial"/>
                <w:b/>
                <w:bCs/>
              </w:rPr>
              <w:t>(2019-2023)</w:t>
            </w:r>
          </w:p>
        </w:tc>
      </w:tr>
      <w:tr w:rsidR="004B0D4F" w:rsidRPr="0097386F" w14:paraId="7DD68976" w14:textId="77777777" w:rsidTr="00A36663">
        <w:trPr>
          <w:trHeight w:val="166"/>
        </w:trPr>
        <w:tc>
          <w:tcPr>
            <w:tcW w:w="4682" w:type="dxa"/>
          </w:tcPr>
          <w:p w14:paraId="78953DEA" w14:textId="4FBAE740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Power Production</w:t>
            </w:r>
          </w:p>
        </w:tc>
        <w:tc>
          <w:tcPr>
            <w:tcW w:w="4327" w:type="dxa"/>
          </w:tcPr>
          <w:p w14:paraId="107544A1" w14:textId="0AA6CFE6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2.5%</w:t>
            </w:r>
          </w:p>
        </w:tc>
      </w:tr>
      <w:tr w:rsidR="004B0D4F" w:rsidRPr="0097386F" w14:paraId="4C27DF38" w14:textId="77777777" w:rsidTr="00A36663">
        <w:trPr>
          <w:trHeight w:val="166"/>
        </w:trPr>
        <w:tc>
          <w:tcPr>
            <w:tcW w:w="4682" w:type="dxa"/>
          </w:tcPr>
          <w:p w14:paraId="2A645DD1" w14:textId="77777777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Industrial Production</w:t>
            </w:r>
          </w:p>
        </w:tc>
        <w:tc>
          <w:tcPr>
            <w:tcW w:w="4327" w:type="dxa"/>
          </w:tcPr>
          <w:p w14:paraId="676FEEC5" w14:textId="3C824FCB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2.9%</w:t>
            </w:r>
          </w:p>
        </w:tc>
      </w:tr>
      <w:tr w:rsidR="004B0D4F" w:rsidRPr="0097386F" w14:paraId="6672B131" w14:textId="77777777" w:rsidTr="00A36663">
        <w:trPr>
          <w:trHeight w:val="166"/>
        </w:trPr>
        <w:tc>
          <w:tcPr>
            <w:tcW w:w="4682" w:type="dxa"/>
          </w:tcPr>
          <w:p w14:paraId="30AB5783" w14:textId="524ECE2A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Mining</w:t>
            </w:r>
          </w:p>
        </w:tc>
        <w:tc>
          <w:tcPr>
            <w:tcW w:w="4327" w:type="dxa"/>
          </w:tcPr>
          <w:p w14:paraId="38491335" w14:textId="6E3C0326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(11.9%)</w:t>
            </w:r>
          </w:p>
        </w:tc>
      </w:tr>
      <w:tr w:rsidR="004B0D4F" w:rsidRPr="0097386F" w14:paraId="3C06D77F" w14:textId="77777777" w:rsidTr="00A36663">
        <w:trPr>
          <w:trHeight w:val="166"/>
        </w:trPr>
        <w:tc>
          <w:tcPr>
            <w:tcW w:w="4682" w:type="dxa"/>
          </w:tcPr>
          <w:p w14:paraId="5736090E" w14:textId="63D4AC68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Buildings</w:t>
            </w:r>
          </w:p>
        </w:tc>
        <w:tc>
          <w:tcPr>
            <w:tcW w:w="4327" w:type="dxa"/>
          </w:tcPr>
          <w:p w14:paraId="4F063407" w14:textId="0F51B1EF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(2.7%)</w:t>
            </w:r>
          </w:p>
        </w:tc>
      </w:tr>
      <w:tr w:rsidR="004B0D4F" w:rsidRPr="0097386F" w14:paraId="15ED80BE" w14:textId="77777777" w:rsidTr="00A36663">
        <w:trPr>
          <w:trHeight w:val="166"/>
        </w:trPr>
        <w:tc>
          <w:tcPr>
            <w:tcW w:w="4682" w:type="dxa"/>
          </w:tcPr>
          <w:p w14:paraId="1BC4D9A6" w14:textId="685C4592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Transport</w:t>
            </w:r>
          </w:p>
        </w:tc>
        <w:tc>
          <w:tcPr>
            <w:tcW w:w="4327" w:type="dxa"/>
          </w:tcPr>
          <w:p w14:paraId="69DE72F8" w14:textId="4C23CB4E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3.8%</w:t>
            </w:r>
          </w:p>
        </w:tc>
      </w:tr>
      <w:tr w:rsidR="004B0D4F" w:rsidRPr="0097386F" w14:paraId="77CE7EF5" w14:textId="77777777" w:rsidTr="00A36663">
        <w:trPr>
          <w:trHeight w:val="166"/>
        </w:trPr>
        <w:tc>
          <w:tcPr>
            <w:tcW w:w="4682" w:type="dxa"/>
          </w:tcPr>
          <w:p w14:paraId="385238C5" w14:textId="1BBF99DB" w:rsidR="004B0D4F" w:rsidRPr="0097386F" w:rsidRDefault="004B0D4F" w:rsidP="004B0D4F">
            <w:pPr>
              <w:rPr>
                <w:rFonts w:ascii="Arial" w:hAnsi="Arial" w:cs="Arial"/>
              </w:rPr>
            </w:pPr>
            <w:r w:rsidRPr="0097386F">
              <w:rPr>
                <w:rFonts w:ascii="Arial" w:hAnsi="Arial" w:cs="Arial"/>
              </w:rPr>
              <w:t>Agriculture</w:t>
            </w:r>
          </w:p>
        </w:tc>
        <w:tc>
          <w:tcPr>
            <w:tcW w:w="4327" w:type="dxa"/>
          </w:tcPr>
          <w:p w14:paraId="4558B96E" w14:textId="143B52FE" w:rsidR="004B0D4F" w:rsidRPr="0097386F" w:rsidRDefault="004B0D4F" w:rsidP="004B0D4F">
            <w:pPr>
              <w:rPr>
                <w:rFonts w:ascii="Arial" w:hAnsi="Arial" w:cs="Arial"/>
                <w:color w:val="000000"/>
              </w:rPr>
            </w:pPr>
            <w:r w:rsidRPr="0097386F">
              <w:rPr>
                <w:rFonts w:ascii="Arial" w:hAnsi="Arial" w:cs="Arial"/>
                <w:color w:val="000000"/>
              </w:rPr>
              <w:t>2.0%</w:t>
            </w:r>
          </w:p>
        </w:tc>
      </w:tr>
    </w:tbl>
    <w:p w14:paraId="3D9B79FA" w14:textId="77777777" w:rsidR="00242BE1" w:rsidRPr="0097386F" w:rsidRDefault="00242BE1" w:rsidP="004E67DE">
      <w:pPr>
        <w:rPr>
          <w:rFonts w:ascii="Arial" w:hAnsi="Arial" w:cs="Arial"/>
        </w:rPr>
      </w:pPr>
    </w:p>
    <w:p w14:paraId="38F72C4A" w14:textId="11B9AAC5" w:rsidR="006D30EC" w:rsidRPr="0097386F" w:rsidRDefault="00400589" w:rsidP="00F52D6B">
      <w:pPr>
        <w:rPr>
          <w:rFonts w:ascii="Arial" w:hAnsi="Arial" w:cs="Arial"/>
        </w:rPr>
      </w:pPr>
      <w:r w:rsidRPr="0097386F">
        <w:rPr>
          <w:rFonts w:ascii="Arial" w:hAnsi="Arial" w:cs="Arial"/>
        </w:rPr>
        <w:t>California’s</w:t>
      </w:r>
      <w:r w:rsidR="00790087" w:rsidRPr="0097386F">
        <w:rPr>
          <w:rFonts w:ascii="Arial" w:hAnsi="Arial" w:cs="Arial"/>
        </w:rPr>
        <w:t xml:space="preserve"> renewable share of electricity generation has increased by a total of </w:t>
      </w:r>
      <w:r w:rsidR="0094182F" w:rsidRPr="0097386F">
        <w:rPr>
          <w:rFonts w:ascii="Arial" w:hAnsi="Arial" w:cs="Arial"/>
        </w:rPr>
        <w:t>4% between 2019 and 2023</w:t>
      </w:r>
      <w:r w:rsidR="00FA011B" w:rsidRPr="0097386F">
        <w:rPr>
          <w:rFonts w:ascii="Arial" w:hAnsi="Arial" w:cs="Arial"/>
        </w:rPr>
        <w:t xml:space="preserve">. </w:t>
      </w:r>
      <w:r w:rsidR="0094182F" w:rsidRPr="0097386F">
        <w:rPr>
          <w:rFonts w:ascii="Arial" w:hAnsi="Arial" w:cs="Arial"/>
        </w:rPr>
        <w:t xml:space="preserve">The most notable area of investment has been in electricity storage projects, which have boomed from virtually zero in 2019 to 17GW in 2025 </w:t>
      </w:r>
      <w:r w:rsidR="00A04B99" w:rsidRPr="0097386F">
        <w:rPr>
          <w:rFonts w:ascii="Arial" w:hAnsi="Arial" w:cs="Arial"/>
        </w:rPr>
        <w:fldChar w:fldCharType="begin"/>
      </w:r>
      <w:r w:rsidR="00A04B99" w:rsidRPr="0097386F">
        <w:rPr>
          <w:rFonts w:ascii="Arial" w:hAnsi="Arial" w:cs="Arial"/>
        </w:rPr>
        <w:instrText xml:space="preserve"> ADDIN EN.CITE &lt;EndNote&gt;&lt;Cite&gt;&lt;Author&gt;California Energy Commission&lt;/Author&gt;&lt;Year&gt;2025&lt;/Year&gt;&lt;RecNum&gt;76&lt;/RecNum&gt;&lt;DisplayText&gt;(California Energy Commission, 2025)&lt;/DisplayText&gt;&lt;record&gt;&lt;rec-number&gt;76&lt;/rec-number&gt;&lt;foreign-keys&gt;&lt;key app="EN" db-id="ttwsetvfy922vjexsf4xxeslw250dxrsttf5" timestamp="1769072637"&gt;76&lt;/key&gt;&lt;/foreign-keys&gt;&lt;ref-type name="Generic"&gt;13&lt;/ref-type&gt;&lt;contributors&gt;&lt;authors&gt;&lt;author&gt;California Energy Commission,&lt;/author&gt;&lt;/authors&gt;&lt;/contributors&gt;&lt;titles&gt;&lt;title&gt;California’s Battery Storage Fleet Continues Record Growth, Strengthen ing Grid Reliability&lt;/title&gt;&lt;/titles&gt;&lt;dates&gt;&lt;year&gt;2025&lt;/year&gt;&lt;pub-dates&gt;&lt;date&gt;2025/11//&lt;/date&gt;&lt;/pub-dates&gt;&lt;/dates&gt;&lt;urls&gt;&lt;related-urls&gt;&lt;url&gt;https://www.energy.ca.gov/news/2025-11/californias-battery-storage-fleet-continues-record-growth-strengthening-grid&lt;/url&gt;&lt;/related-urls&gt;&lt;/urls&gt;&lt;/record&gt;&lt;/Cite&gt;&lt;/EndNote&gt;</w:instrText>
      </w:r>
      <w:r w:rsidR="00A04B99" w:rsidRPr="0097386F">
        <w:rPr>
          <w:rFonts w:ascii="Arial" w:hAnsi="Arial" w:cs="Arial"/>
        </w:rPr>
        <w:fldChar w:fldCharType="separate"/>
      </w:r>
      <w:r w:rsidR="00A04B99" w:rsidRPr="0097386F">
        <w:rPr>
          <w:rFonts w:ascii="Arial" w:hAnsi="Arial" w:cs="Arial"/>
          <w:noProof/>
        </w:rPr>
        <w:t>(California Energy Commission, 2025)</w:t>
      </w:r>
      <w:r w:rsidR="00A04B99" w:rsidRPr="0097386F">
        <w:rPr>
          <w:rFonts w:ascii="Arial" w:hAnsi="Arial" w:cs="Arial"/>
        </w:rPr>
        <w:fldChar w:fldCharType="end"/>
      </w:r>
      <w:r w:rsidR="0094182F" w:rsidRPr="0097386F">
        <w:rPr>
          <w:rFonts w:ascii="Arial" w:hAnsi="Arial" w:cs="Arial"/>
        </w:rPr>
        <w:t>.</w:t>
      </w:r>
      <w:r w:rsidR="00FA011B" w:rsidRPr="0097386F">
        <w:rPr>
          <w:rFonts w:ascii="Arial" w:hAnsi="Arial" w:cs="Arial"/>
        </w:rPr>
        <w:t xml:space="preserve"> Although emissions from power production have </w:t>
      </w:r>
      <w:r w:rsidR="00E0388F" w:rsidRPr="0097386F">
        <w:rPr>
          <w:rFonts w:ascii="Arial" w:hAnsi="Arial" w:cs="Arial"/>
        </w:rPr>
        <w:t xml:space="preserve">steadily declined over the period, they were dwarfed by reductions in the EU. The contrast is even more stark when emissions from buildings are included. </w:t>
      </w:r>
      <w:r w:rsidR="00EC7C90" w:rsidRPr="0097386F">
        <w:rPr>
          <w:rFonts w:ascii="Arial" w:hAnsi="Arial" w:cs="Arial"/>
        </w:rPr>
        <w:t xml:space="preserve">The 2022 </w:t>
      </w:r>
      <w:r w:rsidR="00B25B8C" w:rsidRPr="0097386F">
        <w:rPr>
          <w:rFonts w:ascii="Arial" w:hAnsi="Arial" w:cs="Arial"/>
        </w:rPr>
        <w:t>energy crisis in Europe is a significant factor here</w:t>
      </w:r>
      <w:r w:rsidR="005E7AB9" w:rsidRPr="0097386F">
        <w:rPr>
          <w:rFonts w:ascii="Arial" w:hAnsi="Arial" w:cs="Arial"/>
        </w:rPr>
        <w:t xml:space="preserve">. A second </w:t>
      </w:r>
      <w:r w:rsidR="00E4751A" w:rsidRPr="0097386F">
        <w:rPr>
          <w:rFonts w:ascii="Arial" w:hAnsi="Arial" w:cs="Arial"/>
        </w:rPr>
        <w:t>reason</w:t>
      </w:r>
      <w:r w:rsidR="005E7AB9" w:rsidRPr="0097386F">
        <w:rPr>
          <w:rFonts w:ascii="Arial" w:hAnsi="Arial" w:cs="Arial"/>
        </w:rPr>
        <w:t xml:space="preserve"> may be the introduction of Phase 4 of the ETS</w:t>
      </w:r>
      <w:r w:rsidR="00151033" w:rsidRPr="0097386F">
        <w:rPr>
          <w:rFonts w:ascii="Arial" w:hAnsi="Arial" w:cs="Arial"/>
        </w:rPr>
        <w:t xml:space="preserve"> in 2021</w:t>
      </w:r>
      <w:r w:rsidR="00E4751A" w:rsidRPr="0097386F">
        <w:rPr>
          <w:rFonts w:ascii="Arial" w:hAnsi="Arial" w:cs="Arial"/>
        </w:rPr>
        <w:t>.</w:t>
      </w:r>
      <w:r w:rsidR="00F702F4" w:rsidRPr="0097386F">
        <w:rPr>
          <w:rFonts w:ascii="Arial" w:hAnsi="Arial" w:cs="Arial"/>
        </w:rPr>
        <w:t xml:space="preserve"> </w:t>
      </w:r>
      <w:r w:rsidR="00E4751A" w:rsidRPr="0097386F">
        <w:rPr>
          <w:rFonts w:ascii="Arial" w:hAnsi="Arial" w:cs="Arial"/>
        </w:rPr>
        <w:t xml:space="preserve">The latest phase has further tightened </w:t>
      </w:r>
      <w:r w:rsidR="00F702F4" w:rsidRPr="0097386F">
        <w:rPr>
          <w:rFonts w:ascii="Arial" w:hAnsi="Arial" w:cs="Arial"/>
        </w:rPr>
        <w:t xml:space="preserve">emissions caps, </w:t>
      </w:r>
      <w:r w:rsidR="00E4751A" w:rsidRPr="0097386F">
        <w:rPr>
          <w:rFonts w:ascii="Arial" w:hAnsi="Arial" w:cs="Arial"/>
        </w:rPr>
        <w:t>constraining the supply of permits and</w:t>
      </w:r>
      <w:r w:rsidR="00F52D6B" w:rsidRPr="0097386F">
        <w:rPr>
          <w:rFonts w:ascii="Arial" w:hAnsi="Arial" w:cs="Arial"/>
        </w:rPr>
        <w:t xml:space="preserve"> putting upward pressure on the equilibrium price.</w:t>
      </w:r>
      <w:r w:rsidR="0046189F" w:rsidRPr="0097386F">
        <w:rPr>
          <w:rFonts w:ascii="Arial" w:hAnsi="Arial" w:cs="Arial"/>
        </w:rPr>
        <w:t xml:space="preserve"> The diverging trend in Figure 1 illustrates this.</w:t>
      </w:r>
    </w:p>
    <w:p w14:paraId="1E025489" w14:textId="2F11866A" w:rsidR="005A7FB7" w:rsidRPr="0097386F" w:rsidRDefault="00B971FF" w:rsidP="00B971FF">
      <w:pPr>
        <w:keepNext/>
        <w:jc w:val="center"/>
        <w:rPr>
          <w:rFonts w:ascii="Arial" w:hAnsi="Arial" w:cs="Arial"/>
        </w:rPr>
      </w:pPr>
      <w:r w:rsidRPr="0097386F">
        <w:rPr>
          <w:rFonts w:ascii="Arial" w:hAnsi="Arial" w:cs="Arial"/>
          <w:noProof/>
        </w:rPr>
        <w:lastRenderedPageBreak/>
        <w:drawing>
          <wp:inline distT="0" distB="0" distL="0" distR="0" wp14:anchorId="4E5E6D91" wp14:editId="7E7481BE">
            <wp:extent cx="4405745" cy="2292927"/>
            <wp:effectExtent l="0" t="0" r="13970" b="12700"/>
            <wp:docPr id="3139997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21D77D1-7D43-B561-4ECD-C82578A488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1ACA06C" w14:textId="64EC829F" w:rsidR="00400589" w:rsidRPr="0097386F" w:rsidRDefault="00B971FF" w:rsidP="00B971FF">
      <w:pPr>
        <w:pStyle w:val="Caption"/>
        <w:ind w:firstLine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        </w:t>
      </w:r>
      <w:r w:rsidR="005A7FB7" w:rsidRPr="0097386F">
        <w:rPr>
          <w:rFonts w:ascii="Arial" w:hAnsi="Arial" w:cs="Arial"/>
        </w:rPr>
        <w:t xml:space="preserve">Figure </w:t>
      </w:r>
      <w:r w:rsidR="005A7FB7" w:rsidRPr="0097386F">
        <w:rPr>
          <w:rFonts w:ascii="Arial" w:hAnsi="Arial" w:cs="Arial"/>
        </w:rPr>
        <w:fldChar w:fldCharType="begin"/>
      </w:r>
      <w:r w:rsidR="005A7FB7" w:rsidRPr="0097386F">
        <w:rPr>
          <w:rFonts w:ascii="Arial" w:hAnsi="Arial" w:cs="Arial"/>
        </w:rPr>
        <w:instrText xml:space="preserve"> SEQ Figure \* ARABIC </w:instrText>
      </w:r>
      <w:r w:rsidR="005A7FB7" w:rsidRPr="0097386F">
        <w:rPr>
          <w:rFonts w:ascii="Arial" w:hAnsi="Arial" w:cs="Arial"/>
        </w:rPr>
        <w:fldChar w:fldCharType="separate"/>
      </w:r>
      <w:r w:rsidR="00F46925" w:rsidRPr="0097386F">
        <w:rPr>
          <w:rFonts w:ascii="Arial" w:hAnsi="Arial" w:cs="Arial"/>
          <w:noProof/>
        </w:rPr>
        <w:t>1</w:t>
      </w:r>
      <w:r w:rsidR="005A7FB7" w:rsidRPr="0097386F">
        <w:rPr>
          <w:rFonts w:ascii="Arial" w:hAnsi="Arial" w:cs="Arial"/>
        </w:rPr>
        <w:fldChar w:fldCharType="end"/>
      </w:r>
      <w:r w:rsidR="005A7FB7" w:rsidRPr="0097386F">
        <w:rPr>
          <w:rFonts w:ascii="Arial" w:hAnsi="Arial" w:cs="Arial"/>
        </w:rPr>
        <w:t xml:space="preserve"> Data Source: https://carbonpricingdashboard.worldbank.org/compliance/price</w:t>
      </w:r>
    </w:p>
    <w:p w14:paraId="49D6AB86" w14:textId="149BC3BD" w:rsidR="004E67DE" w:rsidRPr="0097386F" w:rsidRDefault="004E67DE" w:rsidP="004E67DE">
      <w:pPr>
        <w:pStyle w:val="Heading1"/>
        <w:rPr>
          <w:rFonts w:ascii="Arial" w:hAnsi="Arial" w:cs="Arial"/>
          <w:color w:val="auto"/>
          <w:sz w:val="36"/>
          <w:szCs w:val="36"/>
        </w:rPr>
      </w:pPr>
      <w:r w:rsidRPr="0097386F">
        <w:rPr>
          <w:rFonts w:ascii="Arial" w:hAnsi="Arial" w:cs="Arial"/>
          <w:color w:val="auto"/>
          <w:sz w:val="36"/>
          <w:szCs w:val="36"/>
        </w:rPr>
        <w:t>Other Instruments</w:t>
      </w:r>
    </w:p>
    <w:p w14:paraId="725B3699" w14:textId="2D73F361" w:rsidR="008E1783" w:rsidRPr="0097386F" w:rsidRDefault="006F208D" w:rsidP="000E0B5D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The </w:t>
      </w:r>
      <w:r w:rsidR="00985271" w:rsidRPr="0097386F">
        <w:rPr>
          <w:rFonts w:ascii="Arial" w:hAnsi="Arial" w:cs="Arial"/>
        </w:rPr>
        <w:t xml:space="preserve">main policy alternatives to carbon trading </w:t>
      </w:r>
      <w:r w:rsidR="00684C08" w:rsidRPr="0097386F">
        <w:rPr>
          <w:rFonts w:ascii="Arial" w:hAnsi="Arial" w:cs="Arial"/>
        </w:rPr>
        <w:t>are carbon taxing or command and control regulations.</w:t>
      </w:r>
      <w:r w:rsidR="000E0B5D" w:rsidRPr="0097386F">
        <w:rPr>
          <w:rFonts w:ascii="Arial" w:hAnsi="Arial" w:cs="Arial"/>
        </w:rPr>
        <w:t xml:space="preserve"> </w:t>
      </w:r>
      <w:r w:rsidR="008E1783" w:rsidRPr="0097386F">
        <w:rPr>
          <w:rFonts w:ascii="Arial" w:hAnsi="Arial" w:cs="Arial"/>
        </w:rPr>
        <w:t xml:space="preserve">Command and control regulations </w:t>
      </w:r>
      <w:r w:rsidR="00F40169" w:rsidRPr="0097386F">
        <w:rPr>
          <w:rFonts w:ascii="Arial" w:hAnsi="Arial" w:cs="Arial"/>
        </w:rPr>
        <w:t xml:space="preserve">set </w:t>
      </w:r>
      <w:r w:rsidR="0086317D" w:rsidRPr="0097386F">
        <w:rPr>
          <w:rFonts w:ascii="Arial" w:hAnsi="Arial" w:cs="Arial"/>
        </w:rPr>
        <w:t xml:space="preserve">an emissions ceiling for firms, </w:t>
      </w:r>
      <w:r w:rsidR="005476F0" w:rsidRPr="0097386F">
        <w:rPr>
          <w:rFonts w:ascii="Arial" w:hAnsi="Arial" w:cs="Arial"/>
        </w:rPr>
        <w:t>and/or</w:t>
      </w:r>
      <w:r w:rsidR="0086317D" w:rsidRPr="0097386F">
        <w:rPr>
          <w:rFonts w:ascii="Arial" w:hAnsi="Arial" w:cs="Arial"/>
        </w:rPr>
        <w:t xml:space="preserve"> mandate the introduction of energy efficiency</w:t>
      </w:r>
      <w:r w:rsidR="005476F0" w:rsidRPr="0097386F">
        <w:rPr>
          <w:rFonts w:ascii="Arial" w:hAnsi="Arial" w:cs="Arial"/>
        </w:rPr>
        <w:t xml:space="preserve"> standards</w:t>
      </w:r>
      <w:r w:rsidR="0086317D" w:rsidRPr="0097386F">
        <w:rPr>
          <w:rFonts w:ascii="Arial" w:hAnsi="Arial" w:cs="Arial"/>
        </w:rPr>
        <w:t xml:space="preserve">. </w:t>
      </w:r>
      <w:r w:rsidR="00E23888" w:rsidRPr="0097386F">
        <w:rPr>
          <w:rFonts w:ascii="Arial" w:hAnsi="Arial" w:cs="Arial"/>
        </w:rPr>
        <w:t>Emissions ceilings are</w:t>
      </w:r>
      <w:r w:rsidR="0086317D" w:rsidRPr="0097386F">
        <w:rPr>
          <w:rFonts w:ascii="Arial" w:hAnsi="Arial" w:cs="Arial"/>
        </w:rPr>
        <w:t xml:space="preserve"> not </w:t>
      </w:r>
      <w:r w:rsidR="00367906" w:rsidRPr="0097386F">
        <w:rPr>
          <w:rFonts w:ascii="Arial" w:hAnsi="Arial" w:cs="Arial"/>
        </w:rPr>
        <w:t xml:space="preserve">typically </w:t>
      </w:r>
      <w:r w:rsidR="0086317D" w:rsidRPr="0097386F">
        <w:rPr>
          <w:rFonts w:ascii="Arial" w:hAnsi="Arial" w:cs="Arial"/>
        </w:rPr>
        <w:t xml:space="preserve">preferred because although they do fix the level of abatement, they </w:t>
      </w:r>
      <w:r w:rsidR="00367906" w:rsidRPr="0097386F">
        <w:rPr>
          <w:rFonts w:ascii="Arial" w:hAnsi="Arial" w:cs="Arial"/>
        </w:rPr>
        <w:t>don’t minimise the total cost</w:t>
      </w:r>
      <w:r w:rsidR="0086317D" w:rsidRPr="0097386F">
        <w:rPr>
          <w:rFonts w:ascii="Arial" w:hAnsi="Arial" w:cs="Arial"/>
        </w:rPr>
        <w:t xml:space="preserve"> achieving this</w:t>
      </w:r>
      <w:r w:rsidR="00367906" w:rsidRPr="0097386F">
        <w:rPr>
          <w:rFonts w:ascii="Arial" w:hAnsi="Arial" w:cs="Arial"/>
        </w:rPr>
        <w:t>.</w:t>
      </w:r>
      <w:r w:rsidR="0086317D" w:rsidRPr="0097386F">
        <w:rPr>
          <w:rFonts w:ascii="Arial" w:hAnsi="Arial" w:cs="Arial"/>
        </w:rPr>
        <w:t xml:space="preserve"> </w:t>
      </w:r>
      <w:r w:rsidR="005476F0" w:rsidRPr="0097386F">
        <w:rPr>
          <w:rFonts w:ascii="Arial" w:hAnsi="Arial" w:cs="Arial"/>
        </w:rPr>
        <w:t xml:space="preserve">Efficiency standards are more </w:t>
      </w:r>
      <w:r w:rsidR="00EC09D4" w:rsidRPr="0097386F">
        <w:rPr>
          <w:rFonts w:ascii="Arial" w:hAnsi="Arial" w:cs="Arial"/>
        </w:rPr>
        <w:t>common and</w:t>
      </w:r>
      <w:r w:rsidR="005476F0" w:rsidRPr="0097386F">
        <w:rPr>
          <w:rFonts w:ascii="Arial" w:hAnsi="Arial" w:cs="Arial"/>
        </w:rPr>
        <w:t xml:space="preserve"> are found </w:t>
      </w:r>
      <w:r w:rsidR="00EF113C" w:rsidRPr="0097386F">
        <w:rPr>
          <w:rFonts w:ascii="Arial" w:hAnsi="Arial" w:cs="Arial"/>
        </w:rPr>
        <w:t>in Both Europe and California. The EU Energy Efficiency Directive sets requirements at a high-level for Europe, delegating specific policies to member states</w:t>
      </w:r>
      <w:r w:rsidR="00261FCA" w:rsidRPr="0097386F">
        <w:rPr>
          <w:rFonts w:ascii="Arial" w:hAnsi="Arial" w:cs="Arial"/>
        </w:rPr>
        <w:t xml:space="preserve"> </w:t>
      </w:r>
      <w:r w:rsidR="00D57B17" w:rsidRPr="0097386F">
        <w:rPr>
          <w:rFonts w:ascii="Arial" w:hAnsi="Arial" w:cs="Arial"/>
        </w:rPr>
        <w:fldChar w:fldCharType="begin"/>
      </w:r>
      <w:r w:rsidR="00D57B17" w:rsidRPr="0097386F">
        <w:rPr>
          <w:rFonts w:ascii="Arial" w:hAnsi="Arial" w:cs="Arial"/>
        </w:rPr>
        <w:instrText xml:space="preserve"> ADDIN EN.CITE &lt;EndNote&gt;&lt;Cite&gt;&lt;Author&gt;European Commission&lt;/Author&gt;&lt;Year&gt;2025&lt;/Year&gt;&lt;RecNum&gt;77&lt;/RecNum&gt;&lt;DisplayText&gt;(European Commission, 2025)&lt;/DisplayText&gt;&lt;record&gt;&lt;rec-number&gt;77&lt;/rec-number&gt;&lt;foreign-keys&gt;&lt;key app="EN" db-id="ttwsetvfy922vjexsf4xxeslw250dxrsttf5" timestamp="1769072699"&gt;77&lt;/key&gt;&lt;/foreign-keys&gt;&lt;ref-type name="Generic"&gt;13&lt;/ref-type&gt;&lt;contributors&gt;&lt;authors&gt;&lt;author&gt;European Commission, &lt;/author&gt;&lt;/authors&gt;&lt;/contributors&gt;&lt;titles&gt;&lt;title&gt;Energy Efficiency Directive&lt;/title&gt;&lt;/titles&gt;&lt;dates&gt;&lt;year&gt;2025&lt;/year&gt;&lt;pub-dates&gt;&lt;date&gt;2025&lt;/date&gt;&lt;/pub-dates&gt;&lt;/dates&gt;&lt;urls&gt;&lt;related-urls&gt;&lt;url&gt;https://energy.ec.europa.eu/topics/energy-efficiency/energy-efficiency-targets-directive-and-rules/energy-efficiency-directive_en&lt;/url&gt;&lt;/related-urls&gt;&lt;/urls&gt;&lt;/record&gt;&lt;/Cite&gt;&lt;/EndNote&gt;</w:instrText>
      </w:r>
      <w:r w:rsidR="00D57B17" w:rsidRPr="0097386F">
        <w:rPr>
          <w:rFonts w:ascii="Arial" w:hAnsi="Arial" w:cs="Arial"/>
        </w:rPr>
        <w:fldChar w:fldCharType="separate"/>
      </w:r>
      <w:r w:rsidR="00D57B17" w:rsidRPr="0097386F">
        <w:rPr>
          <w:rFonts w:ascii="Arial" w:hAnsi="Arial" w:cs="Arial"/>
          <w:noProof/>
        </w:rPr>
        <w:t>(European Commission, 2025)</w:t>
      </w:r>
      <w:r w:rsidR="00D57B17" w:rsidRPr="0097386F">
        <w:rPr>
          <w:rFonts w:ascii="Arial" w:hAnsi="Arial" w:cs="Arial"/>
        </w:rPr>
        <w:fldChar w:fldCharType="end"/>
      </w:r>
      <w:r w:rsidR="00EF113C" w:rsidRPr="0097386F">
        <w:rPr>
          <w:rFonts w:ascii="Arial" w:hAnsi="Arial" w:cs="Arial"/>
        </w:rPr>
        <w:t xml:space="preserve">. Typical efficiency measures include home insulation requirements or </w:t>
      </w:r>
      <w:r w:rsidR="00EC09D4" w:rsidRPr="0097386F">
        <w:rPr>
          <w:rFonts w:ascii="Arial" w:hAnsi="Arial" w:cs="Arial"/>
        </w:rPr>
        <w:t>fuel-efficiency of vehicles.</w:t>
      </w:r>
      <w:r w:rsidR="00B97A57" w:rsidRPr="0097386F">
        <w:rPr>
          <w:rFonts w:ascii="Arial" w:hAnsi="Arial" w:cs="Arial"/>
        </w:rPr>
        <w:t xml:space="preserve"> Energy efficiency regulations are an appropriate tool to mandate the use of proven </w:t>
      </w:r>
      <w:r w:rsidR="005E3ABC" w:rsidRPr="0097386F">
        <w:rPr>
          <w:rFonts w:ascii="Arial" w:hAnsi="Arial" w:cs="Arial"/>
        </w:rPr>
        <w:t>technologies.</w:t>
      </w:r>
      <w:r w:rsidR="000C2F07" w:rsidRPr="0097386F">
        <w:rPr>
          <w:rFonts w:ascii="Arial" w:hAnsi="Arial" w:cs="Arial"/>
        </w:rPr>
        <w:t xml:space="preserve"> </w:t>
      </w:r>
      <w:r w:rsidR="005E3ABC" w:rsidRPr="0097386F">
        <w:rPr>
          <w:rFonts w:ascii="Arial" w:hAnsi="Arial" w:cs="Arial"/>
        </w:rPr>
        <w:t>However,</w:t>
      </w:r>
      <w:r w:rsidR="000C2F07" w:rsidRPr="0097386F">
        <w:rPr>
          <w:rFonts w:ascii="Arial" w:hAnsi="Arial" w:cs="Arial"/>
        </w:rPr>
        <w:t xml:space="preserve"> the direct approach does not in</w:t>
      </w:r>
      <w:r w:rsidR="005E3ABC" w:rsidRPr="0097386F">
        <w:rPr>
          <w:rFonts w:ascii="Arial" w:hAnsi="Arial" w:cs="Arial"/>
        </w:rPr>
        <w:t>centivise free-</w:t>
      </w:r>
      <w:r w:rsidR="000C2F07" w:rsidRPr="0097386F">
        <w:rPr>
          <w:rFonts w:ascii="Arial" w:hAnsi="Arial" w:cs="Arial"/>
        </w:rPr>
        <w:t>market dynamics to deliver further efficiencies.</w:t>
      </w:r>
      <w:r w:rsidR="005E3ABC" w:rsidRPr="0097386F">
        <w:rPr>
          <w:rFonts w:ascii="Arial" w:hAnsi="Arial" w:cs="Arial"/>
        </w:rPr>
        <w:t xml:space="preserve"> This is why they are used in conjunction with a carbon tax or carbon trading.</w:t>
      </w:r>
    </w:p>
    <w:p w14:paraId="31748379" w14:textId="57F49A72" w:rsidR="00F46925" w:rsidRPr="0097386F" w:rsidRDefault="005E3ABC" w:rsidP="000E0B5D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>Carbon Taxing is the main alternative to emissions trading, and regulates price as opposed to quantity.</w:t>
      </w:r>
      <w:r w:rsidR="00927814" w:rsidRPr="0097386F">
        <w:rPr>
          <w:rFonts w:ascii="Arial" w:hAnsi="Arial" w:cs="Arial"/>
        </w:rPr>
        <w:t xml:space="preserve"> </w:t>
      </w:r>
      <w:r w:rsidR="00782018" w:rsidRPr="0097386F">
        <w:rPr>
          <w:rFonts w:ascii="Arial" w:hAnsi="Arial" w:cs="Arial"/>
        </w:rPr>
        <w:t xml:space="preserve">Taxing carbon </w:t>
      </w:r>
      <w:r w:rsidR="00927814" w:rsidRPr="0097386F">
        <w:rPr>
          <w:rFonts w:ascii="Arial" w:hAnsi="Arial" w:cs="Arial"/>
        </w:rPr>
        <w:t>and</w:t>
      </w:r>
      <w:r w:rsidR="00782018" w:rsidRPr="0097386F">
        <w:rPr>
          <w:rFonts w:ascii="Arial" w:hAnsi="Arial" w:cs="Arial"/>
        </w:rPr>
        <w:t xml:space="preserve"> </w:t>
      </w:r>
      <w:r w:rsidR="00C006D8" w:rsidRPr="0097386F">
        <w:rPr>
          <w:rFonts w:ascii="Arial" w:hAnsi="Arial" w:cs="Arial"/>
        </w:rPr>
        <w:t xml:space="preserve">emissions trading </w:t>
      </w:r>
      <w:r w:rsidR="00927814" w:rsidRPr="0097386F">
        <w:rPr>
          <w:rFonts w:ascii="Arial" w:hAnsi="Arial" w:cs="Arial"/>
        </w:rPr>
        <w:t>are equivalent when</w:t>
      </w:r>
      <w:r w:rsidR="00C006D8" w:rsidRPr="0097386F">
        <w:rPr>
          <w:rFonts w:ascii="Arial" w:hAnsi="Arial" w:cs="Arial"/>
        </w:rPr>
        <w:t xml:space="preserve"> the marginal cost</w:t>
      </w:r>
      <w:r w:rsidR="00F369B6" w:rsidRPr="0097386F">
        <w:rPr>
          <w:rFonts w:ascii="Arial" w:hAnsi="Arial" w:cs="Arial"/>
        </w:rPr>
        <w:t xml:space="preserve"> and benefit</w:t>
      </w:r>
      <w:r w:rsidR="00C006D8" w:rsidRPr="0097386F">
        <w:rPr>
          <w:rFonts w:ascii="Arial" w:hAnsi="Arial" w:cs="Arial"/>
        </w:rPr>
        <w:t xml:space="preserve"> of emissions abatement is </w:t>
      </w:r>
      <w:r w:rsidR="00F06BA7" w:rsidRPr="0097386F">
        <w:rPr>
          <w:rFonts w:ascii="Arial" w:hAnsi="Arial" w:cs="Arial"/>
        </w:rPr>
        <w:t>known</w:t>
      </w:r>
      <w:r w:rsidR="00C006D8" w:rsidRPr="0097386F">
        <w:rPr>
          <w:rFonts w:ascii="Arial" w:hAnsi="Arial" w:cs="Arial"/>
        </w:rPr>
        <w:t>.</w:t>
      </w:r>
      <w:r w:rsidR="00F06BA7" w:rsidRPr="0097386F">
        <w:rPr>
          <w:rFonts w:ascii="Arial" w:hAnsi="Arial" w:cs="Arial"/>
        </w:rPr>
        <w:t xml:space="preserve"> </w:t>
      </w:r>
      <w:r w:rsidR="000F5540" w:rsidRPr="0097386F">
        <w:rPr>
          <w:rFonts w:ascii="Arial" w:hAnsi="Arial" w:cs="Arial"/>
        </w:rPr>
        <w:t xml:space="preserve">In reality it is not known, </w:t>
      </w:r>
      <w:r w:rsidR="009C42EB" w:rsidRPr="0097386F">
        <w:rPr>
          <w:rFonts w:ascii="Arial" w:hAnsi="Arial" w:cs="Arial"/>
        </w:rPr>
        <w:t>and the efficiency of the two policies differ.</w:t>
      </w:r>
      <w:r w:rsidR="00367DA4" w:rsidRPr="0097386F">
        <w:rPr>
          <w:rFonts w:ascii="Arial" w:hAnsi="Arial" w:cs="Arial"/>
        </w:rPr>
        <w:t xml:space="preserve"> Weitzman, </w:t>
      </w:r>
      <w:r w:rsidR="00A95AF1" w:rsidRPr="0097386F">
        <w:rPr>
          <w:rFonts w:ascii="Arial" w:hAnsi="Arial" w:cs="Arial"/>
        </w:rPr>
        <w:t>1974</w:t>
      </w:r>
      <w:r w:rsidR="003323BF" w:rsidRPr="0097386F">
        <w:rPr>
          <w:rFonts w:ascii="Arial" w:hAnsi="Arial" w:cs="Arial"/>
        </w:rPr>
        <w:t xml:space="preserve">, </w:t>
      </w:r>
      <w:r w:rsidR="00B8338E" w:rsidRPr="0097386F">
        <w:rPr>
          <w:rFonts w:ascii="Arial" w:hAnsi="Arial" w:cs="Arial"/>
        </w:rPr>
        <w:t>found that</w:t>
      </w:r>
      <w:r w:rsidR="003A159D" w:rsidRPr="0097386F">
        <w:rPr>
          <w:rFonts w:ascii="Arial" w:hAnsi="Arial" w:cs="Arial"/>
        </w:rPr>
        <w:t xml:space="preserve"> price regulation is more efficient than quantity regulation when the marginal benefit curve is flat, and marginal cost is steep</w:t>
      </w:r>
      <w:r w:rsidR="001768AC" w:rsidRPr="0097386F">
        <w:rPr>
          <w:rFonts w:ascii="Arial" w:hAnsi="Arial" w:cs="Arial"/>
        </w:rPr>
        <w:t xml:space="preserve">, as illustrated in figure </w:t>
      </w:r>
      <w:r w:rsidR="005132F6" w:rsidRPr="0097386F">
        <w:rPr>
          <w:rFonts w:ascii="Arial" w:hAnsi="Arial" w:cs="Arial"/>
        </w:rPr>
        <w:t xml:space="preserve">2 </w:t>
      </w:r>
      <w:r w:rsidR="001B11BF" w:rsidRPr="0097386F">
        <w:rPr>
          <w:rFonts w:ascii="Arial" w:hAnsi="Arial" w:cs="Arial"/>
        </w:rPr>
        <w:fldChar w:fldCharType="begin"/>
      </w:r>
      <w:r w:rsidR="001B11BF" w:rsidRPr="0097386F">
        <w:rPr>
          <w:rFonts w:ascii="Arial" w:hAnsi="Arial" w:cs="Arial"/>
        </w:rPr>
        <w:instrText xml:space="preserve"> ADDIN EN.CITE &lt;EndNote&gt;&lt;Cite&gt;&lt;Author&gt;Weitzman&lt;/Author&gt;&lt;Year&gt;1974&lt;/Year&gt;&lt;RecNum&gt;78&lt;/RecNum&gt;&lt;DisplayText&gt;(Weitzman, 1974)&lt;/DisplayText&gt;&lt;record&gt;&lt;rec-number&gt;78&lt;/rec-number&gt;&lt;foreign-keys&gt;&lt;key app="EN" db-id="ttwsetvfy922vjexsf4xxeslw250dxrsttf5" timestamp="1769072752"&gt;78&lt;/key&gt;&lt;/foreign-keys&gt;&lt;ref-type name="Journal Article"&gt;17&lt;/ref-type&gt;&lt;contributors&gt;&lt;authors&gt;&lt;author&gt;Weitzman, Martin L.&lt;/author&gt;&lt;/authors&gt;&lt;/contributors&gt;&lt;titles&gt;&lt;title&gt;Prices vs. Quantities&lt;/title&gt;&lt;secondary-title&gt;The Review of Economic Studies&lt;/secondary-title&gt;&lt;/titles&gt;&lt;periodical&gt;&lt;full-title&gt;The Review of Economic Studies&lt;/full-title&gt;&lt;/periodical&gt;&lt;pages&gt;477-491&lt;/pages&gt;&lt;volume&gt;41&lt;/volume&gt;&lt;number&gt;4&lt;/number&gt;&lt;dates&gt;&lt;year&gt;1974&lt;/year&gt;&lt;pub-dates&gt;&lt;date&gt;1974&lt;/date&gt;&lt;/pub-dates&gt;&lt;/dates&gt;&lt;urls&gt;&lt;related-urls&gt;&lt;url&gt;https://academic.oup.com/restud/article/41/4/477/1543334&lt;/url&gt;&lt;/related-urls&gt;&lt;/urls&gt;&lt;electronic-resource-num&gt;10.2307/2296698&lt;/electronic-resource-num&gt;&lt;/record&gt;&lt;/Cite&gt;&lt;/EndNote&gt;</w:instrText>
      </w:r>
      <w:r w:rsidR="001B11BF" w:rsidRPr="0097386F">
        <w:rPr>
          <w:rFonts w:ascii="Arial" w:hAnsi="Arial" w:cs="Arial"/>
        </w:rPr>
        <w:fldChar w:fldCharType="separate"/>
      </w:r>
      <w:r w:rsidR="001B11BF" w:rsidRPr="0097386F">
        <w:rPr>
          <w:rFonts w:ascii="Arial" w:hAnsi="Arial" w:cs="Arial"/>
          <w:noProof/>
        </w:rPr>
        <w:t>(Weitzman, 1974)</w:t>
      </w:r>
      <w:r w:rsidR="001B11BF" w:rsidRPr="0097386F">
        <w:rPr>
          <w:rFonts w:ascii="Arial" w:hAnsi="Arial" w:cs="Arial"/>
        </w:rPr>
        <w:fldChar w:fldCharType="end"/>
      </w:r>
      <w:r w:rsidR="003A159D" w:rsidRPr="0097386F">
        <w:rPr>
          <w:rFonts w:ascii="Arial" w:hAnsi="Arial" w:cs="Arial"/>
        </w:rPr>
        <w:t>.</w:t>
      </w:r>
      <w:r w:rsidR="0073548C" w:rsidRPr="0097386F">
        <w:rPr>
          <w:rFonts w:ascii="Arial" w:hAnsi="Arial" w:cs="Arial"/>
        </w:rPr>
        <w:t xml:space="preserve"> Newell and Pizer, 200</w:t>
      </w:r>
      <w:r w:rsidR="00A33C62" w:rsidRPr="0097386F">
        <w:rPr>
          <w:rFonts w:ascii="Arial" w:hAnsi="Arial" w:cs="Arial"/>
        </w:rPr>
        <w:t>3</w:t>
      </w:r>
      <w:r w:rsidR="0073548C" w:rsidRPr="0097386F">
        <w:rPr>
          <w:rFonts w:ascii="Arial" w:hAnsi="Arial" w:cs="Arial"/>
        </w:rPr>
        <w:t xml:space="preserve">, </w:t>
      </w:r>
      <w:r w:rsidR="00494998" w:rsidRPr="0097386F">
        <w:rPr>
          <w:rFonts w:ascii="Arial" w:hAnsi="Arial" w:cs="Arial"/>
        </w:rPr>
        <w:t xml:space="preserve">extend and </w:t>
      </w:r>
      <w:r w:rsidR="0082085C" w:rsidRPr="0097386F">
        <w:rPr>
          <w:rFonts w:ascii="Arial" w:hAnsi="Arial" w:cs="Arial"/>
        </w:rPr>
        <w:t>apply this model to</w:t>
      </w:r>
      <w:r w:rsidR="00494998" w:rsidRPr="0097386F">
        <w:rPr>
          <w:rFonts w:ascii="Arial" w:hAnsi="Arial" w:cs="Arial"/>
        </w:rPr>
        <w:t xml:space="preserve"> the problem of policy selection for</w:t>
      </w:r>
      <w:r w:rsidR="0082085C" w:rsidRPr="0097386F">
        <w:rPr>
          <w:rFonts w:ascii="Arial" w:hAnsi="Arial" w:cs="Arial"/>
        </w:rPr>
        <w:t xml:space="preserve"> greenhouse gas</w:t>
      </w:r>
      <w:r w:rsidR="00494998" w:rsidRPr="0097386F">
        <w:rPr>
          <w:rFonts w:ascii="Arial" w:hAnsi="Arial" w:cs="Arial"/>
        </w:rPr>
        <w:t xml:space="preserve"> abatement. They find that taxing carbon is preferable to </w:t>
      </w:r>
      <w:r w:rsidR="00A33C62" w:rsidRPr="0097386F">
        <w:rPr>
          <w:rFonts w:ascii="Arial" w:hAnsi="Arial" w:cs="Arial"/>
        </w:rPr>
        <w:t>carbon trading</w:t>
      </w:r>
      <w:r w:rsidR="000836B8" w:rsidRPr="0097386F">
        <w:rPr>
          <w:rFonts w:ascii="Arial" w:hAnsi="Arial" w:cs="Arial"/>
        </w:rPr>
        <w:t xml:space="preserve"> </w:t>
      </w:r>
      <w:r w:rsidR="000836B8" w:rsidRPr="0097386F">
        <w:rPr>
          <w:rFonts w:ascii="Arial" w:hAnsi="Arial" w:cs="Arial"/>
        </w:rPr>
        <w:fldChar w:fldCharType="begin"/>
      </w:r>
      <w:r w:rsidR="000836B8" w:rsidRPr="0097386F">
        <w:rPr>
          <w:rFonts w:ascii="Arial" w:hAnsi="Arial" w:cs="Arial"/>
        </w:rPr>
        <w:instrText xml:space="preserve"> ADDIN EN.CITE &lt;EndNote&gt;&lt;Cite&gt;&lt;Author&gt;Newell&lt;/Author&gt;&lt;Year&gt;2003&lt;/Year&gt;&lt;RecNum&gt;79&lt;/RecNum&gt;&lt;DisplayText&gt;(Newell &amp;amp; Pizer, 2003)&lt;/DisplayText&gt;&lt;record&gt;&lt;rec-number&gt;79&lt;/rec-number&gt;&lt;foreign-keys&gt;&lt;key app="EN" db-id="ttwsetvfy922vjexsf4xxeslw250dxrsttf5" timestamp="1769072795"&gt;79&lt;/key&gt;&lt;/foreign-keys&gt;&lt;ref-type name="Journal Article"&gt;17&lt;/ref-type&gt;&lt;contributors&gt;&lt;authors&gt;&lt;author&gt;Newell, Richard G.&lt;/author&gt;&lt;author&gt;Pizer, William A.&lt;/author&gt;&lt;/authors&gt;&lt;/contributors&gt;&lt;titles&gt;&lt;title&gt;Regulating stock externalities under uncertainty&lt;/title&gt;&lt;secondary-title&gt;Journal of Environmental Economics and Management&lt;/secondary-title&gt;&lt;/titles&gt;&lt;periodical&gt;&lt;full-title&gt;Journal of Environmental Economics and Management&lt;/full-title&gt;&lt;/periodical&gt;&lt;pages&gt;416-432&lt;/pages&gt;&lt;volume&gt;45&lt;/volume&gt;&lt;number&gt;2&lt;/number&gt;&lt;dates&gt;&lt;year&gt;2003&lt;/year&gt;&lt;pub-dates&gt;&lt;date&gt;2003&lt;/date&gt;&lt;/pub-dates&gt;&lt;/dates&gt;&lt;urls&gt;&lt;related-urls&gt;&lt;url&gt;https://www.sciencedirect.com/science/article/pii/S0095069602000165&lt;/url&gt;&lt;/related-urls&gt;&lt;/urls&gt;&lt;electronic-resource-num&gt;10.1016/S0095-0696(02)00016-5&lt;/electronic-resource-num&gt;&lt;/record&gt;&lt;/Cite&gt;&lt;/EndNote&gt;</w:instrText>
      </w:r>
      <w:r w:rsidR="000836B8" w:rsidRPr="0097386F">
        <w:rPr>
          <w:rFonts w:ascii="Arial" w:hAnsi="Arial" w:cs="Arial"/>
        </w:rPr>
        <w:fldChar w:fldCharType="separate"/>
      </w:r>
      <w:r w:rsidR="000836B8" w:rsidRPr="0097386F">
        <w:rPr>
          <w:rFonts w:ascii="Arial" w:hAnsi="Arial" w:cs="Arial"/>
          <w:noProof/>
        </w:rPr>
        <w:t>(Newell &amp; Pizer, 2003)</w:t>
      </w:r>
      <w:r w:rsidR="000836B8" w:rsidRPr="0097386F">
        <w:rPr>
          <w:rFonts w:ascii="Arial" w:hAnsi="Arial" w:cs="Arial"/>
        </w:rPr>
        <w:fldChar w:fldCharType="end"/>
      </w:r>
      <w:r w:rsidR="00A33C62" w:rsidRPr="0097386F">
        <w:rPr>
          <w:rFonts w:ascii="Arial" w:hAnsi="Arial" w:cs="Arial"/>
        </w:rPr>
        <w:t>.</w:t>
      </w:r>
    </w:p>
    <w:p w14:paraId="34456788" w14:textId="77777777" w:rsidR="00007EA4" w:rsidRPr="0097386F" w:rsidRDefault="00007EA4" w:rsidP="000E0B5D">
      <w:pPr>
        <w:jc w:val="both"/>
        <w:rPr>
          <w:rFonts w:ascii="Arial" w:hAnsi="Arial" w:cs="Arial"/>
        </w:rPr>
      </w:pPr>
    </w:p>
    <w:p w14:paraId="08936E12" w14:textId="77777777" w:rsidR="00F46925" w:rsidRPr="0097386F" w:rsidRDefault="00F46925" w:rsidP="00B971FF">
      <w:pPr>
        <w:keepNext/>
        <w:jc w:val="center"/>
        <w:rPr>
          <w:rFonts w:ascii="Arial" w:hAnsi="Arial" w:cs="Arial"/>
        </w:rPr>
      </w:pPr>
      <w:r w:rsidRPr="0097386F">
        <w:rPr>
          <w:rFonts w:ascii="Arial" w:hAnsi="Arial" w:cs="Arial"/>
          <w:noProof/>
        </w:rPr>
        <w:lastRenderedPageBreak/>
        <w:drawing>
          <wp:inline distT="0" distB="0" distL="0" distR="0" wp14:anchorId="41E965FD" wp14:editId="188603C6">
            <wp:extent cx="3281947" cy="2586725"/>
            <wp:effectExtent l="0" t="0" r="0" b="4445"/>
            <wp:docPr id="42038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85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435" cy="261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3092" w14:textId="3AE81E96" w:rsidR="00F46925" w:rsidRPr="0097386F" w:rsidRDefault="00B971FF" w:rsidP="00B971FF">
      <w:pPr>
        <w:pStyle w:val="Caption"/>
        <w:ind w:left="1440" w:firstLine="720"/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     </w:t>
      </w:r>
      <w:r w:rsidR="00F46925" w:rsidRPr="0097386F">
        <w:rPr>
          <w:rFonts w:ascii="Arial" w:hAnsi="Arial" w:cs="Arial"/>
        </w:rPr>
        <w:t xml:space="preserve">Figure </w:t>
      </w:r>
      <w:r w:rsidR="00F46925" w:rsidRPr="0097386F">
        <w:rPr>
          <w:rFonts w:ascii="Arial" w:hAnsi="Arial" w:cs="Arial"/>
        </w:rPr>
        <w:fldChar w:fldCharType="begin"/>
      </w:r>
      <w:r w:rsidR="00F46925" w:rsidRPr="0097386F">
        <w:rPr>
          <w:rFonts w:ascii="Arial" w:hAnsi="Arial" w:cs="Arial"/>
        </w:rPr>
        <w:instrText xml:space="preserve"> SEQ Figure \* ARABIC </w:instrText>
      </w:r>
      <w:r w:rsidR="00F46925" w:rsidRPr="0097386F">
        <w:rPr>
          <w:rFonts w:ascii="Arial" w:hAnsi="Arial" w:cs="Arial"/>
        </w:rPr>
        <w:fldChar w:fldCharType="separate"/>
      </w:r>
      <w:r w:rsidR="00F46925" w:rsidRPr="0097386F">
        <w:rPr>
          <w:rFonts w:ascii="Arial" w:hAnsi="Arial" w:cs="Arial"/>
          <w:noProof/>
        </w:rPr>
        <w:t>2</w:t>
      </w:r>
      <w:r w:rsidR="00F46925" w:rsidRPr="0097386F">
        <w:rPr>
          <w:rFonts w:ascii="Arial" w:hAnsi="Arial" w:cs="Arial"/>
        </w:rPr>
        <w:fldChar w:fldCharType="end"/>
      </w:r>
      <w:r w:rsidRPr="0097386F">
        <w:rPr>
          <w:rFonts w:ascii="Arial" w:hAnsi="Arial" w:cs="Arial"/>
        </w:rPr>
        <w:t xml:space="preserve">: </w:t>
      </w:r>
      <w:r w:rsidR="000D0BDB" w:rsidRPr="0097386F">
        <w:rPr>
          <w:rFonts w:ascii="Arial" w:hAnsi="Arial" w:cs="Arial"/>
        </w:rPr>
        <w:t>Marginal Cost and Benefit curves of GHG Emissions Abatement</w:t>
      </w:r>
    </w:p>
    <w:p w14:paraId="5547330A" w14:textId="7194C624" w:rsidR="00F46925" w:rsidRPr="0097386F" w:rsidRDefault="00F46925" w:rsidP="000E0B5D">
      <w:pPr>
        <w:jc w:val="both"/>
        <w:rPr>
          <w:rFonts w:ascii="Arial" w:hAnsi="Arial" w:cs="Arial"/>
        </w:rPr>
      </w:pPr>
    </w:p>
    <w:p w14:paraId="24FC3DE7" w14:textId="78660F86" w:rsidR="00F46925" w:rsidRPr="0097386F" w:rsidRDefault="00007EA4" w:rsidP="000E0B5D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>The constraints of th</w:t>
      </w:r>
      <w:r w:rsidR="00E23888" w:rsidRPr="0097386F">
        <w:rPr>
          <w:rFonts w:ascii="Arial" w:hAnsi="Arial" w:cs="Arial"/>
        </w:rPr>
        <w:t>is</w:t>
      </w:r>
      <w:r w:rsidRPr="0097386F">
        <w:rPr>
          <w:rFonts w:ascii="Arial" w:hAnsi="Arial" w:cs="Arial"/>
        </w:rPr>
        <w:t xml:space="preserve"> theoretical model do not reflect the complexity and dependencies of policy making. For one, the cost of dismantling the EU ETS or California C&amp;T systems to replace them with a carbon tax may immediately outweigh any near-term benefits. The urgency of abating GHG emissions quickly undermines such a drastic switch in policy. </w:t>
      </w:r>
      <w:r w:rsidR="00930C91" w:rsidRPr="0097386F">
        <w:rPr>
          <w:rFonts w:ascii="Arial" w:hAnsi="Arial" w:cs="Arial"/>
        </w:rPr>
        <w:t>Such</w:t>
      </w:r>
      <w:r w:rsidRPr="0097386F">
        <w:rPr>
          <w:rFonts w:ascii="Arial" w:hAnsi="Arial" w:cs="Arial"/>
        </w:rPr>
        <w:t xml:space="preserve"> a change might be more feasible on the regional scale in California rather than at a supranational level in Europe. A</w:t>
      </w:r>
      <w:r w:rsidR="00930C91" w:rsidRPr="0097386F">
        <w:rPr>
          <w:rFonts w:ascii="Arial" w:hAnsi="Arial" w:cs="Arial"/>
        </w:rPr>
        <w:t>nother</w:t>
      </w:r>
      <w:r w:rsidRPr="0097386F">
        <w:rPr>
          <w:rFonts w:ascii="Arial" w:hAnsi="Arial" w:cs="Arial"/>
        </w:rPr>
        <w:t xml:space="preserve"> flaw of the model is the assumption that </w:t>
      </w:r>
      <w:r w:rsidR="00026377" w:rsidRPr="0097386F">
        <w:rPr>
          <w:rFonts w:ascii="Arial" w:hAnsi="Arial" w:cs="Arial"/>
        </w:rPr>
        <w:t>the marginal benefit of abatement is flat, i.e. a linear return on emissions abatement. The assumption is based on theoretical simulation rather than longitudinal empirical study</w:t>
      </w:r>
      <w:r w:rsidR="00A21B15" w:rsidRPr="0097386F">
        <w:rPr>
          <w:rFonts w:ascii="Arial" w:hAnsi="Arial" w:cs="Arial"/>
        </w:rPr>
        <w:t xml:space="preserve">. Considering </w:t>
      </w:r>
      <w:r w:rsidR="0015650D" w:rsidRPr="0097386F">
        <w:rPr>
          <w:rFonts w:ascii="Arial" w:hAnsi="Arial" w:cs="Arial"/>
        </w:rPr>
        <w:t xml:space="preserve">the strategic complementarities of rapid </w:t>
      </w:r>
      <w:r w:rsidR="00A21B15" w:rsidRPr="0097386F">
        <w:rPr>
          <w:rFonts w:ascii="Arial" w:hAnsi="Arial" w:cs="Arial"/>
        </w:rPr>
        <w:t xml:space="preserve">emissions abatement within a wider policy strategy </w:t>
      </w:r>
      <w:r w:rsidR="0015650D" w:rsidRPr="0097386F">
        <w:rPr>
          <w:rFonts w:ascii="Arial" w:hAnsi="Arial" w:cs="Arial"/>
        </w:rPr>
        <w:t>may realise a steeper</w:t>
      </w:r>
      <w:r w:rsidR="009423F8" w:rsidRPr="0097386F">
        <w:rPr>
          <w:rFonts w:ascii="Arial" w:hAnsi="Arial" w:cs="Arial"/>
        </w:rPr>
        <w:t xml:space="preserve"> concave </w:t>
      </w:r>
      <w:r w:rsidR="00CF539F" w:rsidRPr="0097386F">
        <w:rPr>
          <w:rFonts w:ascii="Arial" w:hAnsi="Arial" w:cs="Arial"/>
        </w:rPr>
        <w:t>marginal benefits curve</w:t>
      </w:r>
      <w:r w:rsidR="00691295" w:rsidRPr="0097386F">
        <w:rPr>
          <w:rFonts w:ascii="Arial" w:hAnsi="Arial" w:cs="Arial"/>
        </w:rPr>
        <w:t xml:space="preserve"> </w:t>
      </w:r>
      <w:r w:rsidR="00691295" w:rsidRPr="0097386F">
        <w:rPr>
          <w:rFonts w:ascii="Arial" w:hAnsi="Arial" w:cs="Arial"/>
        </w:rPr>
        <w:fldChar w:fldCharType="begin">
          <w:fldData xml:space="preserve">PEVuZE5vdGU+PENpdGU+PEF1dGhvcj5Db3lsZTwvQXV0aG9yPjxZZWFyPjIwMjI8L1llYXI+PFJl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</w:fldData>
        </w:fldChar>
      </w:r>
      <w:r w:rsidR="00691295" w:rsidRPr="0097386F">
        <w:rPr>
          <w:rFonts w:ascii="Arial" w:hAnsi="Arial" w:cs="Arial"/>
        </w:rPr>
        <w:instrText xml:space="preserve"> ADDIN EN.CITE </w:instrText>
      </w:r>
      <w:r w:rsidR="00691295" w:rsidRPr="0097386F">
        <w:rPr>
          <w:rFonts w:ascii="Arial" w:hAnsi="Arial" w:cs="Arial"/>
        </w:rPr>
        <w:fldChar w:fldCharType="begin">
          <w:fldData xml:space="preserve">PEVuZE5vdGU+PENpdGU+PEF1dGhvcj5Db3lsZTwvQXV0aG9yPjxZZWFyPjIwMjI8L1llYXI+PFJl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</w:fldData>
        </w:fldChar>
      </w:r>
      <w:r w:rsidR="00691295" w:rsidRPr="0097386F">
        <w:rPr>
          <w:rFonts w:ascii="Arial" w:hAnsi="Arial" w:cs="Arial"/>
        </w:rPr>
        <w:instrText xml:space="preserve"> ADDIN EN.CITE.DATA </w:instrText>
      </w:r>
      <w:r w:rsidR="00691295" w:rsidRPr="0097386F">
        <w:rPr>
          <w:rFonts w:ascii="Arial" w:hAnsi="Arial" w:cs="Arial"/>
        </w:rPr>
      </w:r>
      <w:r w:rsidR="00691295" w:rsidRPr="0097386F">
        <w:rPr>
          <w:rFonts w:ascii="Arial" w:hAnsi="Arial" w:cs="Arial"/>
        </w:rPr>
        <w:fldChar w:fldCharType="end"/>
      </w:r>
      <w:r w:rsidR="00691295" w:rsidRPr="0097386F">
        <w:rPr>
          <w:rFonts w:ascii="Arial" w:hAnsi="Arial" w:cs="Arial"/>
        </w:rPr>
      </w:r>
      <w:r w:rsidR="00691295" w:rsidRPr="0097386F">
        <w:rPr>
          <w:rFonts w:ascii="Arial" w:hAnsi="Arial" w:cs="Arial"/>
        </w:rPr>
        <w:fldChar w:fldCharType="separate"/>
      </w:r>
      <w:r w:rsidR="00691295" w:rsidRPr="0097386F">
        <w:rPr>
          <w:rFonts w:ascii="Arial" w:hAnsi="Arial" w:cs="Arial"/>
          <w:noProof/>
        </w:rPr>
        <w:t>(Coyle, 2022; Karkatsoulis et al., 2016)</w:t>
      </w:r>
      <w:r w:rsidR="00691295" w:rsidRPr="0097386F">
        <w:rPr>
          <w:rFonts w:ascii="Arial" w:hAnsi="Arial" w:cs="Arial"/>
        </w:rPr>
        <w:fldChar w:fldCharType="end"/>
      </w:r>
      <w:r w:rsidR="00CF539F" w:rsidRPr="0097386F">
        <w:rPr>
          <w:rFonts w:ascii="Arial" w:hAnsi="Arial" w:cs="Arial"/>
        </w:rPr>
        <w:t>.</w:t>
      </w:r>
      <w:r w:rsidR="00ED6D0B" w:rsidRPr="0097386F">
        <w:rPr>
          <w:rFonts w:ascii="Arial" w:hAnsi="Arial" w:cs="Arial"/>
        </w:rPr>
        <w:t xml:space="preserve"> </w:t>
      </w:r>
      <w:r w:rsidR="00780192" w:rsidRPr="0097386F">
        <w:rPr>
          <w:rFonts w:ascii="Arial" w:hAnsi="Arial" w:cs="Arial"/>
        </w:rPr>
        <w:t xml:space="preserve">This finding is particularly relevant to California, a hotbed of innovation. </w:t>
      </w:r>
      <w:r w:rsidR="00733244" w:rsidRPr="0097386F">
        <w:rPr>
          <w:rFonts w:ascii="Arial" w:hAnsi="Arial" w:cs="Arial"/>
        </w:rPr>
        <w:t>Brink et al, 2016, also argue that tightening the emissions cap help improve the efficiency o</w:t>
      </w:r>
      <w:r w:rsidR="00367F52" w:rsidRPr="0097386F">
        <w:rPr>
          <w:rFonts w:ascii="Arial" w:hAnsi="Arial" w:cs="Arial"/>
        </w:rPr>
        <w:t xml:space="preserve">f emissions-trading </w:t>
      </w:r>
      <w:r w:rsidR="00704832" w:rsidRPr="0097386F">
        <w:rPr>
          <w:rFonts w:ascii="Arial" w:hAnsi="Arial" w:cs="Arial"/>
        </w:rPr>
        <w:fldChar w:fldCharType="begin"/>
      </w:r>
      <w:r w:rsidR="00704832" w:rsidRPr="0097386F">
        <w:rPr>
          <w:rFonts w:ascii="Arial" w:hAnsi="Arial" w:cs="Arial"/>
        </w:rPr>
        <w:instrText xml:space="preserve"> ADDIN EN.CITE &lt;EndNote&gt;&lt;Cite&gt;&lt;Author&gt;Brink&lt;/Author&gt;&lt;Year&gt;2016&lt;/Year&gt;&lt;RecNum&gt;81&lt;/RecNum&gt;&lt;DisplayText&gt;(Brink et al., 2016)&lt;/DisplayText&gt;&lt;record&gt;&lt;rec-number&gt;81&lt;/rec-number&gt;&lt;foreign-keys&gt;&lt;key app="EN" db-id="ttwsetvfy922vjexsf4xxeslw250dxrsttf5" timestamp="1769072982"&gt;81&lt;/key&gt;&lt;/foreign-keys&gt;&lt;ref-type name="Journal Article"&gt;17&lt;/ref-type&gt;&lt;contributors&gt;&lt;authors&gt;&lt;author&gt;Brink, Corjan&lt;/author&gt;&lt;author&gt;Vollebergh, Herman R. J.&lt;/author&gt;&lt;author&gt;Werf, Edwin&lt;/author&gt;&lt;/authors&gt;&lt;/contributors&gt;&lt;titles&gt;&lt;title&gt;Carbon pricing in the EU: Evaluation of different EU ETS reform option s&lt;/title&gt;&lt;secondary-title&gt;Energy Policy&lt;/secondary-title&gt;&lt;/titles&gt;&lt;periodical&gt;&lt;full-title&gt;Energy Policy&lt;/full-title&gt;&lt;/periodical&gt;&lt;pages&gt;603-617&lt;/pages&gt;&lt;volume&gt;97&lt;/volume&gt;&lt;dates&gt;&lt;year&gt;2016&lt;/year&gt;&lt;pub-dates&gt;&lt;date&gt;2016&lt;/date&gt;&lt;/pub-dates&gt;&lt;/dates&gt;&lt;urls&gt;&lt;related-urls&gt;&lt;url&gt;https://www.sciencedirect.com/science/article/pii/S0301421516303755&lt;/url&gt;&lt;/related-urls&gt;&lt;/urls&gt;&lt;electronic-resource-num&gt;10.1016/j.enpol.2016.07.023&lt;/electronic-resource-num&gt;&lt;/record&gt;&lt;/Cite&gt;&lt;/EndNote&gt;</w:instrText>
      </w:r>
      <w:r w:rsidR="00704832" w:rsidRPr="0097386F">
        <w:rPr>
          <w:rFonts w:ascii="Arial" w:hAnsi="Arial" w:cs="Arial"/>
        </w:rPr>
        <w:fldChar w:fldCharType="separate"/>
      </w:r>
      <w:r w:rsidR="00704832" w:rsidRPr="0097386F">
        <w:rPr>
          <w:rFonts w:ascii="Arial" w:hAnsi="Arial" w:cs="Arial"/>
          <w:noProof/>
        </w:rPr>
        <w:t>(Brink et al., 2016)</w:t>
      </w:r>
      <w:r w:rsidR="00704832" w:rsidRPr="0097386F">
        <w:rPr>
          <w:rFonts w:ascii="Arial" w:hAnsi="Arial" w:cs="Arial"/>
        </w:rPr>
        <w:fldChar w:fldCharType="end"/>
      </w:r>
      <w:r w:rsidR="00367F52" w:rsidRPr="0097386F">
        <w:rPr>
          <w:rFonts w:ascii="Arial" w:hAnsi="Arial" w:cs="Arial"/>
        </w:rPr>
        <w:t>.</w:t>
      </w:r>
    </w:p>
    <w:p w14:paraId="0656A658" w14:textId="40D6E228" w:rsidR="00007EA4" w:rsidRPr="0097386F" w:rsidRDefault="00EB155A" w:rsidP="000E0B5D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>Another issue with carbon tax is that the regulator doesn’t initially know the level of tax that will prompt the desired level of abatement. Once a tax is set, firms will adjust their output so that the marginal cost of one further unit of output equals the marginal cost of production</w:t>
      </w:r>
      <w:r w:rsidR="00954F5D" w:rsidRPr="0097386F">
        <w:rPr>
          <w:rFonts w:ascii="Arial" w:hAnsi="Arial" w:cs="Arial"/>
        </w:rPr>
        <w:t xml:space="preserve"> including tax. This minimises the overall cost of abatement, but the overall abatement level is unknown in advance. This </w:t>
      </w:r>
      <w:r w:rsidR="000D5E25" w:rsidRPr="0097386F">
        <w:rPr>
          <w:rFonts w:ascii="Arial" w:hAnsi="Arial" w:cs="Arial"/>
        </w:rPr>
        <w:t xml:space="preserve">Regulator’s Dilemma </w:t>
      </w:r>
      <w:r w:rsidR="00954F5D" w:rsidRPr="0097386F">
        <w:rPr>
          <w:rFonts w:ascii="Arial" w:hAnsi="Arial" w:cs="Arial"/>
        </w:rPr>
        <w:t>extends the time required to achieve the desired level of abatement through trial and error of tax adjustments</w:t>
      </w:r>
      <w:r w:rsidR="007B32FA" w:rsidRPr="0097386F">
        <w:rPr>
          <w:rFonts w:ascii="Arial" w:hAnsi="Arial" w:cs="Arial"/>
        </w:rPr>
        <w:t xml:space="preserve">, undesirable in the context of an urgent climate crisis. </w:t>
      </w:r>
    </w:p>
    <w:p w14:paraId="2ECB2219" w14:textId="21924D5E" w:rsidR="00AA2FFB" w:rsidRPr="0097386F" w:rsidRDefault="00485A9C" w:rsidP="000E0B5D">
      <w:pPr>
        <w:jc w:val="both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Of course, the two Cap and Trade systems are not without their flaws. Most pressing is the risk of </w:t>
      </w:r>
      <w:r w:rsidR="00086925" w:rsidRPr="0097386F">
        <w:rPr>
          <w:rFonts w:ascii="Arial" w:hAnsi="Arial" w:cs="Arial"/>
        </w:rPr>
        <w:t xml:space="preserve">carbon leakage as firms shift production outside the scope of the trading scheme. CBAM </w:t>
      </w:r>
      <w:r w:rsidR="00473BDA" w:rsidRPr="0097386F">
        <w:rPr>
          <w:rFonts w:ascii="Arial" w:hAnsi="Arial" w:cs="Arial"/>
        </w:rPr>
        <w:t>(</w:t>
      </w:r>
      <w:r w:rsidR="00A943C0" w:rsidRPr="0097386F">
        <w:rPr>
          <w:rFonts w:ascii="Arial" w:hAnsi="Arial" w:cs="Arial"/>
        </w:rPr>
        <w:t xml:space="preserve">essentially a tariff on imported goods) </w:t>
      </w:r>
      <w:r w:rsidR="00086925" w:rsidRPr="0097386F">
        <w:rPr>
          <w:rFonts w:ascii="Arial" w:hAnsi="Arial" w:cs="Arial"/>
        </w:rPr>
        <w:t xml:space="preserve">mitigates this risk in Europe, but </w:t>
      </w:r>
      <w:r w:rsidR="0052581F" w:rsidRPr="0097386F">
        <w:rPr>
          <w:rFonts w:ascii="Arial" w:hAnsi="Arial" w:cs="Arial"/>
        </w:rPr>
        <w:t xml:space="preserve">it remains highly prevalent in California. </w:t>
      </w:r>
      <w:r w:rsidR="00C148E2" w:rsidRPr="0097386F">
        <w:rPr>
          <w:rFonts w:ascii="Arial" w:hAnsi="Arial" w:cs="Arial"/>
        </w:rPr>
        <w:t xml:space="preserve">Both schemes use free allocations of </w:t>
      </w:r>
      <w:r w:rsidR="009A0444" w:rsidRPr="0097386F">
        <w:rPr>
          <w:rFonts w:ascii="Arial" w:hAnsi="Arial" w:cs="Arial"/>
        </w:rPr>
        <w:t>permits</w:t>
      </w:r>
      <w:r w:rsidR="00C148E2" w:rsidRPr="0097386F">
        <w:rPr>
          <w:rFonts w:ascii="Arial" w:hAnsi="Arial" w:cs="Arial"/>
        </w:rPr>
        <w:t xml:space="preserve"> to support industries at risk</w:t>
      </w:r>
      <w:r w:rsidR="009A0444" w:rsidRPr="0097386F">
        <w:rPr>
          <w:rFonts w:ascii="Arial" w:hAnsi="Arial" w:cs="Arial"/>
        </w:rPr>
        <w:t>, but the complex methodology</w:t>
      </w:r>
      <w:r w:rsidR="00EC65BC" w:rsidRPr="0097386F">
        <w:rPr>
          <w:rFonts w:ascii="Arial" w:hAnsi="Arial" w:cs="Arial"/>
        </w:rPr>
        <w:t xml:space="preserve"> </w:t>
      </w:r>
      <w:r w:rsidR="009A0444" w:rsidRPr="0097386F">
        <w:rPr>
          <w:rFonts w:ascii="Arial" w:hAnsi="Arial" w:cs="Arial"/>
        </w:rPr>
        <w:t>may</w:t>
      </w:r>
      <w:r w:rsidR="00EC65BC" w:rsidRPr="0097386F">
        <w:rPr>
          <w:rFonts w:ascii="Arial" w:hAnsi="Arial" w:cs="Arial"/>
        </w:rPr>
        <w:t xml:space="preserve"> </w:t>
      </w:r>
      <w:r w:rsidR="009A0444" w:rsidRPr="0097386F">
        <w:rPr>
          <w:rFonts w:ascii="Arial" w:hAnsi="Arial" w:cs="Arial"/>
        </w:rPr>
        <w:t xml:space="preserve">discourage </w:t>
      </w:r>
      <w:r w:rsidR="00EC65BC" w:rsidRPr="0097386F">
        <w:rPr>
          <w:rFonts w:ascii="Arial" w:hAnsi="Arial" w:cs="Arial"/>
        </w:rPr>
        <w:t xml:space="preserve">new </w:t>
      </w:r>
      <w:r w:rsidR="009A0444" w:rsidRPr="0097386F">
        <w:rPr>
          <w:rFonts w:ascii="Arial" w:hAnsi="Arial" w:cs="Arial"/>
        </w:rPr>
        <w:t>market entrants.</w:t>
      </w:r>
      <w:r w:rsidR="00EC65BC" w:rsidRPr="0097386F">
        <w:rPr>
          <w:rFonts w:ascii="Arial" w:hAnsi="Arial" w:cs="Arial"/>
        </w:rPr>
        <w:t xml:space="preserve"> </w:t>
      </w:r>
    </w:p>
    <w:p w14:paraId="43AFE3B3" w14:textId="273105D7" w:rsidR="005A69F6" w:rsidRPr="0097386F" w:rsidRDefault="005A69F6" w:rsidP="003D7741">
      <w:pPr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Finally, political considerations </w:t>
      </w:r>
      <w:r w:rsidR="009A0444" w:rsidRPr="0097386F">
        <w:rPr>
          <w:rFonts w:ascii="Arial" w:hAnsi="Arial" w:cs="Arial"/>
        </w:rPr>
        <w:t>important</w:t>
      </w:r>
      <w:r w:rsidR="00B34BAE" w:rsidRPr="0097386F">
        <w:rPr>
          <w:rFonts w:ascii="Arial" w:hAnsi="Arial" w:cs="Arial"/>
        </w:rPr>
        <w:t xml:space="preserve">. </w:t>
      </w:r>
      <w:r w:rsidR="00DC6035" w:rsidRPr="0097386F">
        <w:rPr>
          <w:rFonts w:ascii="Arial" w:hAnsi="Arial" w:cs="Arial"/>
        </w:rPr>
        <w:t xml:space="preserve">Taxing carbon is particularly visible and often unpalatable. The failed introduction of a carbon tax in France in 2009 is one example of this </w:t>
      </w:r>
      <w:r w:rsidR="007F02E9" w:rsidRPr="0097386F">
        <w:rPr>
          <w:rFonts w:ascii="Arial" w:hAnsi="Arial" w:cs="Arial"/>
        </w:rPr>
        <w:fldChar w:fldCharType="begin"/>
      </w:r>
      <w:r w:rsidR="007F02E9" w:rsidRPr="0097386F">
        <w:rPr>
          <w:rFonts w:ascii="Arial" w:hAnsi="Arial" w:cs="Arial"/>
        </w:rPr>
        <w:instrText xml:space="preserve"> ADDIN EN.CITE &lt;EndNote&gt;&lt;Cite&gt;&lt;Author&gt;France24 News&lt;/Author&gt;&lt;Year&gt;2009&lt;/Year&gt;&lt;RecNum&gt;82&lt;/RecNum&gt;&lt;DisplayText&gt;(France24 News, 2009)&lt;/DisplayText&gt;&lt;record&gt;&lt;rec-number&gt;82&lt;/rec-number&gt;&lt;foreign-keys&gt;&lt;key app="EN" db-id="ttwsetvfy922vjexsf4xxeslw250dxrsttf5" timestamp="1769073033"&gt;82&lt;/key&gt;&lt;/foreign-keys&gt;&lt;ref-type name="Generic"&gt;13&lt;/ref-type&gt;&lt;contributors&gt;&lt;authors&gt;&lt;author&gt;France24 News,&lt;/author&gt;&lt;/authors&gt;&lt;/contributors&gt;&lt;titles&gt;&lt;title&gt;Constitutional court rules Sarkozy’s carbon tax unfair&lt;/title&gt;&lt;/titles&gt;&lt;dates&gt;&lt;year&gt;2009&lt;/year&gt;&lt;pub-dates&gt;&lt;date&gt;2009/12/30/&lt;/date&gt;&lt;/pub-dates&gt;&lt;/dates&gt;&lt;urls&gt;&lt;related-urls&gt;&lt;url&gt;https://www.france24.com/en/20091230-constitutional-court-rules-sarkozys-carbon-tax-unfair&lt;/url&gt;&lt;/related-urls&gt;&lt;/urls&gt;&lt;/record&gt;&lt;/Cite&gt;&lt;/EndNote&gt;</w:instrText>
      </w:r>
      <w:r w:rsidR="007F02E9" w:rsidRPr="0097386F">
        <w:rPr>
          <w:rFonts w:ascii="Arial" w:hAnsi="Arial" w:cs="Arial"/>
        </w:rPr>
        <w:fldChar w:fldCharType="separate"/>
      </w:r>
      <w:r w:rsidR="007F02E9" w:rsidRPr="0097386F">
        <w:rPr>
          <w:rFonts w:ascii="Arial" w:hAnsi="Arial" w:cs="Arial"/>
          <w:noProof/>
        </w:rPr>
        <w:t>(France24 News, 2009)</w:t>
      </w:r>
      <w:r w:rsidR="007F02E9" w:rsidRPr="0097386F">
        <w:rPr>
          <w:rFonts w:ascii="Arial" w:hAnsi="Arial" w:cs="Arial"/>
        </w:rPr>
        <w:fldChar w:fldCharType="end"/>
      </w:r>
      <w:r w:rsidR="00DC6035" w:rsidRPr="0097386F">
        <w:rPr>
          <w:rFonts w:ascii="Arial" w:hAnsi="Arial" w:cs="Arial"/>
        </w:rPr>
        <w:t>.</w:t>
      </w:r>
      <w:r w:rsidR="003D7741" w:rsidRPr="0097386F">
        <w:rPr>
          <w:rFonts w:ascii="Arial" w:hAnsi="Arial" w:cs="Arial"/>
        </w:rPr>
        <w:t xml:space="preserve"> Owning the status quo is thus a weighty argument in favour of carbon trading.</w:t>
      </w:r>
    </w:p>
    <w:p w14:paraId="27456473" w14:textId="77777777" w:rsidR="00485A9C" w:rsidRPr="0097386F" w:rsidRDefault="00485A9C" w:rsidP="000E0B5D">
      <w:pPr>
        <w:jc w:val="both"/>
        <w:rPr>
          <w:rFonts w:ascii="Arial" w:hAnsi="Arial" w:cs="Arial"/>
        </w:rPr>
      </w:pPr>
    </w:p>
    <w:p w14:paraId="2A7EE121" w14:textId="4454FD8F" w:rsidR="002044AF" w:rsidRPr="0097386F" w:rsidRDefault="00F12010" w:rsidP="00F12010">
      <w:pPr>
        <w:pStyle w:val="Heading1"/>
        <w:rPr>
          <w:rFonts w:ascii="Arial" w:hAnsi="Arial" w:cs="Arial"/>
          <w:color w:val="auto"/>
          <w:sz w:val="36"/>
          <w:szCs w:val="36"/>
        </w:rPr>
      </w:pPr>
      <w:r w:rsidRPr="0097386F">
        <w:rPr>
          <w:rFonts w:ascii="Arial" w:hAnsi="Arial" w:cs="Arial"/>
          <w:color w:val="auto"/>
          <w:sz w:val="36"/>
          <w:szCs w:val="36"/>
        </w:rPr>
        <w:lastRenderedPageBreak/>
        <w:t>Bibliography</w:t>
      </w:r>
    </w:p>
    <w:p w14:paraId="5B99C1A5" w14:textId="004513B7" w:rsidR="005E57CB" w:rsidRPr="0097386F" w:rsidRDefault="002044AF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fldChar w:fldCharType="begin"/>
      </w:r>
      <w:r w:rsidRPr="0097386F">
        <w:rPr>
          <w:rFonts w:ascii="Arial" w:hAnsi="Arial" w:cs="Arial"/>
        </w:rPr>
        <w:instrText xml:space="preserve"> ADDIN EN.REFLIST </w:instrText>
      </w:r>
      <w:r w:rsidRPr="0097386F">
        <w:rPr>
          <w:rFonts w:ascii="Arial" w:hAnsi="Arial" w:cs="Arial"/>
        </w:rPr>
        <w:fldChar w:fldCharType="separate"/>
      </w:r>
      <w:r w:rsidR="005E57CB" w:rsidRPr="0097386F">
        <w:rPr>
          <w:rFonts w:ascii="Arial" w:hAnsi="Arial" w:cs="Arial"/>
        </w:rPr>
        <w:t xml:space="preserve">Analysis, U. S. B. o. E. (2025). Gross Domestic Product: All Industry Total in California (FRED series CANGSP). In. </w:t>
      </w:r>
      <w:hyperlink r:id="rId12" w:history="1">
        <w:r w:rsidR="005E57CB" w:rsidRPr="0097386F">
          <w:rPr>
            <w:rStyle w:val="Hyperlink"/>
            <w:rFonts w:ascii="Arial" w:hAnsi="Arial" w:cs="Arial"/>
          </w:rPr>
          <w:t>https://fred.stlouisfed.org/series/CANGSP</w:t>
        </w:r>
      </w:hyperlink>
    </w:p>
    <w:p w14:paraId="44D5FBFF" w14:textId="16B1559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Brink, C., Vollebergh, H. R. J., &amp; Werf, E. (2016). Carbon pricing in the EU: Evaluation of different EU ETS reform option s. </w:t>
      </w:r>
      <w:r w:rsidRPr="0097386F">
        <w:rPr>
          <w:rFonts w:ascii="Arial" w:hAnsi="Arial" w:cs="Arial"/>
          <w:i/>
        </w:rPr>
        <w:t>Energy Policy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97</w:t>
      </w:r>
      <w:r w:rsidRPr="0097386F">
        <w:rPr>
          <w:rFonts w:ascii="Arial" w:hAnsi="Arial" w:cs="Arial"/>
        </w:rPr>
        <w:t xml:space="preserve">, 603-617. </w:t>
      </w:r>
      <w:hyperlink r:id="rId13" w:history="1">
        <w:r w:rsidRPr="0097386F">
          <w:rPr>
            <w:rStyle w:val="Hyperlink"/>
            <w:rFonts w:ascii="Arial" w:hAnsi="Arial" w:cs="Arial"/>
          </w:rPr>
          <w:t>https://doi.org/10.1016/j.enpol.2016.07.023</w:t>
        </w:r>
      </w:hyperlink>
      <w:r w:rsidRPr="0097386F">
        <w:rPr>
          <w:rFonts w:ascii="Arial" w:hAnsi="Arial" w:cs="Arial"/>
        </w:rPr>
        <w:t xml:space="preserve"> </w:t>
      </w:r>
    </w:p>
    <w:p w14:paraId="0BCAB6CC" w14:textId="5D6B61F1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 Air Resources Board. (2025a). 2000–2023 Greenhouse Gas Inventory by Economic Sector (NC-GHG_INVENTOR Y_SECTOR_ALL_00-23.XLSX). In. </w:t>
      </w:r>
      <w:hyperlink r:id="rId14" w:history="1">
        <w:r w:rsidRPr="0097386F">
          <w:rPr>
            <w:rStyle w:val="Hyperlink"/>
            <w:rFonts w:ascii="Arial" w:hAnsi="Arial" w:cs="Arial"/>
          </w:rPr>
          <w:t>https://ww2.arb.ca.gov/sites/default/files/2025-11/nc-ghg_inventory_sector_all_00-23.xlsx</w:t>
        </w:r>
      </w:hyperlink>
    </w:p>
    <w:p w14:paraId="2AD0DC4D" w14:textId="20049B8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 Air Resources Board. (2025b). </w:t>
      </w:r>
      <w:r w:rsidRPr="0097386F">
        <w:rPr>
          <w:rFonts w:ascii="Arial" w:hAnsi="Arial" w:cs="Arial"/>
          <w:i/>
        </w:rPr>
        <w:t>2025 Annual Report to the Legislature on California Climate Investment s Using Cap-and-Trade Auction Proceeds</w:t>
      </w:r>
      <w:r w:rsidRPr="0097386F">
        <w:rPr>
          <w:rFonts w:ascii="Arial" w:hAnsi="Arial" w:cs="Arial"/>
        </w:rPr>
        <w:t xml:space="preserve"> [techreport]. </w:t>
      </w:r>
      <w:hyperlink r:id="rId15" w:history="1">
        <w:r w:rsidRPr="0097386F">
          <w:rPr>
            <w:rStyle w:val="Hyperlink"/>
            <w:rFonts w:ascii="Arial" w:hAnsi="Arial" w:cs="Arial"/>
          </w:rPr>
          <w:t>https://ww2.arb.ca.gov/sites/default/files/auction-proceeds/cci_annual_report_2025.pdf</w:t>
        </w:r>
      </w:hyperlink>
    </w:p>
    <w:p w14:paraId="062B4FDA" w14:textId="110F8E7A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 Air Resources Board. (2025c). Allowance Allocation — Cap-and-Trade Program. In. </w:t>
      </w:r>
      <w:hyperlink r:id="rId16" w:history="1">
        <w:r w:rsidRPr="0097386F">
          <w:rPr>
            <w:rStyle w:val="Hyperlink"/>
            <w:rFonts w:ascii="Arial" w:hAnsi="Arial" w:cs="Arial"/>
          </w:rPr>
          <w:t>https://ww2.arb.ca.gov/our-work/programs/cap-and-trade-program/allowance-allocation</w:t>
        </w:r>
      </w:hyperlink>
    </w:p>
    <w:p w14:paraId="1234AD9F" w14:textId="3BC9DD9F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 Air Resources Board. (2025d). California Climate Investments Data Dashboard. In. </w:t>
      </w:r>
      <w:hyperlink r:id="rId17" w:history="1">
        <w:r w:rsidRPr="0097386F">
          <w:rPr>
            <w:rStyle w:val="Hyperlink"/>
            <w:rFonts w:ascii="Arial" w:hAnsi="Arial" w:cs="Arial"/>
          </w:rPr>
          <w:t>https://www.caclimateinvestments.ca.gov/cci-data-dashboard</w:t>
        </w:r>
      </w:hyperlink>
    </w:p>
    <w:p w14:paraId="3273C405" w14:textId="57107283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California Energy Commission. (2025). California’s Battery Storage Fleet Continues Record Growth, Strengthen ing Grid Reliability. In. </w:t>
      </w:r>
      <w:hyperlink r:id="rId18" w:history="1">
        <w:r w:rsidRPr="0097386F">
          <w:rPr>
            <w:rStyle w:val="Hyperlink"/>
            <w:rFonts w:ascii="Arial" w:hAnsi="Arial" w:cs="Arial"/>
          </w:rPr>
          <w:t>https://www.energy.ca.gov/news/2025-11/californias-battery-storage-fleet-continues-record-growth-strengthening-grid</w:t>
        </w:r>
      </w:hyperlink>
    </w:p>
    <w:p w14:paraId="350D07FB" w14:textId="5CBE106E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Coyle, D. (2022). Shaping successful mega-project investments. </w:t>
      </w:r>
      <w:r w:rsidRPr="0097386F">
        <w:rPr>
          <w:rFonts w:ascii="Arial" w:hAnsi="Arial" w:cs="Arial"/>
          <w:i/>
        </w:rPr>
        <w:t>Oxford Review of Economic Policy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38</w:t>
      </w:r>
      <w:r w:rsidRPr="0097386F">
        <w:rPr>
          <w:rFonts w:ascii="Arial" w:hAnsi="Arial" w:cs="Arial"/>
        </w:rPr>
        <w:t xml:space="preserve">(2), 224-236. </w:t>
      </w:r>
      <w:hyperlink r:id="rId19" w:history="1">
        <w:r w:rsidRPr="0097386F">
          <w:rPr>
            <w:rStyle w:val="Hyperlink"/>
            <w:rFonts w:ascii="Arial" w:hAnsi="Arial" w:cs="Arial"/>
          </w:rPr>
          <w:t>https://doi.org/10.1093/oxrep/grac003</w:t>
        </w:r>
      </w:hyperlink>
      <w:r w:rsidRPr="0097386F">
        <w:rPr>
          <w:rFonts w:ascii="Arial" w:hAnsi="Arial" w:cs="Arial"/>
        </w:rPr>
        <w:t xml:space="preserve"> </w:t>
      </w:r>
    </w:p>
    <w:p w14:paraId="18931F8E" w14:textId="7953D085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European Commission. (2023). </w:t>
      </w:r>
      <w:r w:rsidRPr="0097386F">
        <w:rPr>
          <w:rFonts w:ascii="Arial" w:hAnsi="Arial" w:cs="Arial"/>
          <w:i/>
        </w:rPr>
        <w:t>Report from the Commission to the European Parliament and the Council on the functioning of the European carbon market in 2022</w:t>
      </w:r>
      <w:r w:rsidRPr="0097386F">
        <w:rPr>
          <w:rFonts w:ascii="Arial" w:hAnsi="Arial" w:cs="Arial"/>
        </w:rPr>
        <w:t xml:space="preserve"> [techreport](COM(2023) 654 final). </w:t>
      </w:r>
      <w:hyperlink r:id="rId20" w:history="1">
        <w:r w:rsidRPr="0097386F">
          <w:rPr>
            <w:rStyle w:val="Hyperlink"/>
            <w:rFonts w:ascii="Arial" w:hAnsi="Arial" w:cs="Arial"/>
          </w:rPr>
          <w:t>https://eur-lex.europa.eu/legal-content/EN/TXT/?uri=CELEX:52023DC0654</w:t>
        </w:r>
      </w:hyperlink>
    </w:p>
    <w:p w14:paraId="449BF222" w14:textId="69711C43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European Commission. (2024). </w:t>
      </w:r>
      <w:r w:rsidRPr="0097386F">
        <w:rPr>
          <w:rFonts w:ascii="Arial" w:hAnsi="Arial" w:cs="Arial"/>
          <w:i/>
        </w:rPr>
        <w:t>General Guidance Document No. 1 on the Harmonised Free Allocation Meth odology for the EU Emissions Trading System</w:t>
      </w:r>
      <w:r w:rsidRPr="0097386F">
        <w:rPr>
          <w:rFonts w:ascii="Arial" w:hAnsi="Arial" w:cs="Arial"/>
        </w:rPr>
        <w:t xml:space="preserve"> [techreport]. </w:t>
      </w:r>
      <w:hyperlink r:id="rId21" w:history="1">
        <w:r w:rsidRPr="0097386F">
          <w:rPr>
            <w:rStyle w:val="Hyperlink"/>
            <w:rFonts w:ascii="Arial" w:hAnsi="Arial" w:cs="Arial"/>
          </w:rPr>
          <w:t>https://climate.ec.europa.eu/document/download/d5276f6c-4355-438a-a0ef-0c03a9b34a39_en?filename=1_gd1_general_guidance_en.pdf</w:t>
        </w:r>
      </w:hyperlink>
    </w:p>
    <w:p w14:paraId="7AAD34BD" w14:textId="673A8002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European Commission. (2025). Energy Efficiency Directive. In. </w:t>
      </w:r>
      <w:hyperlink r:id="rId22" w:history="1">
        <w:r w:rsidRPr="0097386F">
          <w:rPr>
            <w:rStyle w:val="Hyperlink"/>
            <w:rFonts w:ascii="Arial" w:hAnsi="Arial" w:cs="Arial"/>
          </w:rPr>
          <w:t>https://energy.ec.europa.eu/topics/energy-efficiency/energy-efficiency-targets-directive-and-rules/energy-efficiency-directive_en</w:t>
        </w:r>
      </w:hyperlink>
    </w:p>
    <w:p w14:paraId="1A4B3C30" w14:textId="4C196B00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Eurostat. (2025a). EU labour market - quarterly statistics. In. </w:t>
      </w:r>
      <w:hyperlink r:id="rId23" w:history="1">
        <w:r w:rsidRPr="0097386F">
          <w:rPr>
            <w:rStyle w:val="Hyperlink"/>
            <w:rFonts w:ascii="Arial" w:hAnsi="Arial" w:cs="Arial"/>
          </w:rPr>
          <w:t>https://ec.europa.eu/eurostat/statistics-explained/index.php?title=EU_labour_market_-_quarterly_statistics</w:t>
        </w:r>
      </w:hyperlink>
    </w:p>
    <w:p w14:paraId="22116D40" w14:textId="013E83CD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Eurostat. (2025b). STS_Industrial_production_2025_V2.xlsx: Industrial Production Short-Te rm Statistics. In. </w:t>
      </w:r>
      <w:hyperlink r:id="rId24" w:history="1">
        <w:r w:rsidRPr="0097386F">
          <w:rPr>
            <w:rStyle w:val="Hyperlink"/>
            <w:rFonts w:ascii="Arial" w:hAnsi="Arial" w:cs="Arial"/>
          </w:rPr>
          <w:t>https://ec.europa.eu/eurostat/statistics-explained/images/d/dc/STS_Industrial_production_2025_V2.xlsx</w:t>
        </w:r>
      </w:hyperlink>
    </w:p>
    <w:p w14:paraId="78BBD813" w14:textId="439EB411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France24 News. (2009). Constitutional court rules Sarkozy’s carbon tax unfair. In. </w:t>
      </w:r>
      <w:hyperlink r:id="rId25" w:history="1">
        <w:r w:rsidRPr="0097386F">
          <w:rPr>
            <w:rStyle w:val="Hyperlink"/>
            <w:rFonts w:ascii="Arial" w:hAnsi="Arial" w:cs="Arial"/>
          </w:rPr>
          <w:t>https://www.france24.com/en/20091230-constitutional-court-rules-sarkozys-carbon-tax-unfair</w:t>
        </w:r>
      </w:hyperlink>
    </w:p>
    <w:p w14:paraId="18AA198C" w14:textId="58F4A450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Holliman, A., &amp; Collins, K. (2023). California’s cap-and-trade program: is it effective in advancing socia l, economic, and environmental equity? </w:t>
      </w:r>
      <w:r w:rsidRPr="0097386F">
        <w:rPr>
          <w:rFonts w:ascii="Arial" w:hAnsi="Arial" w:cs="Arial"/>
          <w:i/>
        </w:rPr>
        <w:t>Public Administration and Policy: An Asia-Pacific Journal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26</w:t>
      </w:r>
      <w:r w:rsidRPr="0097386F">
        <w:rPr>
          <w:rFonts w:ascii="Arial" w:hAnsi="Arial" w:cs="Arial"/>
        </w:rPr>
        <w:t xml:space="preserve">(2), 128-141. </w:t>
      </w:r>
      <w:hyperlink r:id="rId26" w:history="1">
        <w:r w:rsidRPr="0097386F">
          <w:rPr>
            <w:rStyle w:val="Hyperlink"/>
            <w:rFonts w:ascii="Arial" w:hAnsi="Arial" w:cs="Arial"/>
          </w:rPr>
          <w:t>https://doi.org/10.1108/PAP-06-2022-0069</w:t>
        </w:r>
      </w:hyperlink>
      <w:r w:rsidRPr="0097386F">
        <w:rPr>
          <w:rFonts w:ascii="Arial" w:hAnsi="Arial" w:cs="Arial"/>
        </w:rPr>
        <w:t xml:space="preserve"> </w:t>
      </w:r>
    </w:p>
    <w:p w14:paraId="59EB1ED8" w14:textId="55F625F2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International Carbon Action, P. (2025). </w:t>
      </w:r>
      <w:r w:rsidRPr="0097386F">
        <w:rPr>
          <w:rFonts w:ascii="Arial" w:hAnsi="Arial" w:cs="Arial"/>
          <w:i/>
        </w:rPr>
        <w:t>Emissions Trading Worldwide: Status Report 2025 – June Updates</w:t>
      </w:r>
      <w:r w:rsidRPr="0097386F">
        <w:rPr>
          <w:rFonts w:ascii="Arial" w:hAnsi="Arial" w:cs="Arial"/>
        </w:rPr>
        <w:t xml:space="preserve"> [techreport]. </w:t>
      </w:r>
      <w:hyperlink r:id="rId27" w:history="1">
        <w:r w:rsidRPr="0097386F">
          <w:rPr>
            <w:rStyle w:val="Hyperlink"/>
            <w:rFonts w:ascii="Arial" w:hAnsi="Arial" w:cs="Arial"/>
          </w:rPr>
          <w:t>https://icapcarbonaction.com/system/files/document/250612_icap_sr25_june-updates.pdf</w:t>
        </w:r>
      </w:hyperlink>
    </w:p>
    <w:p w14:paraId="46173A83" w14:textId="17304F44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International Carbon Action Partnership. (2025). </w:t>
      </w:r>
      <w:r w:rsidRPr="0097386F">
        <w:rPr>
          <w:rFonts w:ascii="Arial" w:hAnsi="Arial" w:cs="Arial"/>
          <w:i/>
        </w:rPr>
        <w:t>Emissions Trading Worldwide: ICAP Status Report 2025 – June Updates</w:t>
      </w:r>
      <w:r w:rsidRPr="0097386F">
        <w:rPr>
          <w:rFonts w:ascii="Arial" w:hAnsi="Arial" w:cs="Arial"/>
        </w:rPr>
        <w:t xml:space="preserve"> [techreport]. </w:t>
      </w:r>
      <w:hyperlink r:id="rId28" w:history="1">
        <w:r w:rsidRPr="0097386F">
          <w:rPr>
            <w:rStyle w:val="Hyperlink"/>
            <w:rFonts w:ascii="Arial" w:hAnsi="Arial" w:cs="Arial"/>
          </w:rPr>
          <w:t>https://icapcarbonaction.com/system/files/document/250612_icap_sr25_june-updates.pdf</w:t>
        </w:r>
      </w:hyperlink>
    </w:p>
    <w:p w14:paraId="49EB3129" w14:textId="29DB624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Jaraitē, J., &amp; Maria, C. D. (2016). Did the EU ETS Make a Difference? An Empirical Assessment Using Lithua nian Firm-Level Data. </w:t>
      </w:r>
      <w:r w:rsidRPr="0097386F">
        <w:rPr>
          <w:rFonts w:ascii="Arial" w:hAnsi="Arial" w:cs="Arial"/>
          <w:i/>
        </w:rPr>
        <w:t>The Energy Journal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37</w:t>
      </w:r>
      <w:r w:rsidRPr="0097386F">
        <w:rPr>
          <w:rFonts w:ascii="Arial" w:hAnsi="Arial" w:cs="Arial"/>
        </w:rPr>
        <w:t xml:space="preserve">(2), 68-92. </w:t>
      </w:r>
      <w:hyperlink r:id="rId29" w:history="1">
        <w:r w:rsidRPr="0097386F">
          <w:rPr>
            <w:rStyle w:val="Hyperlink"/>
            <w:rFonts w:ascii="Arial" w:hAnsi="Arial" w:cs="Arial"/>
          </w:rPr>
          <w:t>https://doi.org/10.5547/01956574.37.2.jjar</w:t>
        </w:r>
      </w:hyperlink>
      <w:r w:rsidRPr="0097386F">
        <w:rPr>
          <w:rFonts w:ascii="Arial" w:hAnsi="Arial" w:cs="Arial"/>
        </w:rPr>
        <w:t xml:space="preserve"> </w:t>
      </w:r>
    </w:p>
    <w:p w14:paraId="4741E90D" w14:textId="4339154C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>Karkatsoulis, P., Capros, P., Fragkos, P., Paroussos, L., &amp; Tsani, S. (2016). First</w:t>
      </w:r>
      <w:r w:rsidRPr="0097386F">
        <w:rPr>
          <w:rFonts w:ascii="Cambria Math" w:hAnsi="Cambria Math" w:cs="Cambria Math"/>
        </w:rPr>
        <w:t>‑</w:t>
      </w:r>
      <w:r w:rsidRPr="0097386F">
        <w:rPr>
          <w:rFonts w:ascii="Arial" w:hAnsi="Arial" w:cs="Arial"/>
        </w:rPr>
        <w:t xml:space="preserve">mover advantages of the European Union’s climate change mitigati on strategy. </w:t>
      </w:r>
      <w:r w:rsidRPr="0097386F">
        <w:rPr>
          <w:rFonts w:ascii="Arial" w:hAnsi="Arial" w:cs="Arial"/>
          <w:i/>
        </w:rPr>
        <w:t>International Journal of Energy Research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40</w:t>
      </w:r>
      <w:r w:rsidRPr="0097386F">
        <w:rPr>
          <w:rFonts w:ascii="Arial" w:hAnsi="Arial" w:cs="Arial"/>
        </w:rPr>
        <w:t xml:space="preserve">(6), 814-830. </w:t>
      </w:r>
      <w:hyperlink r:id="rId30" w:history="1">
        <w:r w:rsidRPr="0097386F">
          <w:rPr>
            <w:rStyle w:val="Hyperlink"/>
            <w:rFonts w:ascii="Arial" w:hAnsi="Arial" w:cs="Arial"/>
          </w:rPr>
          <w:t>https://doi.org/10.1002/er.3487</w:t>
        </w:r>
      </w:hyperlink>
      <w:r w:rsidRPr="0097386F">
        <w:rPr>
          <w:rFonts w:ascii="Arial" w:hAnsi="Arial" w:cs="Arial"/>
        </w:rPr>
        <w:t xml:space="preserve"> </w:t>
      </w:r>
    </w:p>
    <w:p w14:paraId="5C594A2A" w14:textId="714F9AEF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Kramer, N., &amp; Lessmann, C. (2024). The effect of cap-and-trade on sectoral emissions: Evidence from Calif ornia. </w:t>
      </w:r>
      <w:r w:rsidRPr="0097386F">
        <w:rPr>
          <w:rFonts w:ascii="Arial" w:hAnsi="Arial" w:cs="Arial"/>
          <w:i/>
        </w:rPr>
        <w:t>Energy Policy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188</w:t>
      </w:r>
      <w:r w:rsidRPr="0097386F">
        <w:rPr>
          <w:rFonts w:ascii="Arial" w:hAnsi="Arial" w:cs="Arial"/>
        </w:rPr>
        <w:t xml:space="preserve">, 113504. </w:t>
      </w:r>
      <w:hyperlink r:id="rId31" w:history="1">
        <w:r w:rsidRPr="0097386F">
          <w:rPr>
            <w:rStyle w:val="Hyperlink"/>
            <w:rFonts w:ascii="Arial" w:hAnsi="Arial" w:cs="Arial"/>
          </w:rPr>
          <w:t>https://doi.org/10.1016/j.enpol.2024.113504</w:t>
        </w:r>
      </w:hyperlink>
      <w:r w:rsidRPr="0097386F">
        <w:rPr>
          <w:rFonts w:ascii="Arial" w:hAnsi="Arial" w:cs="Arial"/>
        </w:rPr>
        <w:t xml:space="preserve"> </w:t>
      </w:r>
    </w:p>
    <w:p w14:paraId="2D762021" w14:textId="526C2C33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Laing, T., Sato, M., Grubb, M., &amp; Comberti, C. (2013). </w:t>
      </w:r>
      <w:r w:rsidRPr="0097386F">
        <w:rPr>
          <w:rFonts w:ascii="Arial" w:hAnsi="Arial" w:cs="Arial"/>
          <w:i/>
        </w:rPr>
        <w:t>Assessing the Effectiveness of the EU Emissions Trading System</w:t>
      </w:r>
      <w:r w:rsidRPr="0097386F">
        <w:rPr>
          <w:rFonts w:ascii="Arial" w:hAnsi="Arial" w:cs="Arial"/>
        </w:rPr>
        <w:t xml:space="preserve"> [Working Paper](106). </w:t>
      </w:r>
      <w:hyperlink r:id="rId32" w:history="1">
        <w:r w:rsidRPr="0097386F">
          <w:rPr>
            <w:rStyle w:val="Hyperlink"/>
            <w:rFonts w:ascii="Arial" w:hAnsi="Arial" w:cs="Arial"/>
          </w:rPr>
          <w:t>https://www.jcfj.ie/wp-content/uploads/2016/02/WP106-effectiveness-eu-emissions-trading-system.pdf</w:t>
        </w:r>
      </w:hyperlink>
    </w:p>
    <w:p w14:paraId="4E6AC14C" w14:textId="1E661AF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Marin, G., Marino, M., &amp; Pellegrin, C. (2018). The Impact of the European Emission Trading Scheme on Multiple Measure s of Economic Performance. </w:t>
      </w:r>
      <w:r w:rsidRPr="0097386F">
        <w:rPr>
          <w:rFonts w:ascii="Arial" w:hAnsi="Arial" w:cs="Arial"/>
          <w:i/>
        </w:rPr>
        <w:t>Environmental &amp; Resource Economics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71</w:t>
      </w:r>
      <w:r w:rsidRPr="0097386F">
        <w:rPr>
          <w:rFonts w:ascii="Arial" w:hAnsi="Arial" w:cs="Arial"/>
        </w:rPr>
        <w:t xml:space="preserve">(2), 551-582. </w:t>
      </w:r>
      <w:hyperlink r:id="rId33" w:history="1">
        <w:r w:rsidRPr="0097386F">
          <w:rPr>
            <w:rStyle w:val="Hyperlink"/>
            <w:rFonts w:ascii="Arial" w:hAnsi="Arial" w:cs="Arial"/>
          </w:rPr>
          <w:t>https://doi.org/10.1007/s10640-017-0173-0</w:t>
        </w:r>
      </w:hyperlink>
      <w:r w:rsidRPr="0097386F">
        <w:rPr>
          <w:rFonts w:ascii="Arial" w:hAnsi="Arial" w:cs="Arial"/>
        </w:rPr>
        <w:t xml:space="preserve"> </w:t>
      </w:r>
    </w:p>
    <w:p w14:paraId="6E2055BF" w14:textId="0F168F8B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Metcalf, G. E. (2023). Five myths about carbon pricing. </w:t>
      </w:r>
      <w:r w:rsidRPr="0097386F">
        <w:rPr>
          <w:rFonts w:ascii="Arial" w:hAnsi="Arial" w:cs="Arial"/>
          <w:i/>
        </w:rPr>
        <w:t>Oxford Review of Economic Policy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39</w:t>
      </w:r>
      <w:r w:rsidRPr="0097386F">
        <w:rPr>
          <w:rFonts w:ascii="Arial" w:hAnsi="Arial" w:cs="Arial"/>
        </w:rPr>
        <w:t xml:space="preserve">(4), 680-693. </w:t>
      </w:r>
      <w:hyperlink r:id="rId34" w:history="1">
        <w:r w:rsidRPr="0097386F">
          <w:rPr>
            <w:rStyle w:val="Hyperlink"/>
            <w:rFonts w:ascii="Arial" w:hAnsi="Arial" w:cs="Arial"/>
          </w:rPr>
          <w:t>https://doi.org/10.1093/oxrep/grad042</w:t>
        </w:r>
      </w:hyperlink>
      <w:r w:rsidRPr="0097386F">
        <w:rPr>
          <w:rFonts w:ascii="Arial" w:hAnsi="Arial" w:cs="Arial"/>
        </w:rPr>
        <w:t xml:space="preserve"> </w:t>
      </w:r>
    </w:p>
    <w:p w14:paraId="3BB0CE05" w14:textId="1592073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Newell, R. G., &amp; Pizer, W. A. (2003). Regulating stock externalities under uncertainty. </w:t>
      </w:r>
      <w:r w:rsidRPr="0097386F">
        <w:rPr>
          <w:rFonts w:ascii="Arial" w:hAnsi="Arial" w:cs="Arial"/>
          <w:i/>
        </w:rPr>
        <w:t>Journal of Environmental Economics and Management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45</w:t>
      </w:r>
      <w:r w:rsidRPr="0097386F">
        <w:rPr>
          <w:rFonts w:ascii="Arial" w:hAnsi="Arial" w:cs="Arial"/>
        </w:rPr>
        <w:t xml:space="preserve">(2), 416-432. </w:t>
      </w:r>
      <w:hyperlink r:id="rId35" w:history="1">
        <w:r w:rsidRPr="0097386F">
          <w:rPr>
            <w:rStyle w:val="Hyperlink"/>
            <w:rFonts w:ascii="Arial" w:hAnsi="Arial" w:cs="Arial"/>
          </w:rPr>
          <w:t>https://doi.org/10.1016/S0095-0696(02)00016-5</w:t>
        </w:r>
      </w:hyperlink>
      <w:r w:rsidRPr="0097386F">
        <w:rPr>
          <w:rFonts w:ascii="Arial" w:hAnsi="Arial" w:cs="Arial"/>
        </w:rPr>
        <w:t xml:space="preserve"> </w:t>
      </w:r>
    </w:p>
    <w:p w14:paraId="7BFDD958" w14:textId="7C570677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Our World in Data. (2025). Share of electricity generation from renewable sources (%): EU27. In. </w:t>
      </w:r>
      <w:hyperlink r:id="rId36" w:history="1">
        <w:r w:rsidRPr="0097386F">
          <w:rPr>
            <w:rStyle w:val="Hyperlink"/>
            <w:rFonts w:ascii="Arial" w:hAnsi="Arial" w:cs="Arial"/>
          </w:rPr>
          <w:t>https://ourworldindata.org/grapher/share-electricity-renewables?tab=line&amp;country</w:t>
        </w:r>
      </w:hyperlink>
      <w:r w:rsidRPr="0097386F">
        <w:rPr>
          <w:rFonts w:ascii="Arial" w:hAnsi="Arial" w:cs="Arial"/>
        </w:rPr>
        <w:t>= OWID_EU27&amp;mapSelect= OWID_EU27</w:t>
      </w:r>
    </w:p>
    <w:p w14:paraId="01271B91" w14:textId="54422A56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U.S. Bureau of Economic Analysis. (2025). Gross Domestic Product (GDP) by State. In. </w:t>
      </w:r>
      <w:hyperlink r:id="rId37" w:history="1">
        <w:r w:rsidRPr="0097386F">
          <w:rPr>
            <w:rStyle w:val="Hyperlink"/>
            <w:rFonts w:ascii="Arial" w:hAnsi="Arial" w:cs="Arial"/>
          </w:rPr>
          <w:t>https://www.bea.gov/data/gdp/gdp-state</w:t>
        </w:r>
      </w:hyperlink>
    </w:p>
    <w:p w14:paraId="0A8F6381" w14:textId="5E18644C" w:rsidR="005E57CB" w:rsidRPr="0097386F" w:rsidRDefault="005E57CB" w:rsidP="005E57CB">
      <w:pPr>
        <w:pStyle w:val="EndNoteBibliography"/>
        <w:spacing w:after="0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Weitzman, M. L. (1974). Prices vs. Quantities. </w:t>
      </w:r>
      <w:r w:rsidRPr="0097386F">
        <w:rPr>
          <w:rFonts w:ascii="Arial" w:hAnsi="Arial" w:cs="Arial"/>
          <w:i/>
        </w:rPr>
        <w:t>The Review of Economic Studies</w:t>
      </w:r>
      <w:r w:rsidRPr="0097386F">
        <w:rPr>
          <w:rFonts w:ascii="Arial" w:hAnsi="Arial" w:cs="Arial"/>
        </w:rPr>
        <w:t>,</w:t>
      </w:r>
      <w:r w:rsidRPr="0097386F">
        <w:rPr>
          <w:rFonts w:ascii="Arial" w:hAnsi="Arial" w:cs="Arial"/>
          <w:i/>
        </w:rPr>
        <w:t xml:space="preserve"> 41</w:t>
      </w:r>
      <w:r w:rsidRPr="0097386F">
        <w:rPr>
          <w:rFonts w:ascii="Arial" w:hAnsi="Arial" w:cs="Arial"/>
        </w:rPr>
        <w:t xml:space="preserve">(4), 477-491. </w:t>
      </w:r>
      <w:hyperlink r:id="rId38" w:history="1">
        <w:r w:rsidRPr="0097386F">
          <w:rPr>
            <w:rStyle w:val="Hyperlink"/>
            <w:rFonts w:ascii="Arial" w:hAnsi="Arial" w:cs="Arial"/>
          </w:rPr>
          <w:t>https://doi.org/10.2307/2296698</w:t>
        </w:r>
      </w:hyperlink>
      <w:r w:rsidRPr="0097386F">
        <w:rPr>
          <w:rFonts w:ascii="Arial" w:hAnsi="Arial" w:cs="Arial"/>
        </w:rPr>
        <w:t xml:space="preserve"> </w:t>
      </w:r>
    </w:p>
    <w:p w14:paraId="3E25CC78" w14:textId="70433928" w:rsidR="005E57CB" w:rsidRPr="0097386F" w:rsidRDefault="005E57CB" w:rsidP="005E57CB">
      <w:pPr>
        <w:pStyle w:val="EndNoteBibliography"/>
        <w:ind w:left="720" w:hanging="720"/>
        <w:rPr>
          <w:rFonts w:ascii="Arial" w:hAnsi="Arial" w:cs="Arial"/>
        </w:rPr>
      </w:pPr>
      <w:r w:rsidRPr="0097386F">
        <w:rPr>
          <w:rFonts w:ascii="Arial" w:hAnsi="Arial" w:cs="Arial"/>
        </w:rPr>
        <w:t xml:space="preserve">World Bank. (2025). GDP growth (annual %): European Union (Indicator: NY.GDP.MKTP.KD.ZG). In. </w:t>
      </w:r>
      <w:hyperlink r:id="rId39" w:history="1">
        <w:r w:rsidRPr="0097386F">
          <w:rPr>
            <w:rStyle w:val="Hyperlink"/>
            <w:rFonts w:ascii="Arial" w:hAnsi="Arial" w:cs="Arial"/>
          </w:rPr>
          <w:t>https://data.worldbank.org/indicator/NY.GDP.MKTP.KD.ZG?end=2023&amp;locations=EU&amp;start=2019&amp;view=chart</w:t>
        </w:r>
      </w:hyperlink>
    </w:p>
    <w:p w14:paraId="14DAB077" w14:textId="3BB2319B" w:rsidR="007D0383" w:rsidRPr="0097386F" w:rsidRDefault="002044AF" w:rsidP="002A383B">
      <w:pPr>
        <w:rPr>
          <w:rFonts w:ascii="Arial" w:hAnsi="Arial" w:cs="Arial"/>
        </w:rPr>
      </w:pPr>
      <w:r w:rsidRPr="0097386F">
        <w:rPr>
          <w:rFonts w:ascii="Arial" w:hAnsi="Arial" w:cs="Arial"/>
        </w:rPr>
        <w:fldChar w:fldCharType="end"/>
      </w:r>
    </w:p>
    <w:sectPr w:rsidR="007D0383" w:rsidRPr="0097386F" w:rsidSect="001D1E75">
      <w:headerReference w:type="default" r:id="rId40"/>
      <w:footerReference w:type="defaul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4F5C" w14:textId="77777777" w:rsidR="00AF5888" w:rsidRDefault="00AF5888" w:rsidP="006F08AB">
      <w:pPr>
        <w:spacing w:after="0" w:line="240" w:lineRule="auto"/>
      </w:pPr>
      <w:r>
        <w:separator/>
      </w:r>
    </w:p>
  </w:endnote>
  <w:endnote w:type="continuationSeparator" w:id="0">
    <w:p w14:paraId="463C13B1" w14:textId="77777777" w:rsidR="00AF5888" w:rsidRDefault="00AF5888" w:rsidP="006F08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6BEDE" w14:textId="77777777" w:rsidR="00F7562E" w:rsidRPr="00F7562E" w:rsidRDefault="00F7562E">
    <w:pPr>
      <w:pStyle w:val="Footer"/>
      <w:jc w:val="center"/>
      <w:rPr>
        <w:rFonts w:ascii="Arial" w:hAnsi="Arial" w:cs="Arial"/>
      </w:rPr>
    </w:pPr>
    <w:r w:rsidRPr="00F7562E">
      <w:rPr>
        <w:rFonts w:ascii="Arial" w:hAnsi="Arial" w:cs="Arial"/>
      </w:rPr>
      <w:t xml:space="preserve">Page </w:t>
    </w:r>
    <w:r w:rsidRPr="00F7562E">
      <w:rPr>
        <w:rFonts w:ascii="Arial" w:hAnsi="Arial" w:cs="Arial"/>
        <w:b/>
        <w:bCs/>
      </w:rPr>
      <w:fldChar w:fldCharType="begin"/>
    </w:r>
    <w:r w:rsidRPr="00F7562E">
      <w:rPr>
        <w:rFonts w:ascii="Arial" w:hAnsi="Arial" w:cs="Arial"/>
        <w:b/>
        <w:bCs/>
      </w:rPr>
      <w:instrText xml:space="preserve"> PAGE  \* Arabic  \* MERGEFORMAT </w:instrText>
    </w:r>
    <w:r w:rsidRPr="00F7562E">
      <w:rPr>
        <w:rFonts w:ascii="Arial" w:hAnsi="Arial" w:cs="Arial"/>
        <w:b/>
        <w:bCs/>
      </w:rPr>
      <w:fldChar w:fldCharType="separate"/>
    </w:r>
    <w:r w:rsidRPr="00F7562E">
      <w:rPr>
        <w:rFonts w:ascii="Arial" w:hAnsi="Arial" w:cs="Arial"/>
        <w:b/>
        <w:bCs/>
        <w:noProof/>
      </w:rPr>
      <w:t>2</w:t>
    </w:r>
    <w:r w:rsidRPr="00F7562E">
      <w:rPr>
        <w:rFonts w:ascii="Arial" w:hAnsi="Arial" w:cs="Arial"/>
        <w:b/>
        <w:bCs/>
      </w:rPr>
      <w:fldChar w:fldCharType="end"/>
    </w:r>
    <w:r w:rsidRPr="00F7562E">
      <w:rPr>
        <w:rFonts w:ascii="Arial" w:hAnsi="Arial" w:cs="Arial"/>
        <w:b/>
        <w:bCs/>
      </w:rPr>
      <w:t xml:space="preserve"> </w:t>
    </w:r>
    <w:r w:rsidRPr="00F7562E">
      <w:rPr>
        <w:rFonts w:ascii="Arial" w:hAnsi="Arial" w:cs="Arial"/>
      </w:rPr>
      <w:t xml:space="preserve">of </w:t>
    </w:r>
    <w:r w:rsidRPr="00F7562E">
      <w:rPr>
        <w:rFonts w:ascii="Arial" w:hAnsi="Arial" w:cs="Arial"/>
        <w:b/>
        <w:bCs/>
      </w:rPr>
      <w:fldChar w:fldCharType="begin"/>
    </w:r>
    <w:r w:rsidRPr="00F7562E">
      <w:rPr>
        <w:rFonts w:ascii="Arial" w:hAnsi="Arial" w:cs="Arial"/>
        <w:b/>
        <w:bCs/>
      </w:rPr>
      <w:instrText xml:space="preserve"> NUMPAGES  \* Arabic  \* MERGEFORMAT </w:instrText>
    </w:r>
    <w:r w:rsidRPr="00F7562E">
      <w:rPr>
        <w:rFonts w:ascii="Arial" w:hAnsi="Arial" w:cs="Arial"/>
        <w:b/>
        <w:bCs/>
      </w:rPr>
      <w:fldChar w:fldCharType="separate"/>
    </w:r>
    <w:r w:rsidRPr="00F7562E">
      <w:rPr>
        <w:rFonts w:ascii="Arial" w:hAnsi="Arial" w:cs="Arial"/>
        <w:b/>
        <w:bCs/>
        <w:noProof/>
      </w:rPr>
      <w:t>2</w:t>
    </w:r>
    <w:r w:rsidRPr="00F7562E">
      <w:rPr>
        <w:rFonts w:ascii="Arial" w:hAnsi="Arial" w:cs="Arial"/>
        <w:b/>
        <w:bCs/>
      </w:rPr>
      <w:fldChar w:fldCharType="end"/>
    </w:r>
  </w:p>
  <w:p w14:paraId="2CCD1C4E" w14:textId="77777777" w:rsidR="00F7562E" w:rsidRDefault="00F75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4D8A" w14:textId="77777777" w:rsidR="00AF5888" w:rsidRDefault="00AF5888" w:rsidP="006F08AB">
      <w:pPr>
        <w:spacing w:after="0" w:line="240" w:lineRule="auto"/>
      </w:pPr>
      <w:r>
        <w:separator/>
      </w:r>
    </w:p>
  </w:footnote>
  <w:footnote w:type="continuationSeparator" w:id="0">
    <w:p w14:paraId="426E6F35" w14:textId="77777777" w:rsidR="00AF5888" w:rsidRDefault="00AF5888" w:rsidP="006F08AB">
      <w:pPr>
        <w:spacing w:after="0" w:line="240" w:lineRule="auto"/>
      </w:pPr>
      <w:r>
        <w:continuationSeparator/>
      </w:r>
    </w:p>
  </w:footnote>
  <w:footnote w:id="1">
    <w:p w14:paraId="153784A7" w14:textId="24770D7C" w:rsidR="00EC3C07" w:rsidRPr="0097386F" w:rsidRDefault="00EC3C07">
      <w:pPr>
        <w:pStyle w:val="FootnoteText"/>
        <w:rPr>
          <w:rFonts w:ascii="Arial" w:hAnsi="Arial" w:cs="Arial"/>
        </w:rPr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On a C0</w:t>
      </w:r>
      <w:r w:rsidRPr="0097386F">
        <w:rPr>
          <w:rFonts w:ascii="Arial" w:hAnsi="Arial" w:cs="Arial"/>
          <w:vertAlign w:val="subscript"/>
        </w:rPr>
        <w:t>2</w:t>
      </w:r>
      <w:r w:rsidRPr="0097386F">
        <w:rPr>
          <w:rFonts w:ascii="Arial" w:hAnsi="Arial" w:cs="Arial"/>
        </w:rPr>
        <w:t>e basis: CO</w:t>
      </w:r>
      <w:r w:rsidRPr="0097386F">
        <w:rPr>
          <w:rFonts w:ascii="Cambria Math" w:hAnsi="Cambria Math" w:cs="Cambria Math"/>
        </w:rPr>
        <w:t>₂</w:t>
      </w:r>
      <w:r w:rsidRPr="0097386F">
        <w:rPr>
          <w:rFonts w:ascii="Arial" w:hAnsi="Arial" w:cs="Arial"/>
        </w:rPr>
        <w:t>, N</w:t>
      </w:r>
      <w:r w:rsidRPr="0097386F">
        <w:rPr>
          <w:rFonts w:ascii="Arial" w:hAnsi="Arial" w:cs="Arial"/>
          <w:vertAlign w:val="subscript"/>
        </w:rPr>
        <w:t>2</w:t>
      </w:r>
      <w:r w:rsidRPr="0097386F">
        <w:rPr>
          <w:rFonts w:ascii="Arial" w:hAnsi="Arial" w:cs="Arial"/>
        </w:rPr>
        <w:t>O, HFCs, PFCs.</w:t>
      </w:r>
    </w:p>
  </w:footnote>
  <w:footnote w:id="2">
    <w:p w14:paraId="3C4F9D3C" w14:textId="03F4D162" w:rsidR="00BC0903" w:rsidRPr="0097386F" w:rsidRDefault="00BC0903">
      <w:pPr>
        <w:pStyle w:val="FootnoteText"/>
        <w:rPr>
          <w:rFonts w:ascii="Arial" w:hAnsi="Arial" w:cs="Arial"/>
        </w:rPr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</w:t>
      </w:r>
      <w:r w:rsidR="00D94ACC" w:rsidRPr="0097386F">
        <w:rPr>
          <w:rFonts w:ascii="Arial" w:hAnsi="Arial" w:cs="Arial"/>
        </w:rPr>
        <w:t>C</w:t>
      </w:r>
      <w:r w:rsidR="001965A4" w:rsidRPr="0097386F">
        <w:rPr>
          <w:rFonts w:ascii="Arial" w:hAnsi="Arial" w:cs="Arial"/>
        </w:rPr>
        <w:t xml:space="preserve">overage is restricted to </w:t>
      </w:r>
      <w:r w:rsidR="00793432" w:rsidRPr="0097386F">
        <w:rPr>
          <w:rFonts w:ascii="Arial" w:hAnsi="Arial" w:cs="Arial"/>
        </w:rPr>
        <w:t>flights within the</w:t>
      </w:r>
      <w:r w:rsidR="001965A4" w:rsidRPr="0097386F">
        <w:rPr>
          <w:rFonts w:ascii="Arial" w:hAnsi="Arial" w:cs="Arial"/>
        </w:rPr>
        <w:t xml:space="preserve"> European Economic Area</w:t>
      </w:r>
      <w:r w:rsidR="00793432" w:rsidRPr="0097386F">
        <w:rPr>
          <w:rFonts w:ascii="Arial" w:hAnsi="Arial" w:cs="Arial"/>
        </w:rPr>
        <w:t>,</w:t>
      </w:r>
      <w:r w:rsidR="00240891" w:rsidRPr="0097386F">
        <w:rPr>
          <w:rFonts w:ascii="Arial" w:hAnsi="Arial" w:cs="Arial"/>
        </w:rPr>
        <w:t xml:space="preserve"> to the</w:t>
      </w:r>
      <w:r w:rsidR="00030B6B" w:rsidRPr="0097386F">
        <w:rPr>
          <w:rFonts w:ascii="Arial" w:hAnsi="Arial" w:cs="Arial"/>
        </w:rPr>
        <w:t xml:space="preserve"> UK and Switzerland.</w:t>
      </w:r>
    </w:p>
  </w:footnote>
  <w:footnote w:id="3">
    <w:p w14:paraId="714C1C5C" w14:textId="75F3BE80" w:rsidR="00EC3C07" w:rsidRPr="0097386F" w:rsidRDefault="00EC3C07">
      <w:pPr>
        <w:pStyle w:val="FootnoteText"/>
        <w:rPr>
          <w:rFonts w:ascii="Arial" w:hAnsi="Arial" w:cs="Arial"/>
        </w:rPr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On a C0</w:t>
      </w:r>
      <w:r w:rsidRPr="0097386F">
        <w:rPr>
          <w:rFonts w:ascii="Arial" w:hAnsi="Arial" w:cs="Arial"/>
          <w:vertAlign w:val="subscript"/>
        </w:rPr>
        <w:t>2</w:t>
      </w:r>
      <w:r w:rsidRPr="0097386F">
        <w:rPr>
          <w:rFonts w:ascii="Arial" w:hAnsi="Arial" w:cs="Arial"/>
        </w:rPr>
        <w:t>e basis: CO</w:t>
      </w:r>
      <w:r w:rsidRPr="0097386F">
        <w:rPr>
          <w:rFonts w:ascii="Cambria Math" w:hAnsi="Cambria Math" w:cs="Cambria Math"/>
        </w:rPr>
        <w:t>₂</w:t>
      </w:r>
      <w:r w:rsidRPr="0097386F">
        <w:rPr>
          <w:rFonts w:ascii="Arial" w:hAnsi="Arial" w:cs="Arial"/>
        </w:rPr>
        <w:t>, CH</w:t>
      </w:r>
      <w:r w:rsidRPr="0097386F">
        <w:rPr>
          <w:rFonts w:ascii="Arial" w:hAnsi="Arial" w:cs="Arial"/>
          <w:vertAlign w:val="subscript"/>
        </w:rPr>
        <w:t>4</w:t>
      </w:r>
      <w:r w:rsidRPr="0097386F">
        <w:rPr>
          <w:rFonts w:ascii="Arial" w:hAnsi="Arial" w:cs="Arial"/>
        </w:rPr>
        <w:t>, N</w:t>
      </w:r>
      <w:r w:rsidRPr="0097386F">
        <w:rPr>
          <w:rFonts w:ascii="Arial" w:hAnsi="Arial" w:cs="Arial"/>
          <w:vertAlign w:val="subscript"/>
        </w:rPr>
        <w:t>2</w:t>
      </w:r>
      <w:r w:rsidRPr="0097386F">
        <w:rPr>
          <w:rFonts w:ascii="Arial" w:hAnsi="Arial" w:cs="Arial"/>
        </w:rPr>
        <w:t>O, SF</w:t>
      </w:r>
      <w:r w:rsidRPr="0097386F">
        <w:rPr>
          <w:rFonts w:ascii="Arial" w:hAnsi="Arial" w:cs="Arial"/>
          <w:vertAlign w:val="subscript"/>
        </w:rPr>
        <w:t>6</w:t>
      </w:r>
      <w:r w:rsidRPr="0097386F">
        <w:rPr>
          <w:rFonts w:ascii="Arial" w:hAnsi="Arial" w:cs="Arial"/>
        </w:rPr>
        <w:t>, HFCs, PFCs, NF</w:t>
      </w:r>
      <w:r w:rsidRPr="0097386F">
        <w:rPr>
          <w:rFonts w:ascii="Arial" w:hAnsi="Arial" w:cs="Arial"/>
          <w:vertAlign w:val="subscript"/>
        </w:rPr>
        <w:t>3</w:t>
      </w:r>
      <w:r w:rsidRPr="0097386F">
        <w:rPr>
          <w:rFonts w:ascii="Arial" w:hAnsi="Arial" w:cs="Arial"/>
        </w:rPr>
        <w:t>, other fluorinated GHGs.</w:t>
      </w:r>
    </w:p>
  </w:footnote>
  <w:footnote w:id="4">
    <w:p w14:paraId="610AC6B4" w14:textId="06E200B7" w:rsidR="00B01E71" w:rsidRDefault="00B01E71">
      <w:pPr>
        <w:pStyle w:val="FootnoteText"/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In competitive markets, energy intensive industry</w:t>
      </w:r>
      <w:r w:rsidR="00114CA8" w:rsidRPr="0097386F">
        <w:rPr>
          <w:rFonts w:ascii="Arial" w:hAnsi="Arial" w:cs="Arial"/>
        </w:rPr>
        <w:t xml:space="preserve"> often</w:t>
      </w:r>
      <w:r w:rsidRPr="0097386F">
        <w:rPr>
          <w:rFonts w:ascii="Arial" w:hAnsi="Arial" w:cs="Arial"/>
        </w:rPr>
        <w:t xml:space="preserve"> cannot pass the high-cost of abatement through to buyers and are instead incentivised to move production outside the carbon-trading region, i.e. the risk of carbon leakage is high.</w:t>
      </w:r>
    </w:p>
  </w:footnote>
  <w:footnote w:id="5">
    <w:p w14:paraId="684A76ED" w14:textId="40598D9F" w:rsidR="000912B4" w:rsidRPr="0097386F" w:rsidRDefault="000912B4">
      <w:pPr>
        <w:pStyle w:val="FootnoteText"/>
        <w:rPr>
          <w:rFonts w:ascii="Arial" w:hAnsi="Arial" w:cs="Arial"/>
        </w:rPr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Treatment of UK and Swiss flights has changed durin</w:t>
      </w:r>
      <w:r w:rsidR="006E1F46" w:rsidRPr="0097386F">
        <w:rPr>
          <w:rFonts w:ascii="Arial" w:hAnsi="Arial" w:cs="Arial"/>
        </w:rPr>
        <w:t>g this</w:t>
      </w:r>
      <w:r w:rsidRPr="0097386F">
        <w:rPr>
          <w:rFonts w:ascii="Arial" w:hAnsi="Arial" w:cs="Arial"/>
        </w:rPr>
        <w:t xml:space="preserve"> period, as well as flights from </w:t>
      </w:r>
      <w:r w:rsidR="00487EB6" w:rsidRPr="0097386F">
        <w:rPr>
          <w:rFonts w:ascii="Arial" w:hAnsi="Arial" w:cs="Arial"/>
        </w:rPr>
        <w:t xml:space="preserve">the EU’s nine outermost regions. </w:t>
      </w:r>
      <w:r w:rsidR="00C37936" w:rsidRPr="0097386F">
        <w:rPr>
          <w:rFonts w:ascii="Arial" w:hAnsi="Arial" w:cs="Arial"/>
        </w:rPr>
        <w:t>Y</w:t>
      </w:r>
      <w:r w:rsidR="00487EB6" w:rsidRPr="0097386F">
        <w:rPr>
          <w:rFonts w:ascii="Arial" w:hAnsi="Arial" w:cs="Arial"/>
        </w:rPr>
        <w:t>early figures</w:t>
      </w:r>
      <w:r w:rsidR="00C37936" w:rsidRPr="0097386F">
        <w:rPr>
          <w:rFonts w:ascii="Arial" w:hAnsi="Arial" w:cs="Arial"/>
        </w:rPr>
        <w:t xml:space="preserve"> are</w:t>
      </w:r>
      <w:r w:rsidR="00487EB6" w:rsidRPr="0097386F">
        <w:rPr>
          <w:rFonts w:ascii="Arial" w:hAnsi="Arial" w:cs="Arial"/>
        </w:rPr>
        <w:t xml:space="preserve"> highly </w:t>
      </w:r>
      <w:r w:rsidR="00C37936" w:rsidRPr="0097386F">
        <w:rPr>
          <w:rFonts w:ascii="Arial" w:hAnsi="Arial" w:cs="Arial"/>
        </w:rPr>
        <w:t>volatile as a result,</w:t>
      </w:r>
      <w:r w:rsidR="00CA7F91" w:rsidRPr="0097386F">
        <w:rPr>
          <w:rFonts w:ascii="Arial" w:hAnsi="Arial" w:cs="Arial"/>
        </w:rPr>
        <w:t xml:space="preserve"> and the average provides limited insight.</w:t>
      </w:r>
    </w:p>
  </w:footnote>
  <w:footnote w:id="6">
    <w:p w14:paraId="252A239C" w14:textId="2E5AB090" w:rsidR="00DD7D64" w:rsidRPr="0097386F" w:rsidRDefault="00DD7D64">
      <w:pPr>
        <w:pStyle w:val="FootnoteText"/>
        <w:rPr>
          <w:rFonts w:ascii="Arial" w:hAnsi="Arial" w:cs="Arial"/>
        </w:rPr>
      </w:pPr>
      <w:r w:rsidRPr="0097386F">
        <w:rPr>
          <w:rStyle w:val="FootnoteReference"/>
          <w:rFonts w:ascii="Arial" w:hAnsi="Arial" w:cs="Arial"/>
        </w:rPr>
        <w:footnoteRef/>
      </w:r>
      <w:r w:rsidRPr="0097386F">
        <w:rPr>
          <w:rFonts w:ascii="Arial" w:hAnsi="Arial" w:cs="Arial"/>
        </w:rPr>
        <w:t xml:space="preserve"> </w:t>
      </w:r>
      <w:r w:rsidR="00B64A45" w:rsidRPr="0097386F">
        <w:rPr>
          <w:rFonts w:ascii="Arial" w:hAnsi="Arial" w:cs="Arial"/>
        </w:rPr>
        <w:t xml:space="preserve">Total sectoral emissions are used as a proxy to direct emissions </w:t>
      </w:r>
      <w:r w:rsidR="00D31434" w:rsidRPr="0097386F">
        <w:rPr>
          <w:rFonts w:ascii="Arial" w:hAnsi="Arial" w:cs="Arial"/>
        </w:rPr>
        <w:t xml:space="preserve">data </w:t>
      </w:r>
      <w:r w:rsidR="00B64A45" w:rsidRPr="0097386F">
        <w:rPr>
          <w:rFonts w:ascii="Arial" w:hAnsi="Arial" w:cs="Arial"/>
        </w:rPr>
        <w:t xml:space="preserve">from </w:t>
      </w:r>
      <w:r w:rsidR="00390DE6" w:rsidRPr="0097386F">
        <w:rPr>
          <w:rFonts w:ascii="Arial" w:hAnsi="Arial" w:cs="Arial"/>
        </w:rPr>
        <w:t>California’s C&amp;T system</w:t>
      </w:r>
      <w:r w:rsidR="00B64A45" w:rsidRPr="0097386F">
        <w:rPr>
          <w:rFonts w:ascii="Arial" w:hAnsi="Arial" w:cs="Arial"/>
        </w:rPr>
        <w:t xml:space="preserve">. </w:t>
      </w:r>
      <w:r w:rsidR="00390DE6" w:rsidRPr="0097386F">
        <w:rPr>
          <w:rFonts w:ascii="Arial" w:hAnsi="Arial" w:cs="Arial"/>
        </w:rPr>
        <w:t>A portion of the emissions tabulated therefor</w:t>
      </w:r>
      <w:r w:rsidR="00D31434" w:rsidRPr="0097386F">
        <w:rPr>
          <w:rFonts w:ascii="Arial" w:hAnsi="Arial" w:cs="Arial"/>
        </w:rPr>
        <w:t>e</w:t>
      </w:r>
      <w:r w:rsidR="00390DE6" w:rsidRPr="0097386F">
        <w:rPr>
          <w:rFonts w:ascii="Arial" w:hAnsi="Arial" w:cs="Arial"/>
        </w:rPr>
        <w:t xml:space="preserve"> come</w:t>
      </w:r>
      <w:r w:rsidR="00476DA0" w:rsidRPr="0097386F">
        <w:rPr>
          <w:rFonts w:ascii="Arial" w:hAnsi="Arial" w:cs="Arial"/>
        </w:rPr>
        <w:t>s</w:t>
      </w:r>
      <w:r w:rsidR="00390DE6" w:rsidRPr="0097386F">
        <w:rPr>
          <w:rFonts w:ascii="Arial" w:hAnsi="Arial" w:cs="Arial"/>
        </w:rPr>
        <w:t xml:space="preserve"> from smaller installations not participating in the C&amp;T scheme.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CA4B" w14:textId="7B9DD9C6" w:rsidR="00F7562E" w:rsidRPr="00F7562E" w:rsidRDefault="001D1E75" w:rsidP="00F7562E">
    <w:pPr>
      <w:pStyle w:val="Header"/>
      <w:jc w:val="right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sz w:val="20"/>
        <w:szCs w:val="20"/>
      </w:rPr>
      <w:t xml:space="preserve">Michael </w:t>
    </w:r>
    <w:r w:rsidRPr="001D1E75">
      <w:rPr>
        <w:rFonts w:ascii="Arial" w:hAnsi="Arial" w:cs="Arial"/>
        <w:b/>
        <w:bCs/>
        <w:sz w:val="20"/>
        <w:szCs w:val="20"/>
      </w:rPr>
      <w:t>Kerins</w:t>
    </w:r>
  </w:p>
  <w:p w14:paraId="3B33C576" w14:textId="06B76454" w:rsidR="00F7562E" w:rsidRPr="00F7562E" w:rsidRDefault="00F7562E" w:rsidP="00F7562E">
    <w:pPr>
      <w:pStyle w:val="Header"/>
      <w:jc w:val="right"/>
      <w:rPr>
        <w:rFonts w:ascii="Arial" w:hAnsi="Arial"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6C2A"/>
    <w:multiLevelType w:val="hybridMultilevel"/>
    <w:tmpl w:val="AAB2F83A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419A"/>
    <w:multiLevelType w:val="hybridMultilevel"/>
    <w:tmpl w:val="13A63740"/>
    <w:lvl w:ilvl="0" w:tplc="D94E050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D5AE9"/>
    <w:multiLevelType w:val="hybridMultilevel"/>
    <w:tmpl w:val="CBE2501C"/>
    <w:lvl w:ilvl="0" w:tplc="0A92EE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36FB2"/>
    <w:multiLevelType w:val="hybridMultilevel"/>
    <w:tmpl w:val="3F7E48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976C7"/>
    <w:multiLevelType w:val="hybridMultilevel"/>
    <w:tmpl w:val="010A5E98"/>
    <w:lvl w:ilvl="0" w:tplc="447EEE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3AC4C4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942582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FD5C58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690204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22890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A4EEC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FFEC0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5626690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" w15:restartNumberingAfterBreak="0">
    <w:nsid w:val="320D486A"/>
    <w:multiLevelType w:val="multilevel"/>
    <w:tmpl w:val="9D82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F43E4"/>
    <w:multiLevelType w:val="hybridMultilevel"/>
    <w:tmpl w:val="95C89738"/>
    <w:lvl w:ilvl="0" w:tplc="D94E05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834CA"/>
    <w:multiLevelType w:val="multilevel"/>
    <w:tmpl w:val="DBF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BE5961"/>
    <w:multiLevelType w:val="hybridMultilevel"/>
    <w:tmpl w:val="45289322"/>
    <w:lvl w:ilvl="0" w:tplc="CAB4F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FA03A9"/>
    <w:multiLevelType w:val="hybridMultilevel"/>
    <w:tmpl w:val="22B03A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5314B"/>
    <w:multiLevelType w:val="hybridMultilevel"/>
    <w:tmpl w:val="6538AC70"/>
    <w:lvl w:ilvl="0" w:tplc="D94E05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23C49"/>
    <w:multiLevelType w:val="multilevel"/>
    <w:tmpl w:val="9D82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6D23D0"/>
    <w:multiLevelType w:val="hybridMultilevel"/>
    <w:tmpl w:val="217E68A8"/>
    <w:lvl w:ilvl="0" w:tplc="85802926">
      <w:start w:val="1"/>
      <w:numFmt w:val="decimal"/>
      <w:lvlText w:val="%1."/>
      <w:lvlJc w:val="left"/>
      <w:pPr>
        <w:ind w:left="1020" w:hanging="360"/>
      </w:pPr>
    </w:lvl>
    <w:lvl w:ilvl="1" w:tplc="F7261184">
      <w:start w:val="1"/>
      <w:numFmt w:val="decimal"/>
      <w:lvlText w:val="%2."/>
      <w:lvlJc w:val="left"/>
      <w:pPr>
        <w:ind w:left="1020" w:hanging="360"/>
      </w:pPr>
    </w:lvl>
    <w:lvl w:ilvl="2" w:tplc="54B402DC">
      <w:start w:val="1"/>
      <w:numFmt w:val="decimal"/>
      <w:lvlText w:val="%3."/>
      <w:lvlJc w:val="left"/>
      <w:pPr>
        <w:ind w:left="1020" w:hanging="360"/>
      </w:pPr>
    </w:lvl>
    <w:lvl w:ilvl="3" w:tplc="EB942468">
      <w:start w:val="1"/>
      <w:numFmt w:val="decimal"/>
      <w:lvlText w:val="%4."/>
      <w:lvlJc w:val="left"/>
      <w:pPr>
        <w:ind w:left="1020" w:hanging="360"/>
      </w:pPr>
    </w:lvl>
    <w:lvl w:ilvl="4" w:tplc="FA0432D0">
      <w:start w:val="1"/>
      <w:numFmt w:val="decimal"/>
      <w:lvlText w:val="%5."/>
      <w:lvlJc w:val="left"/>
      <w:pPr>
        <w:ind w:left="1020" w:hanging="360"/>
      </w:pPr>
    </w:lvl>
    <w:lvl w:ilvl="5" w:tplc="BCD269B6">
      <w:start w:val="1"/>
      <w:numFmt w:val="decimal"/>
      <w:lvlText w:val="%6."/>
      <w:lvlJc w:val="left"/>
      <w:pPr>
        <w:ind w:left="1020" w:hanging="360"/>
      </w:pPr>
    </w:lvl>
    <w:lvl w:ilvl="6" w:tplc="D2C8BEFE">
      <w:start w:val="1"/>
      <w:numFmt w:val="decimal"/>
      <w:lvlText w:val="%7."/>
      <w:lvlJc w:val="left"/>
      <w:pPr>
        <w:ind w:left="1020" w:hanging="360"/>
      </w:pPr>
    </w:lvl>
    <w:lvl w:ilvl="7" w:tplc="C4B4B694">
      <w:start w:val="1"/>
      <w:numFmt w:val="decimal"/>
      <w:lvlText w:val="%8."/>
      <w:lvlJc w:val="left"/>
      <w:pPr>
        <w:ind w:left="1020" w:hanging="360"/>
      </w:pPr>
    </w:lvl>
    <w:lvl w:ilvl="8" w:tplc="CBCE4FC8">
      <w:start w:val="1"/>
      <w:numFmt w:val="decimal"/>
      <w:lvlText w:val="%9."/>
      <w:lvlJc w:val="left"/>
      <w:pPr>
        <w:ind w:left="1020" w:hanging="360"/>
      </w:pPr>
    </w:lvl>
  </w:abstractNum>
  <w:abstractNum w:abstractNumId="13" w15:restartNumberingAfterBreak="0">
    <w:nsid w:val="67C823E8"/>
    <w:multiLevelType w:val="hybridMultilevel"/>
    <w:tmpl w:val="C8586920"/>
    <w:lvl w:ilvl="0" w:tplc="1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E537B6"/>
    <w:multiLevelType w:val="hybridMultilevel"/>
    <w:tmpl w:val="075A6E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E4A2E"/>
    <w:multiLevelType w:val="hybridMultilevel"/>
    <w:tmpl w:val="05A2702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583664">
    <w:abstractNumId w:val="13"/>
  </w:num>
  <w:num w:numId="2" w16cid:durableId="233660401">
    <w:abstractNumId w:val="12"/>
  </w:num>
  <w:num w:numId="3" w16cid:durableId="1154565206">
    <w:abstractNumId w:val="5"/>
  </w:num>
  <w:num w:numId="4" w16cid:durableId="2139567260">
    <w:abstractNumId w:val="11"/>
  </w:num>
  <w:num w:numId="5" w16cid:durableId="431517123">
    <w:abstractNumId w:val="7"/>
  </w:num>
  <w:num w:numId="6" w16cid:durableId="1308125180">
    <w:abstractNumId w:val="14"/>
  </w:num>
  <w:num w:numId="7" w16cid:durableId="823089444">
    <w:abstractNumId w:val="15"/>
  </w:num>
  <w:num w:numId="8" w16cid:durableId="1177579714">
    <w:abstractNumId w:val="2"/>
  </w:num>
  <w:num w:numId="9" w16cid:durableId="1273896115">
    <w:abstractNumId w:val="4"/>
  </w:num>
  <w:num w:numId="10" w16cid:durableId="1463503859">
    <w:abstractNumId w:val="8"/>
  </w:num>
  <w:num w:numId="11" w16cid:durableId="1335916951">
    <w:abstractNumId w:val="6"/>
  </w:num>
  <w:num w:numId="12" w16cid:durableId="1247029769">
    <w:abstractNumId w:val="9"/>
  </w:num>
  <w:num w:numId="13" w16cid:durableId="682821442">
    <w:abstractNumId w:val="3"/>
  </w:num>
  <w:num w:numId="14" w16cid:durableId="1242720510">
    <w:abstractNumId w:val="10"/>
  </w:num>
  <w:num w:numId="15" w16cid:durableId="1247887709">
    <w:abstractNumId w:val="0"/>
  </w:num>
  <w:num w:numId="16" w16cid:durableId="52972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 mk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twsetvfy922vjexsf4xxeslw250dxrsttf5&quot;&gt;Module Refs&lt;record-ids&gt;&lt;item&gt;25&lt;/item&gt;&lt;item&gt;55&lt;/item&gt;&lt;item&gt;56&lt;/item&gt;&lt;item&gt;57&lt;/item&gt;&lt;item&gt;58&lt;/item&gt;&lt;item&gt;59&lt;/item&gt;&lt;item&gt;60&lt;/item&gt;&lt;item&gt;61&lt;/item&gt;&lt;item&gt;62&lt;/item&gt;&lt;item&gt;63&lt;/item&gt;&lt;item&gt;64&lt;/item&gt;&lt;item&gt;65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/record-ids&gt;&lt;/item&gt;&lt;/Libraries&gt;"/>
  </w:docVars>
  <w:rsids>
    <w:rsidRoot w:val="0003397A"/>
    <w:rsid w:val="00000668"/>
    <w:rsid w:val="00001D62"/>
    <w:rsid w:val="00003561"/>
    <w:rsid w:val="000052C7"/>
    <w:rsid w:val="00007EA4"/>
    <w:rsid w:val="00015A66"/>
    <w:rsid w:val="00015CDA"/>
    <w:rsid w:val="0001612D"/>
    <w:rsid w:val="00017F5F"/>
    <w:rsid w:val="00025AE4"/>
    <w:rsid w:val="00026377"/>
    <w:rsid w:val="0002679E"/>
    <w:rsid w:val="00027E24"/>
    <w:rsid w:val="00030009"/>
    <w:rsid w:val="00030B6B"/>
    <w:rsid w:val="00033563"/>
    <w:rsid w:val="0003397A"/>
    <w:rsid w:val="000350AE"/>
    <w:rsid w:val="0004080B"/>
    <w:rsid w:val="000528A1"/>
    <w:rsid w:val="00057517"/>
    <w:rsid w:val="0006624B"/>
    <w:rsid w:val="000717DC"/>
    <w:rsid w:val="000735E7"/>
    <w:rsid w:val="000836B8"/>
    <w:rsid w:val="00086925"/>
    <w:rsid w:val="00087502"/>
    <w:rsid w:val="000912B4"/>
    <w:rsid w:val="0009478D"/>
    <w:rsid w:val="000977F0"/>
    <w:rsid w:val="00097B18"/>
    <w:rsid w:val="000A753A"/>
    <w:rsid w:val="000B1EE2"/>
    <w:rsid w:val="000B577D"/>
    <w:rsid w:val="000B651B"/>
    <w:rsid w:val="000C2F07"/>
    <w:rsid w:val="000C4130"/>
    <w:rsid w:val="000C513E"/>
    <w:rsid w:val="000C645D"/>
    <w:rsid w:val="000D0BDB"/>
    <w:rsid w:val="000D2224"/>
    <w:rsid w:val="000D5B59"/>
    <w:rsid w:val="000D5E25"/>
    <w:rsid w:val="000D6EEF"/>
    <w:rsid w:val="000E0B5D"/>
    <w:rsid w:val="000E1059"/>
    <w:rsid w:val="000E2200"/>
    <w:rsid w:val="000E57A6"/>
    <w:rsid w:val="000F1FCB"/>
    <w:rsid w:val="000F5540"/>
    <w:rsid w:val="00100B60"/>
    <w:rsid w:val="00101AE3"/>
    <w:rsid w:val="00101E36"/>
    <w:rsid w:val="0010304D"/>
    <w:rsid w:val="0010495A"/>
    <w:rsid w:val="00114441"/>
    <w:rsid w:val="00114ACC"/>
    <w:rsid w:val="00114CA8"/>
    <w:rsid w:val="00117324"/>
    <w:rsid w:val="00126FA3"/>
    <w:rsid w:val="0012763B"/>
    <w:rsid w:val="00130500"/>
    <w:rsid w:val="00137232"/>
    <w:rsid w:val="00151033"/>
    <w:rsid w:val="00153253"/>
    <w:rsid w:val="00153CBF"/>
    <w:rsid w:val="00154DB6"/>
    <w:rsid w:val="0015650D"/>
    <w:rsid w:val="00162E3D"/>
    <w:rsid w:val="00164E98"/>
    <w:rsid w:val="0016595E"/>
    <w:rsid w:val="0017246E"/>
    <w:rsid w:val="00172820"/>
    <w:rsid w:val="00172D20"/>
    <w:rsid w:val="001759C3"/>
    <w:rsid w:val="001768AC"/>
    <w:rsid w:val="001817EC"/>
    <w:rsid w:val="001852E0"/>
    <w:rsid w:val="001861B7"/>
    <w:rsid w:val="00190EC8"/>
    <w:rsid w:val="001965A4"/>
    <w:rsid w:val="00197DBA"/>
    <w:rsid w:val="001A0366"/>
    <w:rsid w:val="001A3B79"/>
    <w:rsid w:val="001A557E"/>
    <w:rsid w:val="001B11BF"/>
    <w:rsid w:val="001B1CF6"/>
    <w:rsid w:val="001B3586"/>
    <w:rsid w:val="001B4426"/>
    <w:rsid w:val="001C0814"/>
    <w:rsid w:val="001C2D86"/>
    <w:rsid w:val="001D061F"/>
    <w:rsid w:val="001D1E75"/>
    <w:rsid w:val="001D43F4"/>
    <w:rsid w:val="001D4C3B"/>
    <w:rsid w:val="001D5DAF"/>
    <w:rsid w:val="001D647E"/>
    <w:rsid w:val="001E50DA"/>
    <w:rsid w:val="001E737A"/>
    <w:rsid w:val="001F0747"/>
    <w:rsid w:val="001F0A86"/>
    <w:rsid w:val="001F0BEF"/>
    <w:rsid w:val="001F4F7D"/>
    <w:rsid w:val="001F5001"/>
    <w:rsid w:val="001F6F56"/>
    <w:rsid w:val="001F7743"/>
    <w:rsid w:val="002044AF"/>
    <w:rsid w:val="00207A43"/>
    <w:rsid w:val="00225FB0"/>
    <w:rsid w:val="00232C43"/>
    <w:rsid w:val="00240891"/>
    <w:rsid w:val="00242BE1"/>
    <w:rsid w:val="002431ED"/>
    <w:rsid w:val="00244F94"/>
    <w:rsid w:val="00246EAA"/>
    <w:rsid w:val="00253AFB"/>
    <w:rsid w:val="00255B90"/>
    <w:rsid w:val="00260C2F"/>
    <w:rsid w:val="00261FCA"/>
    <w:rsid w:val="0026586B"/>
    <w:rsid w:val="0026691C"/>
    <w:rsid w:val="00267942"/>
    <w:rsid w:val="00267E98"/>
    <w:rsid w:val="0027104E"/>
    <w:rsid w:val="00272C3D"/>
    <w:rsid w:val="002772FF"/>
    <w:rsid w:val="00277CA7"/>
    <w:rsid w:val="00290260"/>
    <w:rsid w:val="00290E76"/>
    <w:rsid w:val="002922A2"/>
    <w:rsid w:val="002929A4"/>
    <w:rsid w:val="0029308C"/>
    <w:rsid w:val="002A20D7"/>
    <w:rsid w:val="002A383B"/>
    <w:rsid w:val="002A4341"/>
    <w:rsid w:val="002B0BB2"/>
    <w:rsid w:val="002B0DED"/>
    <w:rsid w:val="002B123A"/>
    <w:rsid w:val="002B67D9"/>
    <w:rsid w:val="002C255E"/>
    <w:rsid w:val="002C5D13"/>
    <w:rsid w:val="002C67BE"/>
    <w:rsid w:val="002D24C7"/>
    <w:rsid w:val="002D7571"/>
    <w:rsid w:val="002E2224"/>
    <w:rsid w:val="002E405F"/>
    <w:rsid w:val="002E6B91"/>
    <w:rsid w:val="002E77B0"/>
    <w:rsid w:val="002F4D7C"/>
    <w:rsid w:val="002F755C"/>
    <w:rsid w:val="002F7A83"/>
    <w:rsid w:val="003068CC"/>
    <w:rsid w:val="00320D0B"/>
    <w:rsid w:val="00321A29"/>
    <w:rsid w:val="003262AE"/>
    <w:rsid w:val="00331AA5"/>
    <w:rsid w:val="003323BF"/>
    <w:rsid w:val="0033308B"/>
    <w:rsid w:val="003341DC"/>
    <w:rsid w:val="00335F7F"/>
    <w:rsid w:val="003442B6"/>
    <w:rsid w:val="00344D5B"/>
    <w:rsid w:val="00354233"/>
    <w:rsid w:val="003662E2"/>
    <w:rsid w:val="00367906"/>
    <w:rsid w:val="00367DA4"/>
    <w:rsid w:val="00367F52"/>
    <w:rsid w:val="00373218"/>
    <w:rsid w:val="00381E87"/>
    <w:rsid w:val="00382F0D"/>
    <w:rsid w:val="00385570"/>
    <w:rsid w:val="00390DE6"/>
    <w:rsid w:val="003945FC"/>
    <w:rsid w:val="00395EA7"/>
    <w:rsid w:val="00395FE4"/>
    <w:rsid w:val="003969DE"/>
    <w:rsid w:val="003A159D"/>
    <w:rsid w:val="003A1C73"/>
    <w:rsid w:val="003A270C"/>
    <w:rsid w:val="003A722F"/>
    <w:rsid w:val="003A7702"/>
    <w:rsid w:val="003B188C"/>
    <w:rsid w:val="003B68D6"/>
    <w:rsid w:val="003C0103"/>
    <w:rsid w:val="003C2C55"/>
    <w:rsid w:val="003C3CD9"/>
    <w:rsid w:val="003C46A2"/>
    <w:rsid w:val="003C47AA"/>
    <w:rsid w:val="003C4AE2"/>
    <w:rsid w:val="003D5DD8"/>
    <w:rsid w:val="003D6A92"/>
    <w:rsid w:val="003D7741"/>
    <w:rsid w:val="003E0E9E"/>
    <w:rsid w:val="003F19D8"/>
    <w:rsid w:val="003F3EC3"/>
    <w:rsid w:val="00400589"/>
    <w:rsid w:val="00406D0D"/>
    <w:rsid w:val="004236C5"/>
    <w:rsid w:val="00427801"/>
    <w:rsid w:val="00456D65"/>
    <w:rsid w:val="004612E3"/>
    <w:rsid w:val="0046189F"/>
    <w:rsid w:val="00464069"/>
    <w:rsid w:val="0046558D"/>
    <w:rsid w:val="00467645"/>
    <w:rsid w:val="00472F9A"/>
    <w:rsid w:val="0047322E"/>
    <w:rsid w:val="00473BDA"/>
    <w:rsid w:val="0047486F"/>
    <w:rsid w:val="00474D46"/>
    <w:rsid w:val="00475B53"/>
    <w:rsid w:val="00476DA0"/>
    <w:rsid w:val="00485A9C"/>
    <w:rsid w:val="0048697B"/>
    <w:rsid w:val="00487A64"/>
    <w:rsid w:val="00487EB6"/>
    <w:rsid w:val="00494998"/>
    <w:rsid w:val="004A0AC7"/>
    <w:rsid w:val="004A4F1D"/>
    <w:rsid w:val="004B0D4F"/>
    <w:rsid w:val="004B1F29"/>
    <w:rsid w:val="004B603C"/>
    <w:rsid w:val="004B705A"/>
    <w:rsid w:val="004B7DDD"/>
    <w:rsid w:val="004C355C"/>
    <w:rsid w:val="004C492E"/>
    <w:rsid w:val="004C4B06"/>
    <w:rsid w:val="004C6EEC"/>
    <w:rsid w:val="004D000D"/>
    <w:rsid w:val="004D3095"/>
    <w:rsid w:val="004D3EE1"/>
    <w:rsid w:val="004E0516"/>
    <w:rsid w:val="004E67DE"/>
    <w:rsid w:val="004F224C"/>
    <w:rsid w:val="004F229E"/>
    <w:rsid w:val="0050145A"/>
    <w:rsid w:val="0050352C"/>
    <w:rsid w:val="0050776B"/>
    <w:rsid w:val="005100CD"/>
    <w:rsid w:val="005132F6"/>
    <w:rsid w:val="00513D90"/>
    <w:rsid w:val="00520A6E"/>
    <w:rsid w:val="005231E6"/>
    <w:rsid w:val="00523FE3"/>
    <w:rsid w:val="0052581F"/>
    <w:rsid w:val="0052750F"/>
    <w:rsid w:val="005327C4"/>
    <w:rsid w:val="0053460C"/>
    <w:rsid w:val="0053547A"/>
    <w:rsid w:val="00542C85"/>
    <w:rsid w:val="005460BE"/>
    <w:rsid w:val="005475A4"/>
    <w:rsid w:val="005476F0"/>
    <w:rsid w:val="0055054E"/>
    <w:rsid w:val="00553990"/>
    <w:rsid w:val="00553B84"/>
    <w:rsid w:val="00557777"/>
    <w:rsid w:val="00564DB5"/>
    <w:rsid w:val="005650CF"/>
    <w:rsid w:val="00566C33"/>
    <w:rsid w:val="0057217C"/>
    <w:rsid w:val="00583679"/>
    <w:rsid w:val="005920A3"/>
    <w:rsid w:val="00594DF5"/>
    <w:rsid w:val="00597668"/>
    <w:rsid w:val="005A102B"/>
    <w:rsid w:val="005A48DA"/>
    <w:rsid w:val="005A57B0"/>
    <w:rsid w:val="005A69F6"/>
    <w:rsid w:val="005A6FA1"/>
    <w:rsid w:val="005A7FB7"/>
    <w:rsid w:val="005B1E24"/>
    <w:rsid w:val="005C0307"/>
    <w:rsid w:val="005C2F3E"/>
    <w:rsid w:val="005C4779"/>
    <w:rsid w:val="005C6E97"/>
    <w:rsid w:val="005E3ABC"/>
    <w:rsid w:val="005E57CB"/>
    <w:rsid w:val="005E7AB9"/>
    <w:rsid w:val="005E7D4E"/>
    <w:rsid w:val="005F042B"/>
    <w:rsid w:val="005F04B0"/>
    <w:rsid w:val="006011D1"/>
    <w:rsid w:val="00605BC9"/>
    <w:rsid w:val="00612EAE"/>
    <w:rsid w:val="00626435"/>
    <w:rsid w:val="00627682"/>
    <w:rsid w:val="00627BF0"/>
    <w:rsid w:val="00631BD3"/>
    <w:rsid w:val="006320D5"/>
    <w:rsid w:val="00632F3D"/>
    <w:rsid w:val="00642529"/>
    <w:rsid w:val="00646045"/>
    <w:rsid w:val="00646F33"/>
    <w:rsid w:val="006500B6"/>
    <w:rsid w:val="0065013A"/>
    <w:rsid w:val="006554FF"/>
    <w:rsid w:val="006575AE"/>
    <w:rsid w:val="00660949"/>
    <w:rsid w:val="00661AC5"/>
    <w:rsid w:val="00662C8D"/>
    <w:rsid w:val="006673AA"/>
    <w:rsid w:val="00681132"/>
    <w:rsid w:val="0068247D"/>
    <w:rsid w:val="006843FA"/>
    <w:rsid w:val="00684C08"/>
    <w:rsid w:val="00691295"/>
    <w:rsid w:val="00691654"/>
    <w:rsid w:val="0069206A"/>
    <w:rsid w:val="006931D8"/>
    <w:rsid w:val="00693842"/>
    <w:rsid w:val="006A1472"/>
    <w:rsid w:val="006A3A59"/>
    <w:rsid w:val="006A3BC6"/>
    <w:rsid w:val="006B1644"/>
    <w:rsid w:val="006B2066"/>
    <w:rsid w:val="006C3A8E"/>
    <w:rsid w:val="006C4C1D"/>
    <w:rsid w:val="006C526E"/>
    <w:rsid w:val="006C5EED"/>
    <w:rsid w:val="006D1CFA"/>
    <w:rsid w:val="006D30EC"/>
    <w:rsid w:val="006D46DB"/>
    <w:rsid w:val="006D60CD"/>
    <w:rsid w:val="006E090F"/>
    <w:rsid w:val="006E16D5"/>
    <w:rsid w:val="006E18DA"/>
    <w:rsid w:val="006E1A08"/>
    <w:rsid w:val="006E1F46"/>
    <w:rsid w:val="006E4D23"/>
    <w:rsid w:val="006E5006"/>
    <w:rsid w:val="006F08AB"/>
    <w:rsid w:val="006F208D"/>
    <w:rsid w:val="006F521B"/>
    <w:rsid w:val="006F67A7"/>
    <w:rsid w:val="006F6CC9"/>
    <w:rsid w:val="007034EA"/>
    <w:rsid w:val="00704832"/>
    <w:rsid w:val="007048FB"/>
    <w:rsid w:val="00710A78"/>
    <w:rsid w:val="00711D16"/>
    <w:rsid w:val="00716A6C"/>
    <w:rsid w:val="00717997"/>
    <w:rsid w:val="007179E0"/>
    <w:rsid w:val="00725F8A"/>
    <w:rsid w:val="0072693F"/>
    <w:rsid w:val="007306F3"/>
    <w:rsid w:val="00731D64"/>
    <w:rsid w:val="00733244"/>
    <w:rsid w:val="0073548C"/>
    <w:rsid w:val="00743CD8"/>
    <w:rsid w:val="00745885"/>
    <w:rsid w:val="00745F8E"/>
    <w:rsid w:val="0075367C"/>
    <w:rsid w:val="00754228"/>
    <w:rsid w:val="007603EC"/>
    <w:rsid w:val="0076295F"/>
    <w:rsid w:val="00767AE6"/>
    <w:rsid w:val="00772339"/>
    <w:rsid w:val="007730B6"/>
    <w:rsid w:val="00775308"/>
    <w:rsid w:val="00780192"/>
    <w:rsid w:val="00782018"/>
    <w:rsid w:val="007839D3"/>
    <w:rsid w:val="00783FAE"/>
    <w:rsid w:val="00787934"/>
    <w:rsid w:val="00790087"/>
    <w:rsid w:val="007910F7"/>
    <w:rsid w:val="00792786"/>
    <w:rsid w:val="00793432"/>
    <w:rsid w:val="007936FA"/>
    <w:rsid w:val="007944A7"/>
    <w:rsid w:val="00796066"/>
    <w:rsid w:val="00796B63"/>
    <w:rsid w:val="007A1D57"/>
    <w:rsid w:val="007A2FEB"/>
    <w:rsid w:val="007B29B6"/>
    <w:rsid w:val="007B32FA"/>
    <w:rsid w:val="007B70E1"/>
    <w:rsid w:val="007C1942"/>
    <w:rsid w:val="007C2B58"/>
    <w:rsid w:val="007D0383"/>
    <w:rsid w:val="007D24D9"/>
    <w:rsid w:val="007D2BD1"/>
    <w:rsid w:val="007D2F10"/>
    <w:rsid w:val="007D3135"/>
    <w:rsid w:val="007D358A"/>
    <w:rsid w:val="007D76B2"/>
    <w:rsid w:val="007E19BB"/>
    <w:rsid w:val="007E1E07"/>
    <w:rsid w:val="007E2A57"/>
    <w:rsid w:val="007E7779"/>
    <w:rsid w:val="007F02E9"/>
    <w:rsid w:val="007F1D71"/>
    <w:rsid w:val="00800360"/>
    <w:rsid w:val="00807612"/>
    <w:rsid w:val="008101C1"/>
    <w:rsid w:val="008111FA"/>
    <w:rsid w:val="00815405"/>
    <w:rsid w:val="0082085C"/>
    <w:rsid w:val="00820EF7"/>
    <w:rsid w:val="00824F19"/>
    <w:rsid w:val="00825582"/>
    <w:rsid w:val="00826988"/>
    <w:rsid w:val="00833500"/>
    <w:rsid w:val="008400CE"/>
    <w:rsid w:val="00841295"/>
    <w:rsid w:val="008417A7"/>
    <w:rsid w:val="008506C3"/>
    <w:rsid w:val="00852E4E"/>
    <w:rsid w:val="0086317D"/>
    <w:rsid w:val="00863A2F"/>
    <w:rsid w:val="00873579"/>
    <w:rsid w:val="008768CF"/>
    <w:rsid w:val="008817BC"/>
    <w:rsid w:val="008825D8"/>
    <w:rsid w:val="00887917"/>
    <w:rsid w:val="008879C4"/>
    <w:rsid w:val="00887D73"/>
    <w:rsid w:val="00890657"/>
    <w:rsid w:val="00892E7A"/>
    <w:rsid w:val="00894DE4"/>
    <w:rsid w:val="0089521C"/>
    <w:rsid w:val="008976B5"/>
    <w:rsid w:val="008A587F"/>
    <w:rsid w:val="008A6843"/>
    <w:rsid w:val="008B2F3B"/>
    <w:rsid w:val="008B4064"/>
    <w:rsid w:val="008C203A"/>
    <w:rsid w:val="008C5F02"/>
    <w:rsid w:val="008D4464"/>
    <w:rsid w:val="008D5868"/>
    <w:rsid w:val="008E0CDC"/>
    <w:rsid w:val="008E1783"/>
    <w:rsid w:val="008F2946"/>
    <w:rsid w:val="0090051B"/>
    <w:rsid w:val="0090063F"/>
    <w:rsid w:val="00900FB2"/>
    <w:rsid w:val="0090430D"/>
    <w:rsid w:val="009052F0"/>
    <w:rsid w:val="00905690"/>
    <w:rsid w:val="0090608A"/>
    <w:rsid w:val="00906B76"/>
    <w:rsid w:val="0091412E"/>
    <w:rsid w:val="009245F5"/>
    <w:rsid w:val="0092553F"/>
    <w:rsid w:val="00927814"/>
    <w:rsid w:val="00930C91"/>
    <w:rsid w:val="00932990"/>
    <w:rsid w:val="00936A22"/>
    <w:rsid w:val="00937338"/>
    <w:rsid w:val="0093762B"/>
    <w:rsid w:val="00941792"/>
    <w:rsid w:val="0094182F"/>
    <w:rsid w:val="009423C1"/>
    <w:rsid w:val="009423F8"/>
    <w:rsid w:val="009467CA"/>
    <w:rsid w:val="00947BF1"/>
    <w:rsid w:val="00954F5D"/>
    <w:rsid w:val="00960938"/>
    <w:rsid w:val="00963449"/>
    <w:rsid w:val="00967556"/>
    <w:rsid w:val="009706B8"/>
    <w:rsid w:val="0097386F"/>
    <w:rsid w:val="0097678D"/>
    <w:rsid w:val="00977B62"/>
    <w:rsid w:val="00977F16"/>
    <w:rsid w:val="009823CB"/>
    <w:rsid w:val="009827F7"/>
    <w:rsid w:val="00984242"/>
    <w:rsid w:val="00985271"/>
    <w:rsid w:val="00990F47"/>
    <w:rsid w:val="00992EAA"/>
    <w:rsid w:val="0099604A"/>
    <w:rsid w:val="009A0444"/>
    <w:rsid w:val="009A0B6A"/>
    <w:rsid w:val="009B5102"/>
    <w:rsid w:val="009C42EB"/>
    <w:rsid w:val="009D0883"/>
    <w:rsid w:val="009D1C6D"/>
    <w:rsid w:val="009D24CD"/>
    <w:rsid w:val="009D27E6"/>
    <w:rsid w:val="009D6A54"/>
    <w:rsid w:val="009E4F1B"/>
    <w:rsid w:val="009F5D1A"/>
    <w:rsid w:val="009F6C49"/>
    <w:rsid w:val="00A00B4F"/>
    <w:rsid w:val="00A00E2C"/>
    <w:rsid w:val="00A01856"/>
    <w:rsid w:val="00A0332D"/>
    <w:rsid w:val="00A04B99"/>
    <w:rsid w:val="00A055ED"/>
    <w:rsid w:val="00A110D5"/>
    <w:rsid w:val="00A117BD"/>
    <w:rsid w:val="00A128CE"/>
    <w:rsid w:val="00A16247"/>
    <w:rsid w:val="00A21B15"/>
    <w:rsid w:val="00A23898"/>
    <w:rsid w:val="00A2430F"/>
    <w:rsid w:val="00A33C62"/>
    <w:rsid w:val="00A3585F"/>
    <w:rsid w:val="00A37D43"/>
    <w:rsid w:val="00A37E2D"/>
    <w:rsid w:val="00A43B04"/>
    <w:rsid w:val="00A55FA5"/>
    <w:rsid w:val="00A60B37"/>
    <w:rsid w:val="00A63AB7"/>
    <w:rsid w:val="00A668F5"/>
    <w:rsid w:val="00A74C6E"/>
    <w:rsid w:val="00A7725C"/>
    <w:rsid w:val="00A815CF"/>
    <w:rsid w:val="00A87508"/>
    <w:rsid w:val="00A921FA"/>
    <w:rsid w:val="00A92750"/>
    <w:rsid w:val="00A92774"/>
    <w:rsid w:val="00A943C0"/>
    <w:rsid w:val="00A947D6"/>
    <w:rsid w:val="00A94B58"/>
    <w:rsid w:val="00A95AF1"/>
    <w:rsid w:val="00AA04D4"/>
    <w:rsid w:val="00AA2FFB"/>
    <w:rsid w:val="00AA73F9"/>
    <w:rsid w:val="00AB1E03"/>
    <w:rsid w:val="00AB25FE"/>
    <w:rsid w:val="00AB7988"/>
    <w:rsid w:val="00AC51CC"/>
    <w:rsid w:val="00AD085D"/>
    <w:rsid w:val="00AD117F"/>
    <w:rsid w:val="00AD2B1F"/>
    <w:rsid w:val="00AD70DD"/>
    <w:rsid w:val="00AD77CF"/>
    <w:rsid w:val="00AD77E6"/>
    <w:rsid w:val="00AD7A49"/>
    <w:rsid w:val="00AE0036"/>
    <w:rsid w:val="00AE1C56"/>
    <w:rsid w:val="00AE3E89"/>
    <w:rsid w:val="00AE7511"/>
    <w:rsid w:val="00AF44F1"/>
    <w:rsid w:val="00AF5888"/>
    <w:rsid w:val="00B01DCF"/>
    <w:rsid w:val="00B01E71"/>
    <w:rsid w:val="00B01F5D"/>
    <w:rsid w:val="00B03037"/>
    <w:rsid w:val="00B05070"/>
    <w:rsid w:val="00B10836"/>
    <w:rsid w:val="00B10C48"/>
    <w:rsid w:val="00B1322E"/>
    <w:rsid w:val="00B2259A"/>
    <w:rsid w:val="00B25AA2"/>
    <w:rsid w:val="00B25B8C"/>
    <w:rsid w:val="00B2779E"/>
    <w:rsid w:val="00B34BAE"/>
    <w:rsid w:val="00B3722F"/>
    <w:rsid w:val="00B44774"/>
    <w:rsid w:val="00B44E4B"/>
    <w:rsid w:val="00B454B6"/>
    <w:rsid w:val="00B45EB3"/>
    <w:rsid w:val="00B463FF"/>
    <w:rsid w:val="00B468F5"/>
    <w:rsid w:val="00B50C2B"/>
    <w:rsid w:val="00B64A45"/>
    <w:rsid w:val="00B65180"/>
    <w:rsid w:val="00B710E3"/>
    <w:rsid w:val="00B71375"/>
    <w:rsid w:val="00B74E73"/>
    <w:rsid w:val="00B75292"/>
    <w:rsid w:val="00B77393"/>
    <w:rsid w:val="00B8338E"/>
    <w:rsid w:val="00B846B8"/>
    <w:rsid w:val="00B8756E"/>
    <w:rsid w:val="00B91038"/>
    <w:rsid w:val="00B911FA"/>
    <w:rsid w:val="00B92CF7"/>
    <w:rsid w:val="00B971FF"/>
    <w:rsid w:val="00B97A57"/>
    <w:rsid w:val="00BA309D"/>
    <w:rsid w:val="00BA30AC"/>
    <w:rsid w:val="00BA75E6"/>
    <w:rsid w:val="00BA7B10"/>
    <w:rsid w:val="00BB1B0F"/>
    <w:rsid w:val="00BB476F"/>
    <w:rsid w:val="00BB4A36"/>
    <w:rsid w:val="00BB56DE"/>
    <w:rsid w:val="00BB5E99"/>
    <w:rsid w:val="00BB6C22"/>
    <w:rsid w:val="00BC0903"/>
    <w:rsid w:val="00BC4E37"/>
    <w:rsid w:val="00BD03B1"/>
    <w:rsid w:val="00BD03F1"/>
    <w:rsid w:val="00BD6BC2"/>
    <w:rsid w:val="00BE09FA"/>
    <w:rsid w:val="00BE0B47"/>
    <w:rsid w:val="00BE5473"/>
    <w:rsid w:val="00BE568C"/>
    <w:rsid w:val="00BE6BF1"/>
    <w:rsid w:val="00BE72BB"/>
    <w:rsid w:val="00BF1059"/>
    <w:rsid w:val="00BF285C"/>
    <w:rsid w:val="00BF6C99"/>
    <w:rsid w:val="00C0004A"/>
    <w:rsid w:val="00C006D8"/>
    <w:rsid w:val="00C007CE"/>
    <w:rsid w:val="00C043E9"/>
    <w:rsid w:val="00C0797F"/>
    <w:rsid w:val="00C11B0F"/>
    <w:rsid w:val="00C13E32"/>
    <w:rsid w:val="00C148E2"/>
    <w:rsid w:val="00C27863"/>
    <w:rsid w:val="00C31D11"/>
    <w:rsid w:val="00C37936"/>
    <w:rsid w:val="00C4000E"/>
    <w:rsid w:val="00C446E1"/>
    <w:rsid w:val="00C51F35"/>
    <w:rsid w:val="00C52034"/>
    <w:rsid w:val="00C576B5"/>
    <w:rsid w:val="00C57F82"/>
    <w:rsid w:val="00C7325F"/>
    <w:rsid w:val="00C74203"/>
    <w:rsid w:val="00C74489"/>
    <w:rsid w:val="00C82520"/>
    <w:rsid w:val="00C83E00"/>
    <w:rsid w:val="00C841FD"/>
    <w:rsid w:val="00C94CCC"/>
    <w:rsid w:val="00C97CCB"/>
    <w:rsid w:val="00CA6551"/>
    <w:rsid w:val="00CA7097"/>
    <w:rsid w:val="00CA7F91"/>
    <w:rsid w:val="00CC164D"/>
    <w:rsid w:val="00CC4246"/>
    <w:rsid w:val="00CD7007"/>
    <w:rsid w:val="00CF07B6"/>
    <w:rsid w:val="00CF2B90"/>
    <w:rsid w:val="00CF4AAD"/>
    <w:rsid w:val="00CF539F"/>
    <w:rsid w:val="00CF7A83"/>
    <w:rsid w:val="00D06E4D"/>
    <w:rsid w:val="00D0711F"/>
    <w:rsid w:val="00D07437"/>
    <w:rsid w:val="00D11BDF"/>
    <w:rsid w:val="00D14800"/>
    <w:rsid w:val="00D15186"/>
    <w:rsid w:val="00D16D6A"/>
    <w:rsid w:val="00D31434"/>
    <w:rsid w:val="00D32CCD"/>
    <w:rsid w:val="00D3308F"/>
    <w:rsid w:val="00D350C4"/>
    <w:rsid w:val="00D358AD"/>
    <w:rsid w:val="00D53DB4"/>
    <w:rsid w:val="00D57B17"/>
    <w:rsid w:val="00D60512"/>
    <w:rsid w:val="00D64B78"/>
    <w:rsid w:val="00D671E1"/>
    <w:rsid w:val="00D70243"/>
    <w:rsid w:val="00D808CD"/>
    <w:rsid w:val="00D859EC"/>
    <w:rsid w:val="00D94ACC"/>
    <w:rsid w:val="00DA028E"/>
    <w:rsid w:val="00DA08FD"/>
    <w:rsid w:val="00DA5DD8"/>
    <w:rsid w:val="00DB055F"/>
    <w:rsid w:val="00DB168A"/>
    <w:rsid w:val="00DC1A6B"/>
    <w:rsid w:val="00DC6035"/>
    <w:rsid w:val="00DD03CF"/>
    <w:rsid w:val="00DD0751"/>
    <w:rsid w:val="00DD31D2"/>
    <w:rsid w:val="00DD3565"/>
    <w:rsid w:val="00DD7D64"/>
    <w:rsid w:val="00DE1457"/>
    <w:rsid w:val="00DE3253"/>
    <w:rsid w:val="00DE4050"/>
    <w:rsid w:val="00DE40DE"/>
    <w:rsid w:val="00DE569C"/>
    <w:rsid w:val="00DE5DEC"/>
    <w:rsid w:val="00DF18A4"/>
    <w:rsid w:val="00DF43B1"/>
    <w:rsid w:val="00E0388F"/>
    <w:rsid w:val="00E04234"/>
    <w:rsid w:val="00E10597"/>
    <w:rsid w:val="00E15663"/>
    <w:rsid w:val="00E23888"/>
    <w:rsid w:val="00E2527C"/>
    <w:rsid w:val="00E3078D"/>
    <w:rsid w:val="00E4751A"/>
    <w:rsid w:val="00E57BC2"/>
    <w:rsid w:val="00E61289"/>
    <w:rsid w:val="00E71181"/>
    <w:rsid w:val="00E9405F"/>
    <w:rsid w:val="00E95BE8"/>
    <w:rsid w:val="00E9669A"/>
    <w:rsid w:val="00EA25C1"/>
    <w:rsid w:val="00EA4FE2"/>
    <w:rsid w:val="00EB155A"/>
    <w:rsid w:val="00EB249A"/>
    <w:rsid w:val="00EB44CB"/>
    <w:rsid w:val="00EC09D4"/>
    <w:rsid w:val="00EC3C07"/>
    <w:rsid w:val="00EC65BC"/>
    <w:rsid w:val="00EC7C90"/>
    <w:rsid w:val="00ED3391"/>
    <w:rsid w:val="00ED6D0B"/>
    <w:rsid w:val="00EE438A"/>
    <w:rsid w:val="00EE519F"/>
    <w:rsid w:val="00EF113C"/>
    <w:rsid w:val="00EF3579"/>
    <w:rsid w:val="00EF6A47"/>
    <w:rsid w:val="00F0026C"/>
    <w:rsid w:val="00F01737"/>
    <w:rsid w:val="00F01CC5"/>
    <w:rsid w:val="00F02BD2"/>
    <w:rsid w:val="00F041B8"/>
    <w:rsid w:val="00F044AA"/>
    <w:rsid w:val="00F06BA7"/>
    <w:rsid w:val="00F12010"/>
    <w:rsid w:val="00F12785"/>
    <w:rsid w:val="00F15E78"/>
    <w:rsid w:val="00F16E5C"/>
    <w:rsid w:val="00F21545"/>
    <w:rsid w:val="00F26A10"/>
    <w:rsid w:val="00F27E8E"/>
    <w:rsid w:val="00F369B6"/>
    <w:rsid w:val="00F40169"/>
    <w:rsid w:val="00F41383"/>
    <w:rsid w:val="00F43854"/>
    <w:rsid w:val="00F45A12"/>
    <w:rsid w:val="00F4641A"/>
    <w:rsid w:val="00F46925"/>
    <w:rsid w:val="00F52D6B"/>
    <w:rsid w:val="00F57FF5"/>
    <w:rsid w:val="00F61F1C"/>
    <w:rsid w:val="00F63DF6"/>
    <w:rsid w:val="00F66BE5"/>
    <w:rsid w:val="00F702F4"/>
    <w:rsid w:val="00F73875"/>
    <w:rsid w:val="00F7562E"/>
    <w:rsid w:val="00F77903"/>
    <w:rsid w:val="00F811BB"/>
    <w:rsid w:val="00F819EA"/>
    <w:rsid w:val="00F841E3"/>
    <w:rsid w:val="00F84335"/>
    <w:rsid w:val="00F85613"/>
    <w:rsid w:val="00F8716C"/>
    <w:rsid w:val="00F943FB"/>
    <w:rsid w:val="00FA011B"/>
    <w:rsid w:val="00FA10B7"/>
    <w:rsid w:val="00FA5937"/>
    <w:rsid w:val="00FB40C6"/>
    <w:rsid w:val="00FC0ABD"/>
    <w:rsid w:val="00FC1A63"/>
    <w:rsid w:val="00FC22DA"/>
    <w:rsid w:val="00FC2A54"/>
    <w:rsid w:val="00FC7B66"/>
    <w:rsid w:val="00FD418F"/>
    <w:rsid w:val="00FE1336"/>
    <w:rsid w:val="00FE22DC"/>
    <w:rsid w:val="00FE4913"/>
    <w:rsid w:val="00FF035F"/>
    <w:rsid w:val="00FF1FFF"/>
    <w:rsid w:val="00FF2136"/>
    <w:rsid w:val="00FF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3474E"/>
  <w15:chartTrackingRefBased/>
  <w15:docId w15:val="{9F8B3FD2-C1E8-4EBF-98F6-388B91C7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2DA"/>
  </w:style>
  <w:style w:type="paragraph" w:styleId="Heading1">
    <w:name w:val="heading 1"/>
    <w:basedOn w:val="Normal"/>
    <w:next w:val="Normal"/>
    <w:link w:val="Heading1Char"/>
    <w:uiPriority w:val="9"/>
    <w:qFormat/>
    <w:rsid w:val="00033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7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2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938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38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8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38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38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879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9C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F08A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08A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08A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53A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06B76"/>
    <w:rPr>
      <w:color w:val="954F72" w:themeColor="followed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2044AF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044AF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044AF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044AF"/>
    <w:rPr>
      <w:rFonts w:ascii="Calibri" w:hAnsi="Calibri" w:cs="Calibri"/>
      <w:noProof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62E"/>
  </w:style>
  <w:style w:type="paragraph" w:styleId="Footer">
    <w:name w:val="footer"/>
    <w:basedOn w:val="Normal"/>
    <w:link w:val="FooterChar"/>
    <w:uiPriority w:val="99"/>
    <w:unhideWhenUsed/>
    <w:rsid w:val="00F75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enpol.2016.07.023" TargetMode="External"/><Relationship Id="rId18" Type="http://schemas.openxmlformats.org/officeDocument/2006/relationships/hyperlink" Target="https://www.energy.ca.gov/news/2025-11/californias-battery-storage-fleet-continues-record-growth-strengthening-grid" TargetMode="External"/><Relationship Id="rId26" Type="http://schemas.openxmlformats.org/officeDocument/2006/relationships/hyperlink" Target="https://doi.org/10.1108/PAP-06-2022-0069" TargetMode="External"/><Relationship Id="rId39" Type="http://schemas.openxmlformats.org/officeDocument/2006/relationships/hyperlink" Target="https://data.worldbank.org/indicator/NY.GDP.MKTP.KD.ZG?end=2023&amp;locations=EU&amp;start=2019&amp;view=chart" TargetMode="External"/><Relationship Id="rId21" Type="http://schemas.openxmlformats.org/officeDocument/2006/relationships/hyperlink" Target="https://climate.ec.europa.eu/document/download/d5276f6c-4355-438a-a0ef-0c03a9b34a39_en?filename=1_gd1_general_guidance_en.pdf" TargetMode="External"/><Relationship Id="rId34" Type="http://schemas.openxmlformats.org/officeDocument/2006/relationships/hyperlink" Target="https://doi.org/10.1093/oxrep/grad042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2.arb.ca.gov/our-work/programs/cap-and-trade-program/allowance-allocation" TargetMode="External"/><Relationship Id="rId20" Type="http://schemas.openxmlformats.org/officeDocument/2006/relationships/hyperlink" Target="https://eur-lex.europa.eu/legal-content/EN/TXT/?uri=CELEX:52023DC0654" TargetMode="External"/><Relationship Id="rId29" Type="http://schemas.openxmlformats.org/officeDocument/2006/relationships/hyperlink" Target="https://doi.org/10.5547/01956574.37.2.jjar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ec.europa.eu/eurostat/statistics-explained/images/d/dc/STS_Industrial_production_2025_V2.xlsx" TargetMode="External"/><Relationship Id="rId32" Type="http://schemas.openxmlformats.org/officeDocument/2006/relationships/hyperlink" Target="https://www.jcfj.ie/wp-content/uploads/2016/02/WP106-effectiveness-eu-emissions-trading-system.pdf" TargetMode="External"/><Relationship Id="rId37" Type="http://schemas.openxmlformats.org/officeDocument/2006/relationships/hyperlink" Target="https://www.bea.gov/data/gdp/gdp-state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2.arb.ca.gov/sites/default/files/auction-proceeds/cci_annual_report_2025.pdf" TargetMode="External"/><Relationship Id="rId23" Type="http://schemas.openxmlformats.org/officeDocument/2006/relationships/hyperlink" Target="https://ec.europa.eu/eurostat/statistics-explained/index.php?title=EU_labour_market_-_quarterly_statistics" TargetMode="External"/><Relationship Id="rId28" Type="http://schemas.openxmlformats.org/officeDocument/2006/relationships/hyperlink" Target="https://icapcarbonaction.com/system/files/document/250612_icap_sr25_june-updates.pdf" TargetMode="External"/><Relationship Id="rId36" Type="http://schemas.openxmlformats.org/officeDocument/2006/relationships/hyperlink" Target="https://ourworldindata.org/grapher/share-electricity-renewables?tab=line&amp;country" TargetMode="External"/><Relationship Id="rId10" Type="http://schemas.openxmlformats.org/officeDocument/2006/relationships/chart" Target="charts/chart1.xml"/><Relationship Id="rId19" Type="http://schemas.openxmlformats.org/officeDocument/2006/relationships/hyperlink" Target="https://doi.org/10.1093/oxrep/grac003" TargetMode="External"/><Relationship Id="rId31" Type="http://schemas.openxmlformats.org/officeDocument/2006/relationships/hyperlink" Target="https://doi.org/10.1016/j.enpol.2024.11350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2.arb.ca.gov/sites/default/files/2025-11/nc-ghg_inventory_sector_all_00-23.xlsx" TargetMode="External"/><Relationship Id="rId14" Type="http://schemas.openxmlformats.org/officeDocument/2006/relationships/hyperlink" Target="https://ww2.arb.ca.gov/sites/default/files/2025-11/nc-ghg_inventory_sector_all_00-23.xlsx" TargetMode="External"/><Relationship Id="rId22" Type="http://schemas.openxmlformats.org/officeDocument/2006/relationships/hyperlink" Target="https://energy.ec.europa.eu/topics/energy-efficiency/energy-efficiency-targets-directive-and-rules/energy-efficiency-directive_en" TargetMode="External"/><Relationship Id="rId27" Type="http://schemas.openxmlformats.org/officeDocument/2006/relationships/hyperlink" Target="https://icapcarbonaction.com/system/files/document/250612_icap_sr25_june-updates.pdf" TargetMode="External"/><Relationship Id="rId30" Type="http://schemas.openxmlformats.org/officeDocument/2006/relationships/hyperlink" Target="https://doi.org/10.1002/er.3487" TargetMode="External"/><Relationship Id="rId35" Type="http://schemas.openxmlformats.org/officeDocument/2006/relationships/hyperlink" Target="https://doi.org/10.1016/S0095-0696(02)00016-5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climate.ec.europa.eu/document/download/ddc1b1de-652b-49ed-8f15-d9fa8badd39f_en?filename=com_2025_735_en.pdf" TargetMode="External"/><Relationship Id="rId3" Type="http://schemas.openxmlformats.org/officeDocument/2006/relationships/styles" Target="styles.xml"/><Relationship Id="rId12" Type="http://schemas.openxmlformats.org/officeDocument/2006/relationships/hyperlink" Target="https://fred.stlouisfed.org/series/CANGSP" TargetMode="External"/><Relationship Id="rId17" Type="http://schemas.openxmlformats.org/officeDocument/2006/relationships/hyperlink" Target="https://www.caclimateinvestments.ca.gov/cci-data-dashboard" TargetMode="External"/><Relationship Id="rId25" Type="http://schemas.openxmlformats.org/officeDocument/2006/relationships/hyperlink" Target="https://www.france24.com/en/20091230-constitutional-court-rules-sarkozys-carbon-tax-unfair" TargetMode="External"/><Relationship Id="rId33" Type="http://schemas.openxmlformats.org/officeDocument/2006/relationships/hyperlink" Target="https://doi.org/10.1007/s10640-017-0173-0" TargetMode="External"/><Relationship Id="rId38" Type="http://schemas.openxmlformats.org/officeDocument/2006/relationships/hyperlink" Target="https://doi.org/10.2307/2296698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cha\OneDrive\Desktop\Cambridge\Module%20Materials\Economics\price-trends-for-select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/>
              <a:t>Carbon Price Trend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1014571240418876"/>
          <c:y val="0.19389046425843195"/>
          <c:w val="0.8473063409054622"/>
          <c:h val="0.60795628498137799"/>
        </c:manualLayout>
      </c:layout>
      <c:lineChart>
        <c:grouping val="standard"/>
        <c:varyColors val="0"/>
        <c:ser>
          <c:idx val="1"/>
          <c:order val="0"/>
          <c:tx>
            <c:strRef>
              <c:f>'price-trends-for-select'!$B$1</c:f>
              <c:strCache>
                <c:ptCount val="1"/>
                <c:pt idx="0">
                  <c:v>EU ETS</c:v>
                </c:pt>
              </c:strCache>
            </c:strRef>
          </c:tx>
          <c:spPr>
            <a:ln w="28575" cap="rnd">
              <a:solidFill>
                <a:schemeClr val="bg2">
                  <a:lumMod val="50000"/>
                </a:schemeClr>
              </a:solidFill>
              <a:prstDash val="solid"/>
              <a:round/>
            </a:ln>
            <a:effectLst/>
          </c:spPr>
          <c:marker>
            <c:symbol val="none"/>
          </c:marker>
          <c:cat>
            <c:numRef>
              <c:f>'price-trends-for-select'!$A$2:$A$10</c:f>
              <c:numCache>
                <c:formatCode>General</c:formatCode>
                <c:ptCount val="9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'price-trends-for-select'!$B$2:$B$10</c:f>
              <c:numCache>
                <c:formatCode>General</c:formatCode>
                <c:ptCount val="9"/>
                <c:pt idx="0">
                  <c:v>5.6448479999999996</c:v>
                </c:pt>
                <c:pt idx="1">
                  <c:v>16.263719999999999</c:v>
                </c:pt>
                <c:pt idx="2">
                  <c:v>24.505716</c:v>
                </c:pt>
                <c:pt idx="3">
                  <c:v>18.536519999999999</c:v>
                </c:pt>
                <c:pt idx="4">
                  <c:v>49.779547999999998</c:v>
                </c:pt>
                <c:pt idx="5">
                  <c:v>86.526107999999994</c:v>
                </c:pt>
                <c:pt idx="6">
                  <c:v>96.298124999999999</c:v>
                </c:pt>
                <c:pt idx="7">
                  <c:v>61.301546999999999</c:v>
                </c:pt>
                <c:pt idx="8">
                  <c:v>70.370124000000004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61E-4272-B053-E00E1CE6786F}"/>
            </c:ext>
          </c:extLst>
        </c:ser>
        <c:ser>
          <c:idx val="2"/>
          <c:order val="1"/>
          <c:tx>
            <c:strRef>
              <c:f>'price-trends-for-select'!$C$1</c:f>
              <c:strCache>
                <c:ptCount val="1"/>
                <c:pt idx="0">
                  <c:v>California C&amp;T</c:v>
                </c:pt>
              </c:strCache>
            </c:strRef>
          </c:tx>
          <c:spPr>
            <a:ln w="28575" cap="rnd">
              <a:solidFill>
                <a:schemeClr val="bg2">
                  <a:lumMod val="50000"/>
                </a:schemeClr>
              </a:solidFill>
              <a:prstDash val="dash"/>
              <a:round/>
            </a:ln>
            <a:effectLst/>
          </c:spPr>
          <c:marker>
            <c:symbol val="none"/>
          </c:marker>
          <c:cat>
            <c:numRef>
              <c:f>'price-trends-for-select'!$A$2:$A$10</c:f>
              <c:numCache>
                <c:formatCode>General</c:formatCode>
                <c:ptCount val="9"/>
                <c:pt idx="0">
                  <c:v>2017</c:v>
                </c:pt>
                <c:pt idx="1">
                  <c:v>2018</c:v>
                </c:pt>
                <c:pt idx="2">
                  <c:v>2019</c:v>
                </c:pt>
                <c:pt idx="3">
                  <c:v>2020</c:v>
                </c:pt>
                <c:pt idx="4">
                  <c:v>2021</c:v>
                </c:pt>
                <c:pt idx="5">
                  <c:v>2022</c:v>
                </c:pt>
                <c:pt idx="6">
                  <c:v>2023</c:v>
                </c:pt>
                <c:pt idx="7">
                  <c:v>2024</c:v>
                </c:pt>
                <c:pt idx="8">
                  <c:v>2025</c:v>
                </c:pt>
              </c:numCache>
            </c:numRef>
          </c:cat>
          <c:val>
            <c:numRef>
              <c:f>'price-trends-for-select'!$C$2:$C$10</c:f>
              <c:numCache>
                <c:formatCode>General</c:formatCode>
                <c:ptCount val="9"/>
                <c:pt idx="0">
                  <c:v>15.08</c:v>
                </c:pt>
                <c:pt idx="1">
                  <c:v>15.1</c:v>
                </c:pt>
                <c:pt idx="2">
                  <c:v>15.77</c:v>
                </c:pt>
                <c:pt idx="3">
                  <c:v>15.3</c:v>
                </c:pt>
                <c:pt idx="4">
                  <c:v>17.940000000000001</c:v>
                </c:pt>
                <c:pt idx="5">
                  <c:v>30.82</c:v>
                </c:pt>
                <c:pt idx="6">
                  <c:v>29.84</c:v>
                </c:pt>
                <c:pt idx="7">
                  <c:v>38.590000000000003</c:v>
                </c:pt>
                <c:pt idx="8">
                  <c:v>29.27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61E-4272-B053-E00E1CE678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91838608"/>
        <c:axId val="1691839088"/>
      </c:lineChart>
      <c:catAx>
        <c:axId val="169183860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691839088"/>
        <c:crosses val="autoZero"/>
        <c:auto val="1"/>
        <c:lblAlgn val="ctr"/>
        <c:lblOffset val="100"/>
        <c:noMultiLvlLbl val="0"/>
      </c:catAx>
      <c:valAx>
        <c:axId val="1691839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r>
                  <a:rPr lang="en-US"/>
                  <a:t>US$ / tonC02e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16918386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9706C-37C2-4987-AE89-8CEC89C46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3499</TotalTime>
  <Pages>8</Pages>
  <Words>7604</Words>
  <Characters>43347</Characters>
  <Application>Microsoft Office Word</Application>
  <DocSecurity>0</DocSecurity>
  <Lines>361</Lines>
  <Paragraphs>101</Paragraphs>
  <ScaleCrop>false</ScaleCrop>
  <Company/>
  <LinksUpToDate>false</LinksUpToDate>
  <CharactersWithSpaces>50850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kerins</dc:creator>
  <cp:keywords/>
  <dc:description/>
  <cp:lastModifiedBy>michael kerins</cp:lastModifiedBy>
  <cp:revision>751</cp:revision>
  <dcterms:created xsi:type="dcterms:W3CDTF">2026-01-19T13:33:00Z</dcterms:created>
  <dcterms:modified xsi:type="dcterms:W3CDTF">2026-01-24T12:00:00Z</dcterms:modified>
</cp:coreProperties>
</file>