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color w:val="161616"/>
          <w:sz w:val="21"/>
          <w:szCs w:val="21"/>
          <w:highlight w:val="white"/>
          <w:rtl w:val="0"/>
        </w:rPr>
        <w:t xml:space="preserve">Secure Microsoft Entra users with multifactor authentication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047904" cy="308133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7904" cy="308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4052888" cy="1890048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52888" cy="18900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color w:val="161616"/>
          <w:sz w:val="21"/>
          <w:szCs w:val="21"/>
          <w:highlight w:val="white"/>
          <w:rtl w:val="0"/>
        </w:rPr>
        <w:t xml:space="preserve">Manage device identity with Microsoft Entra join and Enterprise State Roaming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2947988" cy="2436507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7988" cy="2436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3081338" cy="1587074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1587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3233738" cy="1575173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3738" cy="1575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3081338" cy="1535957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15359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color w:val="161616"/>
          <w:sz w:val="21"/>
          <w:szCs w:val="21"/>
          <w:highlight w:val="white"/>
          <w:rtl w:val="0"/>
        </w:rPr>
        <w:t xml:space="preserve">Allow users to reset their password with Microsoft Entra self-service password reset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547898" cy="228123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7898" cy="228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4442956" cy="2285559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2956" cy="2285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sectPr>
      <w:head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