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D1CA" w14:textId="77777777" w:rsidR="00931DB7" w:rsidRDefault="00931DB7"/>
    <w:p w14:paraId="107F721D" w14:textId="70B9D164" w:rsidR="00773F7A" w:rsidRDefault="00773F7A" w:rsidP="00B52132">
      <w:pPr>
        <w:pStyle w:val="Heading2"/>
      </w:pPr>
      <w:r>
        <w:t>Section 1</w:t>
      </w:r>
      <w:r w:rsidR="006D6343">
        <w:t xml:space="preserve"> – Multivariate Statistics</w:t>
      </w:r>
    </w:p>
    <w:p w14:paraId="4739BB89" w14:textId="77777777" w:rsidR="00F23E34" w:rsidRPr="006D3B2C" w:rsidRDefault="006D6343" w:rsidP="006D3B2C">
      <w:pPr>
        <w:pStyle w:val="Heading3"/>
      </w:pPr>
      <w:r w:rsidRPr="006D3B2C">
        <w:t xml:space="preserve">Question 1 </w:t>
      </w:r>
    </w:p>
    <w:p w14:paraId="3879369A" w14:textId="663D4A57" w:rsidR="006D6343" w:rsidRDefault="006D6343" w:rsidP="00F23E34">
      <w:pPr>
        <w:pStyle w:val="ListParagraph"/>
        <w:numPr>
          <w:ilvl w:val="0"/>
          <w:numId w:val="9"/>
        </w:numPr>
      </w:pPr>
      <w:r>
        <w:t>Please refer to the cod</w:t>
      </w:r>
      <w:r w:rsidR="00636D33">
        <w:t>ing section at GitHub</w:t>
      </w:r>
    </w:p>
    <w:p w14:paraId="3E194F28" w14:textId="77777777" w:rsidR="00F23E34" w:rsidRPr="006D3B2C" w:rsidRDefault="00636D33" w:rsidP="006D3B2C">
      <w:pPr>
        <w:pStyle w:val="Heading3"/>
      </w:pPr>
      <w:r w:rsidRPr="006D3B2C">
        <w:t>Question 2</w:t>
      </w:r>
    </w:p>
    <w:p w14:paraId="21771BA0" w14:textId="170C51B8" w:rsidR="00636D33" w:rsidRDefault="00636D33" w:rsidP="00F23E34">
      <w:pPr>
        <w:pStyle w:val="ListParagraph"/>
        <w:numPr>
          <w:ilvl w:val="0"/>
          <w:numId w:val="9"/>
        </w:numPr>
      </w:pPr>
      <w:r>
        <w:t>Please refer to the coding section at GitHub</w:t>
      </w:r>
    </w:p>
    <w:p w14:paraId="50C395CD" w14:textId="6A816624" w:rsidR="0037457F" w:rsidRDefault="004674A6" w:rsidP="00B56B7D">
      <w:pPr>
        <w:pStyle w:val="ListParagraph"/>
        <w:numPr>
          <w:ilvl w:val="0"/>
          <w:numId w:val="9"/>
        </w:numPr>
      </w:pPr>
      <w:r>
        <w:t xml:space="preserve">After loading input </w:t>
      </w:r>
      <w:r w:rsidR="00A662B3">
        <w:t>data for</w:t>
      </w:r>
      <w:r>
        <w:t xml:space="preserve"> SP500 and FX </w:t>
      </w:r>
      <w:r w:rsidR="00A662B3">
        <w:t>time series</w:t>
      </w:r>
      <w:r>
        <w:t xml:space="preserve">, I </w:t>
      </w:r>
      <w:r w:rsidR="00A662B3">
        <w:t>combined/</w:t>
      </w:r>
      <w:r w:rsidR="00A21F8A">
        <w:t>merged</w:t>
      </w:r>
      <w:r w:rsidR="00A662B3">
        <w:t xml:space="preserve"> them based on </w:t>
      </w:r>
      <w:r w:rsidR="00A21F8A">
        <w:t xml:space="preserve">the </w:t>
      </w:r>
      <w:r w:rsidR="00A662B3">
        <w:t>common column ‘Date’</w:t>
      </w:r>
      <w:r w:rsidR="0097102B">
        <w:t xml:space="preserve">, and </w:t>
      </w:r>
      <w:r w:rsidR="00A21F8A">
        <w:t xml:space="preserve">then </w:t>
      </w:r>
      <w:r w:rsidR="0097102B">
        <w:t xml:space="preserve">sorted by </w:t>
      </w:r>
      <w:r w:rsidR="00F9703F">
        <w:t>ascending</w:t>
      </w:r>
      <w:r w:rsidR="0097102B">
        <w:t xml:space="preserve"> order.</w:t>
      </w:r>
    </w:p>
    <w:p w14:paraId="124C65D4" w14:textId="499BE54D" w:rsidR="00D21873" w:rsidRDefault="00D21873" w:rsidP="00B56B7D">
      <w:pPr>
        <w:pStyle w:val="ListParagraph"/>
        <w:numPr>
          <w:ilvl w:val="0"/>
          <w:numId w:val="9"/>
        </w:numPr>
      </w:pPr>
      <w:r>
        <w:t xml:space="preserve">Then </w:t>
      </w:r>
      <w:r w:rsidR="00F510A1">
        <w:t>my script calculates the mean and standard deviation for both FX and SP500 values</w:t>
      </w:r>
      <w:r w:rsidR="00875CCD">
        <w:t xml:space="preserve">. </w:t>
      </w:r>
    </w:p>
    <w:p w14:paraId="4B4F5DDF" w14:textId="27FDC7E8" w:rsidR="00263F8E" w:rsidRDefault="00263F8E" w:rsidP="00B56B7D">
      <w:pPr>
        <w:pStyle w:val="ListParagraph"/>
        <w:numPr>
          <w:ilvl w:val="0"/>
          <w:numId w:val="9"/>
        </w:numPr>
      </w:pPr>
      <w:r>
        <w:t xml:space="preserve">Then normalize FX and SP500 to </w:t>
      </w:r>
      <w:r w:rsidR="001E6943">
        <w:t>N(0,1) distribution.</w:t>
      </w:r>
    </w:p>
    <w:p w14:paraId="435AF158" w14:textId="7F214308" w:rsidR="001E6943" w:rsidRDefault="004D678E" w:rsidP="00B56B7D">
      <w:pPr>
        <w:pStyle w:val="ListParagraph"/>
        <w:numPr>
          <w:ilvl w:val="0"/>
          <w:numId w:val="9"/>
        </w:numPr>
      </w:pPr>
      <w:r>
        <w:t>Create a new time series</w:t>
      </w:r>
      <w:r w:rsidR="00F1565D">
        <w:t>, Z</w:t>
      </w:r>
      <w:r w:rsidR="00407F99">
        <w:t>_norm</w:t>
      </w:r>
      <w:r w:rsidR="00F1565D">
        <w:t>,</w:t>
      </w:r>
      <w:r>
        <w:t xml:space="preserve"> to</w:t>
      </w:r>
      <w:r w:rsidR="001F04EF">
        <w:t xml:space="preserve"> with correlation of 0.5</w:t>
      </w:r>
      <w:r w:rsidR="002349C5">
        <w:t>.</w:t>
      </w:r>
      <w:r w:rsidR="00976D62">
        <w:t xml:space="preserve"> To be specific, Z is a linear combination of the normalized SP500 and FX data, then scaled by</w:t>
      </w:r>
      <w:r w:rsidR="004F117D">
        <w:t xml:space="preserve"> 0</w:t>
      </w:r>
      <w:r w:rsidR="00976D62">
        <w:t>.5</w:t>
      </w:r>
      <w:r w:rsidR="004F117D">
        <w:t xml:space="preserve"> to achieve the desired correlation.</w:t>
      </w:r>
    </w:p>
    <w:p w14:paraId="794D1A9C" w14:textId="3150443D" w:rsidR="004F117D" w:rsidRDefault="00407F99" w:rsidP="00B56B7D">
      <w:pPr>
        <w:pStyle w:val="ListParagraph"/>
        <w:numPr>
          <w:ilvl w:val="0"/>
          <w:numId w:val="9"/>
        </w:numPr>
      </w:pPr>
      <w:r>
        <w:t>R</w:t>
      </w:r>
      <w:r w:rsidR="004F117D">
        <w:t>escal</w:t>
      </w:r>
      <w:r>
        <w:t>ing to original scale, Z</w:t>
      </w:r>
      <w:r w:rsidR="00EA3AF3">
        <w:t xml:space="preserve">. Lastly, I </w:t>
      </w:r>
      <w:r w:rsidR="00FA0340">
        <w:t xml:space="preserve">scaled </w:t>
      </w:r>
      <w:r w:rsidR="00EA3AF3">
        <w:t>the Z_norm back</w:t>
      </w:r>
      <w:r w:rsidR="00FA0340">
        <w:t xml:space="preserve"> to the original data scale by multiplying </w:t>
      </w:r>
      <w:r w:rsidR="00C42117">
        <w:t xml:space="preserve">std_z and adding </w:t>
      </w:r>
      <w:r w:rsidR="00FA0340">
        <w:t>mean_z and</w:t>
      </w:r>
      <w:r w:rsidR="00C42117">
        <w:t>.</w:t>
      </w:r>
    </w:p>
    <w:p w14:paraId="682BE762" w14:textId="5FF04AA6" w:rsidR="00C42117" w:rsidRDefault="00C42117" w:rsidP="00B56B7D">
      <w:pPr>
        <w:pStyle w:val="ListParagraph"/>
        <w:numPr>
          <w:ilvl w:val="0"/>
          <w:numId w:val="9"/>
        </w:numPr>
      </w:pPr>
      <w:r>
        <w:t>Now the time series Z, will have correlation of 0.5 with the FX series.</w:t>
      </w:r>
    </w:p>
    <w:p w14:paraId="3FD41F0E" w14:textId="77777777" w:rsidR="00F23E34" w:rsidRPr="006D3B2C" w:rsidRDefault="00636D33" w:rsidP="006D3B2C">
      <w:pPr>
        <w:pStyle w:val="Heading3"/>
      </w:pPr>
      <w:r w:rsidRPr="006D3B2C">
        <w:t>Question 3</w:t>
      </w:r>
    </w:p>
    <w:p w14:paraId="18101209" w14:textId="02FA4D9F" w:rsidR="00636D33" w:rsidRDefault="00636D33" w:rsidP="00F23E34">
      <w:pPr>
        <w:pStyle w:val="ListParagraph"/>
        <w:numPr>
          <w:ilvl w:val="0"/>
          <w:numId w:val="9"/>
        </w:numPr>
      </w:pPr>
      <w:r>
        <w:t xml:space="preserve"> Please refer to the coding section at GitHub</w:t>
      </w:r>
    </w:p>
    <w:p w14:paraId="56C04618" w14:textId="77777777" w:rsidR="006D6343" w:rsidRPr="006D6343" w:rsidRDefault="006D6343" w:rsidP="006D6343"/>
    <w:p w14:paraId="247F4CA0" w14:textId="77777777" w:rsidR="000906EF" w:rsidRDefault="000906EF"/>
    <w:p w14:paraId="0FF2A33E" w14:textId="75590256" w:rsidR="00B52132" w:rsidRPr="00B52132" w:rsidRDefault="00773F7A" w:rsidP="00B52132">
      <w:pPr>
        <w:pStyle w:val="Heading2"/>
      </w:pPr>
      <w:r w:rsidRPr="007C3F68">
        <w:t>Section 2 – Investment /Total Fund</w:t>
      </w:r>
    </w:p>
    <w:p w14:paraId="115FA9AC" w14:textId="77777777" w:rsidR="005F7D90" w:rsidRPr="00B52132" w:rsidRDefault="007C3F68" w:rsidP="00B52132">
      <w:pPr>
        <w:pStyle w:val="Heading3"/>
        <w:rPr>
          <w:bCs/>
        </w:rPr>
      </w:pPr>
      <w:r w:rsidRPr="00B52132">
        <w:rPr>
          <w:bCs/>
        </w:rPr>
        <w:t>Question 4:</w:t>
      </w:r>
    </w:p>
    <w:p w14:paraId="29031BE0" w14:textId="1DB424EC" w:rsidR="007B4A8C" w:rsidRDefault="005F7D90" w:rsidP="00A6769F">
      <w:pPr>
        <w:pStyle w:val="ListParagraph"/>
        <w:numPr>
          <w:ilvl w:val="0"/>
          <w:numId w:val="6"/>
        </w:numPr>
        <w:snapToGrid w:val="0"/>
        <w:spacing w:before="60" w:after="60"/>
        <w:contextualSpacing w:val="0"/>
      </w:pPr>
      <w:r w:rsidRPr="00A6769F">
        <w:rPr>
          <w:b/>
          <w:bCs/>
        </w:rPr>
        <w:t>Execution</w:t>
      </w:r>
      <w:r w:rsidR="00016BEF">
        <w:t>. B</w:t>
      </w:r>
      <w:r w:rsidR="007B4A8C">
        <w:t>elow are the various approaches that</w:t>
      </w:r>
      <w:r w:rsidR="00016BEF">
        <w:t xml:space="preserve"> we can allocate the S&amp;P500 </w:t>
      </w:r>
      <w:r w:rsidR="00A6769F">
        <w:t>exposure</w:t>
      </w:r>
    </w:p>
    <w:p w14:paraId="54C8F5AB" w14:textId="3DBAD0BA" w:rsidR="00016BEF" w:rsidRDefault="00A6769F" w:rsidP="00A6769F">
      <w:pPr>
        <w:pStyle w:val="ListParagraph"/>
        <w:numPr>
          <w:ilvl w:val="0"/>
          <w:numId w:val="7"/>
        </w:numPr>
        <w:snapToGrid w:val="0"/>
        <w:spacing w:before="60" w:after="60"/>
        <w:contextualSpacing w:val="0"/>
      </w:pPr>
      <w:r>
        <w:t>I</w:t>
      </w:r>
      <w:r w:rsidR="007C3F68">
        <w:t xml:space="preserve">nvest in </w:t>
      </w:r>
      <w:r w:rsidR="004D4B75" w:rsidRPr="00016BEF">
        <w:rPr>
          <w:b/>
          <w:bCs/>
        </w:rPr>
        <w:t>equity index futures</w:t>
      </w:r>
      <w:r w:rsidR="002009F5">
        <w:t>, i.e. l</w:t>
      </w:r>
      <w:r w:rsidR="006D6DF2">
        <w:t>ong</w:t>
      </w:r>
      <w:r w:rsidR="0064222F">
        <w:t xml:space="preserve"> </w:t>
      </w:r>
      <w:r w:rsidR="00C7051A">
        <w:t>S&amp;P500</w:t>
      </w:r>
      <w:r w:rsidR="0064222F">
        <w:t xml:space="preserve"> Index</w:t>
      </w:r>
      <w:r w:rsidR="006D6DF2">
        <w:t xml:space="preserve"> future with notional amount of </w:t>
      </w:r>
      <w:r w:rsidR="00740CE9">
        <w:t xml:space="preserve">about </w:t>
      </w:r>
      <w:r w:rsidR="006E336A">
        <w:t>$</w:t>
      </w:r>
      <w:r w:rsidR="005F755B">
        <w:t>USD</w:t>
      </w:r>
      <w:r w:rsidR="006E336A">
        <w:t xml:space="preserve"> </w:t>
      </w:r>
      <w:r w:rsidR="002C7BD7">
        <w:t>726.1 million, [CAD 1billion/1.3772, where 1.3772 is the USD/CAD FX rate as of April 12]</w:t>
      </w:r>
    </w:p>
    <w:p w14:paraId="4AB7CE53" w14:textId="2737CA29" w:rsidR="00016BEF" w:rsidRDefault="00A6769F" w:rsidP="00A6769F">
      <w:pPr>
        <w:pStyle w:val="ListParagraph"/>
        <w:numPr>
          <w:ilvl w:val="0"/>
          <w:numId w:val="7"/>
        </w:numPr>
        <w:snapToGrid w:val="0"/>
        <w:spacing w:before="60" w:after="60"/>
        <w:contextualSpacing w:val="0"/>
      </w:pPr>
      <w:r>
        <w:t>I</w:t>
      </w:r>
      <w:r w:rsidR="00016BEF">
        <w:t xml:space="preserve">nvest </w:t>
      </w:r>
      <w:r>
        <w:t xml:space="preserve">in </w:t>
      </w:r>
      <w:r w:rsidR="00016BEF" w:rsidRPr="00254827">
        <w:rPr>
          <w:b/>
          <w:bCs/>
        </w:rPr>
        <w:t>E</w:t>
      </w:r>
      <w:r w:rsidR="002862BD" w:rsidRPr="00254827">
        <w:rPr>
          <w:b/>
          <w:bCs/>
        </w:rPr>
        <w:t>TFs (Exchange-Traded-Funds</w:t>
      </w:r>
      <w:r w:rsidR="002862BD">
        <w:t>)</w:t>
      </w:r>
      <w:r w:rsidR="00382370">
        <w:t xml:space="preserve">. We could </w:t>
      </w:r>
      <w:r w:rsidR="00AA16AD">
        <w:t xml:space="preserve">purchase S&amp;P500 </w:t>
      </w:r>
      <w:r w:rsidR="00254827">
        <w:t xml:space="preserve">ETFs with </w:t>
      </w:r>
      <w:r w:rsidR="00AA16AD">
        <w:t>value worth of CAD $1billion</w:t>
      </w:r>
    </w:p>
    <w:p w14:paraId="7F020074" w14:textId="09493A64" w:rsidR="00DB30CD" w:rsidRDefault="00A6769F" w:rsidP="00A6769F">
      <w:pPr>
        <w:pStyle w:val="ListParagraph"/>
        <w:numPr>
          <w:ilvl w:val="0"/>
          <w:numId w:val="7"/>
        </w:numPr>
        <w:snapToGrid w:val="0"/>
        <w:spacing w:before="60" w:after="60"/>
        <w:contextualSpacing w:val="0"/>
      </w:pPr>
      <w:r>
        <w:t xml:space="preserve">Invest in </w:t>
      </w:r>
      <w:r w:rsidR="00254827" w:rsidRPr="00254827">
        <w:rPr>
          <w:b/>
          <w:bCs/>
        </w:rPr>
        <w:t>pooled funds</w:t>
      </w:r>
      <w:r w:rsidR="00254827">
        <w:t xml:space="preserve">. We could </w:t>
      </w:r>
      <w:r w:rsidR="00B80B68">
        <w:t xml:space="preserve">allocate </w:t>
      </w:r>
      <w:r w:rsidR="00762645">
        <w:t>the $1billion</w:t>
      </w:r>
      <w:r w:rsidR="00B80B68">
        <w:t xml:space="preserve"> capital to our equity </w:t>
      </w:r>
      <w:r w:rsidR="00762645">
        <w:t>E</w:t>
      </w:r>
      <w:r w:rsidR="00B80B68">
        <w:t xml:space="preserve">xternal managers which </w:t>
      </w:r>
      <w:r w:rsidR="00762645">
        <w:t>can</w:t>
      </w:r>
      <w:r w:rsidR="008717FC">
        <w:t xml:space="preserve"> help</w:t>
      </w:r>
      <w:r w:rsidR="00762645">
        <w:t xml:space="preserve"> </w:t>
      </w:r>
      <w:r w:rsidR="00DB30CD">
        <w:t xml:space="preserve">invest </w:t>
      </w:r>
      <w:r w:rsidR="006D6143">
        <w:t>S&amp;P500.</w:t>
      </w:r>
    </w:p>
    <w:p w14:paraId="0C15259D" w14:textId="7094F044" w:rsidR="00DB30CD" w:rsidRDefault="00DB30CD" w:rsidP="00A6769F">
      <w:pPr>
        <w:pStyle w:val="ListParagraph"/>
        <w:numPr>
          <w:ilvl w:val="0"/>
          <w:numId w:val="7"/>
        </w:numPr>
        <w:snapToGrid w:val="0"/>
        <w:spacing w:before="60" w:after="60"/>
        <w:contextualSpacing w:val="0"/>
      </w:pPr>
      <w:r w:rsidRPr="00AB2C46">
        <w:rPr>
          <w:b/>
          <w:bCs/>
        </w:rPr>
        <w:t>Other derivatives such as equity options</w:t>
      </w:r>
      <w:r w:rsidR="00920E51" w:rsidRPr="00AB2C46">
        <w:rPr>
          <w:b/>
          <w:bCs/>
        </w:rPr>
        <w:t xml:space="preserve"> and</w:t>
      </w:r>
      <w:r w:rsidRPr="00AB2C46">
        <w:rPr>
          <w:b/>
          <w:bCs/>
        </w:rPr>
        <w:t xml:space="preserve"> </w:t>
      </w:r>
      <w:r w:rsidR="00920E51" w:rsidRPr="00AB2C46">
        <w:rPr>
          <w:b/>
          <w:bCs/>
        </w:rPr>
        <w:t>equity total return swaps</w:t>
      </w:r>
      <w:r w:rsidR="00920E51">
        <w:t xml:space="preserve"> can also be the approach, but those exposure won’t be </w:t>
      </w:r>
      <w:r w:rsidR="00F95C0A">
        <w:t>linear products and the risk</w:t>
      </w:r>
      <w:r w:rsidR="00AB36ED">
        <w:t xml:space="preserve"> is typically higher than above three approaches.</w:t>
      </w:r>
    </w:p>
    <w:p w14:paraId="703D85CC" w14:textId="77777777" w:rsidR="00A6769F" w:rsidRDefault="00A6769F" w:rsidP="00B52132">
      <w:pPr>
        <w:snapToGrid w:val="0"/>
        <w:spacing w:before="60" w:after="60"/>
      </w:pPr>
    </w:p>
    <w:p w14:paraId="4B69D238" w14:textId="646C9D0F" w:rsidR="00AB36ED" w:rsidRDefault="00621A38" w:rsidP="00A6769F">
      <w:pPr>
        <w:pStyle w:val="ListParagraph"/>
        <w:numPr>
          <w:ilvl w:val="0"/>
          <w:numId w:val="6"/>
        </w:numPr>
        <w:snapToGrid w:val="0"/>
        <w:spacing w:before="60" w:after="60"/>
        <w:contextualSpacing w:val="0"/>
      </w:pPr>
      <w:r>
        <w:t>Implication</w:t>
      </w:r>
      <w:r w:rsidR="00AB36ED">
        <w:t xml:space="preserve"> to total fund</w:t>
      </w:r>
      <w:r>
        <w:t xml:space="preserve"> besides equity asset class.</w:t>
      </w:r>
    </w:p>
    <w:p w14:paraId="5CFFC3FF" w14:textId="0E2AF41A" w:rsidR="00AB36ED" w:rsidRDefault="00AB36ED" w:rsidP="00A6769F">
      <w:pPr>
        <w:pStyle w:val="ListParagraph"/>
        <w:numPr>
          <w:ilvl w:val="0"/>
          <w:numId w:val="8"/>
        </w:numPr>
        <w:snapToGrid w:val="0"/>
        <w:spacing w:before="60" w:after="60"/>
        <w:contextualSpacing w:val="0"/>
      </w:pPr>
      <w:r w:rsidRPr="00AB2C46">
        <w:rPr>
          <w:b/>
          <w:bCs/>
        </w:rPr>
        <w:t>Asset class exposure/weight</w:t>
      </w:r>
      <w:r>
        <w:t xml:space="preserve"> wi</w:t>
      </w:r>
      <w:r w:rsidR="00F73A47">
        <w:t xml:space="preserve">ll be </w:t>
      </w:r>
      <w:r>
        <w:t>change</w:t>
      </w:r>
      <w:r w:rsidR="00F73A47">
        <w:t>d.</w:t>
      </w:r>
      <w:r w:rsidR="003B65A7">
        <w:t xml:space="preserve"> OTPP is a global investor and has exposure across various asset classes</w:t>
      </w:r>
      <w:r w:rsidR="00335118">
        <w:t xml:space="preserve">, and from total fund allocation perspective, each asset class will have an target weight. Through adding the $1billion on S&amp;P500, the equity asset class weight will for sure increase, </w:t>
      </w:r>
      <w:r w:rsidR="00335118" w:rsidRPr="00621A38">
        <w:rPr>
          <w:b/>
          <w:bCs/>
        </w:rPr>
        <w:t xml:space="preserve">we will need to make sure this won’t breach the </w:t>
      </w:r>
      <w:r w:rsidR="00621A38">
        <w:rPr>
          <w:b/>
          <w:bCs/>
        </w:rPr>
        <w:t xml:space="preserve">equity </w:t>
      </w:r>
      <w:r w:rsidR="00335118" w:rsidRPr="00621A38">
        <w:rPr>
          <w:b/>
          <w:bCs/>
        </w:rPr>
        <w:t>exposure limit</w:t>
      </w:r>
      <w:r w:rsidR="00335118">
        <w:t>.</w:t>
      </w:r>
    </w:p>
    <w:p w14:paraId="1EBB04DE" w14:textId="63D644B0" w:rsidR="00335118" w:rsidRPr="00A07F79" w:rsidRDefault="00267C25" w:rsidP="00A6769F">
      <w:pPr>
        <w:pStyle w:val="ListParagraph"/>
        <w:numPr>
          <w:ilvl w:val="0"/>
          <w:numId w:val="8"/>
        </w:numPr>
        <w:snapToGrid w:val="0"/>
        <w:spacing w:before="60" w:after="60"/>
        <w:contextualSpacing w:val="0"/>
      </w:pPr>
      <w:r w:rsidRPr="00A07F79">
        <w:rPr>
          <w:b/>
          <w:bCs/>
        </w:rPr>
        <w:lastRenderedPageBreak/>
        <w:t>Impact on risk</w:t>
      </w:r>
    </w:p>
    <w:p w14:paraId="1CB4016C" w14:textId="51906F2F" w:rsidR="00267C25" w:rsidRDefault="00267C25" w:rsidP="00A6769F">
      <w:pPr>
        <w:pStyle w:val="ListParagraph"/>
        <w:numPr>
          <w:ilvl w:val="1"/>
          <w:numId w:val="8"/>
        </w:numPr>
        <w:snapToGrid w:val="0"/>
        <w:spacing w:before="60" w:after="60"/>
        <w:contextualSpacing w:val="0"/>
      </w:pPr>
      <w:r w:rsidRPr="00E7583C">
        <w:rPr>
          <w:b/>
          <w:bCs/>
        </w:rPr>
        <w:t xml:space="preserve">Total fund level </w:t>
      </w:r>
      <w:r w:rsidR="00595BB1" w:rsidRPr="00E7583C">
        <w:rPr>
          <w:b/>
          <w:bCs/>
        </w:rPr>
        <w:t xml:space="preserve">asset </w:t>
      </w:r>
      <w:r w:rsidRPr="00E7583C">
        <w:rPr>
          <w:b/>
          <w:bCs/>
        </w:rPr>
        <w:t>risk</w:t>
      </w:r>
      <w:r>
        <w:t xml:space="preserve">. The S&amp;P allocation will </w:t>
      </w:r>
      <w:r w:rsidRPr="000B16B4">
        <w:rPr>
          <w:b/>
          <w:bCs/>
        </w:rPr>
        <w:t xml:space="preserve">impact the correlation </w:t>
      </w:r>
      <w:r w:rsidR="00E76291" w:rsidRPr="000B16B4">
        <w:rPr>
          <w:b/>
          <w:bCs/>
        </w:rPr>
        <w:t>with other assets classes</w:t>
      </w:r>
      <w:r w:rsidR="000C6A2F">
        <w:t xml:space="preserve"> including</w:t>
      </w:r>
      <w:r w:rsidR="00E76291">
        <w:t xml:space="preserve"> </w:t>
      </w:r>
      <w:r w:rsidR="000B16B4">
        <w:t xml:space="preserve">the </w:t>
      </w:r>
      <w:r w:rsidR="00E76291">
        <w:t>fixed income</w:t>
      </w:r>
      <w:r w:rsidR="000C6A2F">
        <w:t xml:space="preserve"> and </w:t>
      </w:r>
      <w:r w:rsidR="00E76291">
        <w:t>alternative asset</w:t>
      </w:r>
      <w:r w:rsidR="000B16B4">
        <w:t>s</w:t>
      </w:r>
      <w:r w:rsidR="00E76291">
        <w:t xml:space="preserve"> (</w:t>
      </w:r>
      <w:r w:rsidR="000C6A2F">
        <w:t xml:space="preserve">Real Estate, Infrastructure, Private Equity). As a result, </w:t>
      </w:r>
      <w:r w:rsidR="00595BB1">
        <w:t>the total fund asset risk will</w:t>
      </w:r>
      <w:r w:rsidR="00074079">
        <w:t xml:space="preserve"> change and </w:t>
      </w:r>
      <w:r w:rsidR="003F20DB">
        <w:t xml:space="preserve">as Total Risk team, </w:t>
      </w:r>
      <w:r w:rsidR="00074079">
        <w:t xml:space="preserve">we need to make sure this </w:t>
      </w:r>
      <w:r w:rsidR="003F20DB">
        <w:t>new allocation will not breach any Total Fund risk limit.</w:t>
      </w:r>
    </w:p>
    <w:p w14:paraId="2B8CA6C8" w14:textId="77777777" w:rsidR="00AA5E85" w:rsidRDefault="00E7583C" w:rsidP="00A6769F">
      <w:pPr>
        <w:pStyle w:val="ListParagraph"/>
        <w:numPr>
          <w:ilvl w:val="1"/>
          <w:numId w:val="8"/>
        </w:numPr>
        <w:snapToGrid w:val="0"/>
        <w:spacing w:before="60" w:after="60"/>
        <w:contextualSpacing w:val="0"/>
      </w:pPr>
      <w:r w:rsidRPr="00A16C81">
        <w:rPr>
          <w:b/>
          <w:bCs/>
        </w:rPr>
        <w:t>L</w:t>
      </w:r>
      <w:r w:rsidR="006A4167" w:rsidRPr="00A16C81">
        <w:rPr>
          <w:b/>
          <w:bCs/>
        </w:rPr>
        <w:t>iquidity</w:t>
      </w:r>
      <w:r w:rsidR="000B16B4" w:rsidRPr="00A16C81">
        <w:rPr>
          <w:b/>
          <w:bCs/>
        </w:rPr>
        <w:t xml:space="preserve"> risk</w:t>
      </w:r>
      <w:r>
        <w:t xml:space="preserve">. </w:t>
      </w:r>
      <w:r w:rsidR="00AA5E85">
        <w:t>A</w:t>
      </w:r>
      <w:r w:rsidR="00A16C81">
        <w:t xml:space="preserve">bove four approaches have different impact to liquidity risk. </w:t>
      </w:r>
    </w:p>
    <w:p w14:paraId="7E8FF515" w14:textId="35918AF5" w:rsidR="00773F7A" w:rsidRDefault="00A16C81" w:rsidP="00A6769F">
      <w:pPr>
        <w:pStyle w:val="ListParagraph"/>
        <w:numPr>
          <w:ilvl w:val="2"/>
          <w:numId w:val="8"/>
        </w:numPr>
        <w:snapToGrid w:val="0"/>
        <w:spacing w:before="60" w:after="60"/>
        <w:contextualSpacing w:val="0"/>
      </w:pPr>
      <w:r>
        <w:t xml:space="preserve">The first approach </w:t>
      </w:r>
      <w:r w:rsidR="00E34A4C" w:rsidRPr="00AA5E85">
        <w:rPr>
          <w:b/>
          <w:bCs/>
        </w:rPr>
        <w:t xml:space="preserve">with S&amp;P </w:t>
      </w:r>
      <w:r w:rsidRPr="00AA5E85">
        <w:rPr>
          <w:b/>
          <w:bCs/>
        </w:rPr>
        <w:t>Futures</w:t>
      </w:r>
      <w:r w:rsidR="00E34A4C" w:rsidRPr="00AA5E85">
        <w:rPr>
          <w:b/>
          <w:bCs/>
        </w:rPr>
        <w:t xml:space="preserve"> </w:t>
      </w:r>
      <w:r w:rsidR="00AA5E85" w:rsidRPr="00AA5E85">
        <w:rPr>
          <w:b/>
          <w:bCs/>
        </w:rPr>
        <w:t>is</w:t>
      </w:r>
      <w:r w:rsidR="00E34A4C" w:rsidRPr="00AA5E85">
        <w:rPr>
          <w:b/>
          <w:bCs/>
        </w:rPr>
        <w:t xml:space="preserve"> t</w:t>
      </w:r>
      <w:r w:rsidR="00531D6A" w:rsidRPr="00AA5E85">
        <w:rPr>
          <w:b/>
          <w:bCs/>
        </w:rPr>
        <w:t xml:space="preserve">he ideal </w:t>
      </w:r>
      <w:r w:rsidR="00E34A4C" w:rsidRPr="00AA5E85">
        <w:rPr>
          <w:b/>
          <w:bCs/>
        </w:rPr>
        <w:t xml:space="preserve">solution to me from the </w:t>
      </w:r>
      <w:r w:rsidR="00531D6A" w:rsidRPr="00AA5E85">
        <w:rPr>
          <w:b/>
          <w:bCs/>
        </w:rPr>
        <w:t>liquidity perspective</w:t>
      </w:r>
      <w:r w:rsidR="00531D6A">
        <w:t xml:space="preserve">. As we only need to post the margin requirement rather than the full </w:t>
      </w:r>
      <w:r w:rsidR="00474D42">
        <w:t>capital of 1 billion, and this can free up some liquidity for the fund.</w:t>
      </w:r>
    </w:p>
    <w:p w14:paraId="6E5C06B6" w14:textId="13ACA291" w:rsidR="00C52305" w:rsidRDefault="00C52305" w:rsidP="00A6769F">
      <w:pPr>
        <w:pStyle w:val="ListParagraph"/>
        <w:numPr>
          <w:ilvl w:val="2"/>
          <w:numId w:val="8"/>
        </w:numPr>
        <w:snapToGrid w:val="0"/>
        <w:spacing w:before="60" w:after="60"/>
        <w:contextualSpacing w:val="0"/>
      </w:pPr>
      <w:r>
        <w:t>ETFs and Pooled fund are both cash products</w:t>
      </w:r>
      <w:r w:rsidR="0079150C">
        <w:t xml:space="preserve"> which have higher liquidity requirement.</w:t>
      </w:r>
    </w:p>
    <w:p w14:paraId="7E618204" w14:textId="5614329B" w:rsidR="00A6769F" w:rsidRDefault="00A6769F" w:rsidP="00A6769F">
      <w:pPr>
        <w:pStyle w:val="ListParagraph"/>
        <w:numPr>
          <w:ilvl w:val="1"/>
          <w:numId w:val="8"/>
        </w:numPr>
        <w:snapToGrid w:val="0"/>
        <w:spacing w:before="60" w:after="60"/>
        <w:contextualSpacing w:val="0"/>
      </w:pPr>
      <w:r w:rsidRPr="00426058">
        <w:rPr>
          <w:b/>
          <w:bCs/>
        </w:rPr>
        <w:t xml:space="preserve">Stress test </w:t>
      </w:r>
      <w:r w:rsidR="00E06D65" w:rsidRPr="00426058">
        <w:rPr>
          <w:b/>
          <w:bCs/>
        </w:rPr>
        <w:t>results</w:t>
      </w:r>
      <w:r w:rsidR="00E06D65">
        <w:t>. We should also evaluate the impact to the stress test such as the 2008 GFC scenario to make sure the Fund</w:t>
      </w:r>
      <w:r w:rsidR="00426058">
        <w:t xml:space="preserve"> performance is still financially acceptable.</w:t>
      </w:r>
    </w:p>
    <w:p w14:paraId="1C49AA7A" w14:textId="77777777" w:rsidR="0015643B" w:rsidRDefault="0015643B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27097DCC" w14:textId="7D00A1BC" w:rsidR="004E58CF" w:rsidRPr="00B52132" w:rsidRDefault="00DE61B1" w:rsidP="00B52132">
      <w:pPr>
        <w:pStyle w:val="Heading2"/>
      </w:pPr>
      <w:r w:rsidRPr="00B52132">
        <w:lastRenderedPageBreak/>
        <w:t>Section 3 – Data</w:t>
      </w:r>
    </w:p>
    <w:p w14:paraId="3702AF02" w14:textId="77777777" w:rsidR="0015643B" w:rsidRPr="00B52132" w:rsidRDefault="00DE61B1" w:rsidP="00DE61B1">
      <w:pPr>
        <w:rPr>
          <w:b/>
          <w:bCs/>
        </w:rPr>
      </w:pPr>
      <w:r w:rsidRPr="00B52132">
        <w:rPr>
          <w:b/>
          <w:bCs/>
        </w:rPr>
        <w:t>Question 5</w:t>
      </w:r>
      <w:r w:rsidR="00F43AB4" w:rsidRPr="00B52132">
        <w:rPr>
          <w:b/>
          <w:bCs/>
        </w:rPr>
        <w:t xml:space="preserve">: </w:t>
      </w:r>
    </w:p>
    <w:p w14:paraId="7C0D7B2F" w14:textId="6B2F7558" w:rsidR="00DE61B1" w:rsidRDefault="0015643B" w:rsidP="00DE61B1">
      <w:r>
        <w:t>P</w:t>
      </w:r>
      <w:r w:rsidR="00F43AB4">
        <w:t>lease refer to the cod</w:t>
      </w:r>
      <w:r w:rsidR="00D436AB">
        <w:t xml:space="preserve">ing part for answer. </w:t>
      </w:r>
      <w:r w:rsidR="00E75C8D">
        <w:t>For</w:t>
      </w:r>
      <w:r w:rsidR="00D436AB">
        <w:t xml:space="preserve"> solv</w:t>
      </w:r>
      <w:r w:rsidR="00E75C8D">
        <w:t>ing</w:t>
      </w:r>
      <w:r w:rsidR="00D436AB">
        <w:t xml:space="preserve"> the missing </w:t>
      </w:r>
      <w:r w:rsidR="00E75C8D">
        <w:t xml:space="preserve">values, I demonstrated </w:t>
      </w:r>
      <w:r w:rsidR="00D436AB">
        <w:t>both forward fill and linear interpolation method.</w:t>
      </w:r>
    </w:p>
    <w:p w14:paraId="7DE182F3" w14:textId="77777777" w:rsidR="0015643B" w:rsidRDefault="0015643B" w:rsidP="00DE61B1"/>
    <w:p w14:paraId="21D52012" w14:textId="4E2DF987" w:rsidR="0015643B" w:rsidRPr="00B52132" w:rsidRDefault="0015643B" w:rsidP="00DE61B1">
      <w:pPr>
        <w:rPr>
          <w:b/>
          <w:bCs/>
        </w:rPr>
      </w:pPr>
      <w:r w:rsidRPr="00B52132">
        <w:rPr>
          <w:b/>
          <w:bCs/>
        </w:rPr>
        <w:t>Question 6</w:t>
      </w:r>
    </w:p>
    <w:p w14:paraId="3C031356" w14:textId="457B17D7" w:rsidR="00AF09E7" w:rsidRDefault="00D84F89" w:rsidP="00DE61B1">
      <w:r>
        <w:t xml:space="preserve">I would use linear regression to </w:t>
      </w:r>
      <w:r w:rsidR="00F84A1C">
        <w:t xml:space="preserve">estimate the missing DV01 Convexity, through modelling the relationship between </w:t>
      </w:r>
      <w:r w:rsidR="0010534C">
        <w:t>[</w:t>
      </w:r>
      <w:r w:rsidR="00F84A1C">
        <w:t>DV01 Convexity</w:t>
      </w:r>
      <w:r w:rsidR="0010534C">
        <w:t>]</w:t>
      </w:r>
      <w:r w:rsidR="00F84A1C">
        <w:t xml:space="preserve"> </w:t>
      </w:r>
      <w:r w:rsidR="0010534C">
        <w:t>and [MV, and DV01].</w:t>
      </w:r>
      <w:r w:rsidR="00AF09E7">
        <w:t xml:space="preserve"> </w:t>
      </w:r>
    </w:p>
    <w:p w14:paraId="3FEBB6DE" w14:textId="0B8E9D33" w:rsidR="00AF09E7" w:rsidRDefault="00AF09E7" w:rsidP="00DE61B1">
      <w:r>
        <w:t xml:space="preserve">To validate </w:t>
      </w:r>
      <w:r w:rsidR="00811952">
        <w:t xml:space="preserve">my method, I also predicted the DV01 Convexity for </w:t>
      </w:r>
      <w:r w:rsidR="004B59FA">
        <w:t xml:space="preserve">those </w:t>
      </w:r>
      <w:r w:rsidR="00811952">
        <w:t xml:space="preserve">four dates with </w:t>
      </w:r>
      <w:r w:rsidR="004B59FA">
        <w:t xml:space="preserve">good DV01 data, and it confirmed that my method </w:t>
      </w:r>
      <w:r w:rsidR="00B52132">
        <w:t>fit well with the data.</w:t>
      </w:r>
    </w:p>
    <w:p w14:paraId="788B9B1B" w14:textId="658C2C85" w:rsidR="0015643B" w:rsidRDefault="00B52132" w:rsidP="00DE61B1">
      <w:r>
        <w:t>Please refer to the coding section to see the result.</w:t>
      </w:r>
    </w:p>
    <w:p w14:paraId="26426A4B" w14:textId="3E0FE657" w:rsidR="005A4875" w:rsidRDefault="0080300E" w:rsidP="005A4875">
      <w:pPr>
        <w:pStyle w:val="Heading3"/>
      </w:pPr>
      <w:r>
        <w:t>Question 7</w:t>
      </w:r>
    </w:p>
    <w:p w14:paraId="7DDC1583" w14:textId="754A4671" w:rsidR="005A4875" w:rsidRDefault="005A4875" w:rsidP="005A4875">
      <w:r>
        <w:t>Data normalization in database design is a method used to organize data in a database efficiently. This method reduces redundancy (i.e., repetition of data) and avoids undesirable features like data anomalies (unexpected errors that occur when adding, updating, or deleting data).</w:t>
      </w:r>
    </w:p>
    <w:p w14:paraId="7F324BDB" w14:textId="2CBBE886" w:rsidR="005A4875" w:rsidRDefault="005A4875" w:rsidP="005A4875">
      <w:r>
        <w:t>Normalization is useful because:</w:t>
      </w:r>
    </w:p>
    <w:p w14:paraId="479507C5" w14:textId="46C717E2" w:rsidR="005A4875" w:rsidRDefault="005A4875" w:rsidP="005A4875">
      <w:pPr>
        <w:pStyle w:val="ListParagraph"/>
        <w:numPr>
          <w:ilvl w:val="0"/>
          <w:numId w:val="9"/>
        </w:numPr>
      </w:pPr>
      <w:r>
        <w:t>It reduces data duplication, which saves storage and makes data easier to manage.</w:t>
      </w:r>
    </w:p>
    <w:p w14:paraId="3B57EA1B" w14:textId="5EEC2692" w:rsidR="005A4875" w:rsidRDefault="005A4875" w:rsidP="005A4875">
      <w:pPr>
        <w:pStyle w:val="ListParagraph"/>
        <w:numPr>
          <w:ilvl w:val="0"/>
          <w:numId w:val="9"/>
        </w:numPr>
      </w:pPr>
      <w:r>
        <w:t>It helps avoid data errors particularly when you update, add, or delete data.</w:t>
      </w:r>
    </w:p>
    <w:p w14:paraId="0868B8F9" w14:textId="0616EA4C" w:rsidR="005A4875" w:rsidRDefault="005A4875" w:rsidP="005A4875">
      <w:pPr>
        <w:pStyle w:val="ListParagraph"/>
        <w:numPr>
          <w:ilvl w:val="0"/>
          <w:numId w:val="9"/>
        </w:numPr>
      </w:pPr>
      <w:r>
        <w:t>It makes the database more organized by clearly defining relationships between different parts of the data.</w:t>
      </w:r>
    </w:p>
    <w:p w14:paraId="6822E49B" w14:textId="31412A48" w:rsidR="0080300E" w:rsidRDefault="005A4875" w:rsidP="005A4875">
      <w:r>
        <w:t xml:space="preserve">When designing a new database, data normalization can set up database efficiently. When updating an existing database, data normalization </w:t>
      </w:r>
      <w:r>
        <w:t>improves</w:t>
      </w:r>
      <w:r>
        <w:t xml:space="preserve"> its structure and how it handles data.</w:t>
      </w:r>
    </w:p>
    <w:p w14:paraId="54A65407" w14:textId="77777777" w:rsidR="00C92E46" w:rsidRDefault="00C92E46" w:rsidP="00C92E46">
      <w:r>
        <w:t>Employee Data Table before Normalization:</w:t>
      </w:r>
    </w:p>
    <w:p w14:paraId="706066D2" w14:textId="77777777" w:rsidR="00C92E46" w:rsidRDefault="00C92E46" w:rsidP="00C92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762"/>
        <w:gridCol w:w="1495"/>
        <w:gridCol w:w="1614"/>
        <w:gridCol w:w="1491"/>
        <w:gridCol w:w="1452"/>
      </w:tblGrid>
      <w:tr w:rsidR="00C92E46" w14:paraId="0D901A90" w14:textId="77777777" w:rsidTr="00932B31">
        <w:tc>
          <w:tcPr>
            <w:tcW w:w="1548" w:type="dxa"/>
          </w:tcPr>
          <w:p w14:paraId="3D556DC4" w14:textId="77777777" w:rsidR="00C92E46" w:rsidRDefault="00C92E46" w:rsidP="00932B31">
            <w:r>
              <w:t>EmployeeID</w:t>
            </w:r>
          </w:p>
        </w:tc>
        <w:tc>
          <w:tcPr>
            <w:tcW w:w="1762" w:type="dxa"/>
          </w:tcPr>
          <w:p w14:paraId="1160CC33" w14:textId="77777777" w:rsidR="00C92E46" w:rsidRDefault="00C92E46" w:rsidP="00932B31">
            <w:r>
              <w:t>EmployeeName</w:t>
            </w:r>
          </w:p>
        </w:tc>
        <w:tc>
          <w:tcPr>
            <w:tcW w:w="1539" w:type="dxa"/>
          </w:tcPr>
          <w:p w14:paraId="49868BC1" w14:textId="77777777" w:rsidR="00C92E46" w:rsidRDefault="00C92E46" w:rsidP="00932B31">
            <w:r>
              <w:t>Title</w:t>
            </w:r>
          </w:p>
        </w:tc>
        <w:tc>
          <w:tcPr>
            <w:tcW w:w="1549" w:type="dxa"/>
          </w:tcPr>
          <w:p w14:paraId="49AC530A" w14:textId="77777777" w:rsidR="00C92E46" w:rsidRPr="00C92E46" w:rsidRDefault="00C92E46" w:rsidP="00932B31">
            <w:r w:rsidRPr="00C92E46">
              <w:t>DepartmentID</w:t>
            </w:r>
          </w:p>
        </w:tc>
        <w:tc>
          <w:tcPr>
            <w:tcW w:w="1476" w:type="dxa"/>
          </w:tcPr>
          <w:p w14:paraId="72FA7DFF" w14:textId="77777777" w:rsidR="00C92E46" w:rsidRDefault="00C92E46" w:rsidP="00932B31">
            <w:r>
              <w:t>AnnualSalary</w:t>
            </w:r>
          </w:p>
        </w:tc>
        <w:tc>
          <w:tcPr>
            <w:tcW w:w="1476" w:type="dxa"/>
          </w:tcPr>
          <w:p w14:paraId="0EC097E6" w14:textId="77777777" w:rsidR="00C92E46" w:rsidRDefault="00C92E46" w:rsidP="00932B31">
            <w:r>
              <w:t>StartDate</w:t>
            </w:r>
          </w:p>
        </w:tc>
      </w:tr>
      <w:tr w:rsidR="00C92E46" w14:paraId="0397CA75" w14:textId="77777777" w:rsidTr="00932B31">
        <w:tc>
          <w:tcPr>
            <w:tcW w:w="1548" w:type="dxa"/>
          </w:tcPr>
          <w:p w14:paraId="6C57CF24" w14:textId="77777777" w:rsidR="00C92E46" w:rsidRDefault="00C92E46" w:rsidP="00932B31">
            <w:r>
              <w:t>1001</w:t>
            </w:r>
          </w:p>
        </w:tc>
        <w:tc>
          <w:tcPr>
            <w:tcW w:w="1762" w:type="dxa"/>
          </w:tcPr>
          <w:p w14:paraId="7FB28731" w14:textId="77777777" w:rsidR="00C92E46" w:rsidRDefault="00C92E46" w:rsidP="00932B31">
            <w:r>
              <w:t>James Charles</w:t>
            </w:r>
          </w:p>
        </w:tc>
        <w:tc>
          <w:tcPr>
            <w:tcW w:w="1539" w:type="dxa"/>
          </w:tcPr>
          <w:p w14:paraId="7EF97163" w14:textId="77777777" w:rsidR="00C92E46" w:rsidRDefault="00C92E46" w:rsidP="00932B31">
            <w:r>
              <w:t>Analyst</w:t>
            </w:r>
          </w:p>
        </w:tc>
        <w:tc>
          <w:tcPr>
            <w:tcW w:w="1549" w:type="dxa"/>
          </w:tcPr>
          <w:p w14:paraId="427FD648" w14:textId="77777777" w:rsidR="00C92E46" w:rsidRDefault="00C92E46" w:rsidP="00932B31">
            <w:r>
              <w:t>Risk</w:t>
            </w:r>
          </w:p>
        </w:tc>
        <w:tc>
          <w:tcPr>
            <w:tcW w:w="1476" w:type="dxa"/>
          </w:tcPr>
          <w:p w14:paraId="3D4C509D" w14:textId="77777777" w:rsidR="00C92E46" w:rsidRDefault="00C92E46" w:rsidP="00932B31">
            <w:r>
              <w:rPr>
                <w:rFonts w:hint="eastAsia"/>
              </w:rPr>
              <w:t>80000</w:t>
            </w:r>
          </w:p>
        </w:tc>
        <w:tc>
          <w:tcPr>
            <w:tcW w:w="1476" w:type="dxa"/>
          </w:tcPr>
          <w:p w14:paraId="33BD6350" w14:textId="77777777" w:rsidR="00C92E46" w:rsidRDefault="00C92E46" w:rsidP="00932B31">
            <w:r>
              <w:t>2023-01-02</w:t>
            </w:r>
          </w:p>
        </w:tc>
      </w:tr>
      <w:tr w:rsidR="00C92E46" w14:paraId="56CAF30B" w14:textId="77777777" w:rsidTr="00932B31">
        <w:tc>
          <w:tcPr>
            <w:tcW w:w="1548" w:type="dxa"/>
          </w:tcPr>
          <w:p w14:paraId="713EAE89" w14:textId="77777777" w:rsidR="00C92E46" w:rsidRDefault="00C92E46" w:rsidP="00932B31">
            <w:r>
              <w:t>1002</w:t>
            </w:r>
          </w:p>
        </w:tc>
        <w:tc>
          <w:tcPr>
            <w:tcW w:w="1762" w:type="dxa"/>
          </w:tcPr>
          <w:p w14:paraId="0CBABB47" w14:textId="77777777" w:rsidR="00C92E46" w:rsidRDefault="00C92E46" w:rsidP="00932B31">
            <w:r>
              <w:t>Tom Steven</w:t>
            </w:r>
          </w:p>
        </w:tc>
        <w:tc>
          <w:tcPr>
            <w:tcW w:w="1539" w:type="dxa"/>
          </w:tcPr>
          <w:p w14:paraId="72AF4FDB" w14:textId="77777777" w:rsidR="00C92E46" w:rsidRDefault="00C92E46" w:rsidP="00932B31">
            <w:r>
              <w:t>Analyst</w:t>
            </w:r>
          </w:p>
        </w:tc>
        <w:tc>
          <w:tcPr>
            <w:tcW w:w="1549" w:type="dxa"/>
          </w:tcPr>
          <w:p w14:paraId="4A97862F" w14:textId="77777777" w:rsidR="00C92E46" w:rsidRDefault="00C92E46" w:rsidP="00932B31">
            <w:r>
              <w:t>Finance</w:t>
            </w:r>
          </w:p>
        </w:tc>
        <w:tc>
          <w:tcPr>
            <w:tcW w:w="1476" w:type="dxa"/>
          </w:tcPr>
          <w:p w14:paraId="32039C35" w14:textId="77777777" w:rsidR="00C92E46" w:rsidRDefault="00C92E46" w:rsidP="00932B31">
            <w:r>
              <w:t>100000</w:t>
            </w:r>
          </w:p>
        </w:tc>
        <w:tc>
          <w:tcPr>
            <w:tcW w:w="1476" w:type="dxa"/>
          </w:tcPr>
          <w:p w14:paraId="4F8C5CA5" w14:textId="77777777" w:rsidR="00C92E46" w:rsidRDefault="00C92E46" w:rsidP="00932B31">
            <w:r>
              <w:t>2024-04-01</w:t>
            </w:r>
          </w:p>
        </w:tc>
      </w:tr>
    </w:tbl>
    <w:p w14:paraId="5D83B77E" w14:textId="77777777" w:rsidR="00C92E46" w:rsidRDefault="00C92E46" w:rsidP="00C92E46"/>
    <w:p w14:paraId="5F299440" w14:textId="54A6F640" w:rsidR="00C92E46" w:rsidRDefault="00C92E46" w:rsidP="00C92E46">
      <w:r>
        <w:t>Table after Normalization:</w:t>
      </w:r>
    </w:p>
    <w:p w14:paraId="1C98E886" w14:textId="3C3B9B13" w:rsidR="00C92E46" w:rsidRDefault="00C92E46" w:rsidP="00C92E46">
      <w:r>
        <w:t xml:space="preserve">The normalization process firstly </w:t>
      </w:r>
      <w:r>
        <w:t>eliminates</w:t>
      </w:r>
      <w:r>
        <w:t xml:space="preserve"> redundancy by separating department data into its own table; additionally, enhances data integrity by isolating employee-specific data from department data.</w:t>
      </w:r>
    </w:p>
    <w:p w14:paraId="311D0BE3" w14:textId="77777777" w:rsidR="00C92E46" w:rsidRPr="00C92E46" w:rsidRDefault="00C92E46" w:rsidP="00C92E46">
      <w:r w:rsidRPr="00C92E46">
        <w:t>Employee Table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16"/>
        <w:gridCol w:w="1793"/>
        <w:gridCol w:w="1300"/>
        <w:gridCol w:w="1648"/>
        <w:gridCol w:w="1534"/>
        <w:gridCol w:w="1943"/>
      </w:tblGrid>
      <w:tr w:rsidR="00C92E46" w:rsidRPr="00C92E46" w14:paraId="7B5E2BD9" w14:textId="77777777" w:rsidTr="00932B31">
        <w:trPr>
          <w:trHeight w:val="320"/>
        </w:trPr>
        <w:tc>
          <w:tcPr>
            <w:tcW w:w="1416" w:type="dxa"/>
            <w:noWrap/>
            <w:hideMark/>
          </w:tcPr>
          <w:p w14:paraId="425DC793" w14:textId="77777777" w:rsidR="00C92E46" w:rsidRPr="00C92E46" w:rsidRDefault="00C92E46" w:rsidP="00932B31">
            <w:r w:rsidRPr="00C92E46">
              <w:t>EmployeeID</w:t>
            </w:r>
          </w:p>
        </w:tc>
        <w:tc>
          <w:tcPr>
            <w:tcW w:w="1793" w:type="dxa"/>
            <w:noWrap/>
            <w:hideMark/>
          </w:tcPr>
          <w:p w14:paraId="22BE3084" w14:textId="77777777" w:rsidR="00C92E46" w:rsidRPr="00C92E46" w:rsidRDefault="00C92E46" w:rsidP="00932B31">
            <w:r w:rsidRPr="00C92E46">
              <w:t>EmployeeName</w:t>
            </w:r>
          </w:p>
        </w:tc>
        <w:tc>
          <w:tcPr>
            <w:tcW w:w="1300" w:type="dxa"/>
            <w:noWrap/>
            <w:hideMark/>
          </w:tcPr>
          <w:p w14:paraId="7557F0D2" w14:textId="77777777" w:rsidR="00C92E46" w:rsidRPr="00C92E46" w:rsidRDefault="00C92E46" w:rsidP="00932B31">
            <w:r w:rsidRPr="00C92E46">
              <w:t>Title</w:t>
            </w:r>
          </w:p>
        </w:tc>
        <w:tc>
          <w:tcPr>
            <w:tcW w:w="1648" w:type="dxa"/>
            <w:noWrap/>
            <w:hideMark/>
          </w:tcPr>
          <w:p w14:paraId="49BEA352" w14:textId="77777777" w:rsidR="00C92E46" w:rsidRPr="00C92E46" w:rsidRDefault="00C92E46" w:rsidP="00932B31">
            <w:r w:rsidRPr="00C92E46">
              <w:t>DepartmentID</w:t>
            </w:r>
          </w:p>
        </w:tc>
        <w:tc>
          <w:tcPr>
            <w:tcW w:w="1534" w:type="dxa"/>
            <w:noWrap/>
            <w:hideMark/>
          </w:tcPr>
          <w:p w14:paraId="318C6485" w14:textId="77777777" w:rsidR="00C92E46" w:rsidRPr="00C92E46" w:rsidRDefault="00C92E46" w:rsidP="00932B31">
            <w:r w:rsidRPr="00C92E46">
              <w:t>AnnualSalary</w:t>
            </w:r>
          </w:p>
        </w:tc>
        <w:tc>
          <w:tcPr>
            <w:tcW w:w="1943" w:type="dxa"/>
            <w:noWrap/>
            <w:hideMark/>
          </w:tcPr>
          <w:p w14:paraId="71F91316" w14:textId="77777777" w:rsidR="00C92E46" w:rsidRPr="00C92E46" w:rsidRDefault="00C92E46" w:rsidP="00932B31">
            <w:r w:rsidRPr="00C92E46">
              <w:t>StartDate</w:t>
            </w:r>
          </w:p>
        </w:tc>
      </w:tr>
      <w:tr w:rsidR="00C92E46" w:rsidRPr="00C92E46" w14:paraId="2CF19F1B" w14:textId="77777777" w:rsidTr="00932B31">
        <w:trPr>
          <w:trHeight w:val="320"/>
        </w:trPr>
        <w:tc>
          <w:tcPr>
            <w:tcW w:w="1416" w:type="dxa"/>
            <w:noWrap/>
            <w:hideMark/>
          </w:tcPr>
          <w:p w14:paraId="66C52395" w14:textId="77777777" w:rsidR="00C92E46" w:rsidRPr="00C92E46" w:rsidRDefault="00C92E46" w:rsidP="00932B31">
            <w:r w:rsidRPr="00C92E46">
              <w:t>1001</w:t>
            </w:r>
          </w:p>
        </w:tc>
        <w:tc>
          <w:tcPr>
            <w:tcW w:w="1793" w:type="dxa"/>
            <w:noWrap/>
            <w:hideMark/>
          </w:tcPr>
          <w:p w14:paraId="33F2FFCB" w14:textId="77777777" w:rsidR="00C92E46" w:rsidRPr="00C92E46" w:rsidRDefault="00C92E46" w:rsidP="00932B31">
            <w:r w:rsidRPr="00C92E46">
              <w:t>James Charles</w:t>
            </w:r>
          </w:p>
        </w:tc>
        <w:tc>
          <w:tcPr>
            <w:tcW w:w="1300" w:type="dxa"/>
            <w:noWrap/>
            <w:hideMark/>
          </w:tcPr>
          <w:p w14:paraId="0C4BE178" w14:textId="77777777" w:rsidR="00C92E46" w:rsidRPr="00C92E46" w:rsidRDefault="00C92E46" w:rsidP="00932B31">
            <w:r w:rsidRPr="00C92E46">
              <w:t>Analyst</w:t>
            </w:r>
          </w:p>
        </w:tc>
        <w:tc>
          <w:tcPr>
            <w:tcW w:w="1648" w:type="dxa"/>
            <w:noWrap/>
            <w:hideMark/>
          </w:tcPr>
          <w:p w14:paraId="56158073" w14:textId="77777777" w:rsidR="00C92E46" w:rsidRPr="00C92E46" w:rsidRDefault="00C92E46" w:rsidP="00932B31">
            <w:r w:rsidRPr="00C92E46">
              <w:t>D001</w:t>
            </w:r>
          </w:p>
        </w:tc>
        <w:tc>
          <w:tcPr>
            <w:tcW w:w="1534" w:type="dxa"/>
            <w:noWrap/>
            <w:hideMark/>
          </w:tcPr>
          <w:p w14:paraId="11ED9D0A" w14:textId="77777777" w:rsidR="00C92E46" w:rsidRPr="00C92E46" w:rsidRDefault="00C92E46" w:rsidP="00932B31">
            <w:r w:rsidRPr="00C92E46">
              <w:t>80000</w:t>
            </w:r>
          </w:p>
        </w:tc>
        <w:tc>
          <w:tcPr>
            <w:tcW w:w="1943" w:type="dxa"/>
            <w:noWrap/>
            <w:hideMark/>
          </w:tcPr>
          <w:p w14:paraId="63AE3344" w14:textId="77777777" w:rsidR="00C92E46" w:rsidRPr="00C92E46" w:rsidRDefault="00C92E46" w:rsidP="00932B31">
            <w:r w:rsidRPr="00C92E46">
              <w:t>2023-01-02</w:t>
            </w:r>
          </w:p>
        </w:tc>
      </w:tr>
      <w:tr w:rsidR="00C92E46" w:rsidRPr="00C92E46" w14:paraId="304045E4" w14:textId="77777777" w:rsidTr="00932B31">
        <w:trPr>
          <w:trHeight w:val="320"/>
        </w:trPr>
        <w:tc>
          <w:tcPr>
            <w:tcW w:w="1416" w:type="dxa"/>
            <w:noWrap/>
            <w:hideMark/>
          </w:tcPr>
          <w:p w14:paraId="4C719BC2" w14:textId="77777777" w:rsidR="00C92E46" w:rsidRPr="00C92E46" w:rsidRDefault="00C92E46" w:rsidP="00932B31">
            <w:r w:rsidRPr="00C92E46">
              <w:lastRenderedPageBreak/>
              <w:t>1002</w:t>
            </w:r>
          </w:p>
        </w:tc>
        <w:tc>
          <w:tcPr>
            <w:tcW w:w="1793" w:type="dxa"/>
            <w:noWrap/>
            <w:hideMark/>
          </w:tcPr>
          <w:p w14:paraId="3D715039" w14:textId="77777777" w:rsidR="00C92E46" w:rsidRPr="00C92E46" w:rsidRDefault="00C92E46" w:rsidP="00932B31">
            <w:r w:rsidRPr="00C92E46">
              <w:t>Tom Steven</w:t>
            </w:r>
          </w:p>
        </w:tc>
        <w:tc>
          <w:tcPr>
            <w:tcW w:w="1300" w:type="dxa"/>
            <w:noWrap/>
            <w:hideMark/>
          </w:tcPr>
          <w:p w14:paraId="3F1F6004" w14:textId="77777777" w:rsidR="00C92E46" w:rsidRPr="00C92E46" w:rsidRDefault="00C92E46" w:rsidP="00932B31">
            <w:r w:rsidRPr="00C92E46">
              <w:t>Analyst</w:t>
            </w:r>
          </w:p>
        </w:tc>
        <w:tc>
          <w:tcPr>
            <w:tcW w:w="1648" w:type="dxa"/>
            <w:noWrap/>
            <w:hideMark/>
          </w:tcPr>
          <w:p w14:paraId="31B353F8" w14:textId="77777777" w:rsidR="00C92E46" w:rsidRPr="00C92E46" w:rsidRDefault="00C92E46" w:rsidP="00932B31">
            <w:r w:rsidRPr="00C92E46">
              <w:t>D002</w:t>
            </w:r>
          </w:p>
        </w:tc>
        <w:tc>
          <w:tcPr>
            <w:tcW w:w="1534" w:type="dxa"/>
            <w:noWrap/>
            <w:hideMark/>
          </w:tcPr>
          <w:p w14:paraId="47A914C1" w14:textId="77777777" w:rsidR="00C92E46" w:rsidRPr="00C92E46" w:rsidRDefault="00C92E46" w:rsidP="00932B31">
            <w:r w:rsidRPr="00C92E46">
              <w:t>100000</w:t>
            </w:r>
          </w:p>
        </w:tc>
        <w:tc>
          <w:tcPr>
            <w:tcW w:w="1943" w:type="dxa"/>
            <w:noWrap/>
            <w:hideMark/>
          </w:tcPr>
          <w:p w14:paraId="3C8E0AC7" w14:textId="77777777" w:rsidR="00C92E46" w:rsidRPr="00C92E46" w:rsidRDefault="00C92E46" w:rsidP="00932B31">
            <w:r w:rsidRPr="00C92E46">
              <w:t>2024-04-01</w:t>
            </w:r>
          </w:p>
        </w:tc>
      </w:tr>
    </w:tbl>
    <w:p w14:paraId="2CC60E40" w14:textId="77777777" w:rsidR="00C92E46" w:rsidRPr="00C92E46" w:rsidRDefault="00C92E46" w:rsidP="00C92E46"/>
    <w:p w14:paraId="17B4DBF6" w14:textId="50A38E1E" w:rsidR="00C92E46" w:rsidRPr="00C92E46" w:rsidRDefault="00C92E46" w:rsidP="00C92E46">
      <w:r w:rsidRPr="00C92E46">
        <w:t>Department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987"/>
      </w:tblGrid>
      <w:tr w:rsidR="00C92E46" w:rsidRPr="00C92E46" w14:paraId="6E55B893" w14:textId="77777777" w:rsidTr="00932B31">
        <w:trPr>
          <w:trHeight w:val="320"/>
        </w:trPr>
        <w:tc>
          <w:tcPr>
            <w:tcW w:w="1407" w:type="dxa"/>
            <w:noWrap/>
            <w:hideMark/>
          </w:tcPr>
          <w:p w14:paraId="10673BDF" w14:textId="77777777" w:rsidR="00C92E46" w:rsidRPr="00C92E46" w:rsidRDefault="00C92E46" w:rsidP="00932B31">
            <w:r w:rsidRPr="00C92E46">
              <w:t>DepartmentID</w:t>
            </w:r>
          </w:p>
        </w:tc>
        <w:tc>
          <w:tcPr>
            <w:tcW w:w="1769" w:type="dxa"/>
            <w:noWrap/>
            <w:hideMark/>
          </w:tcPr>
          <w:p w14:paraId="637082C5" w14:textId="77777777" w:rsidR="00C92E46" w:rsidRPr="00C92E46" w:rsidRDefault="00C92E46" w:rsidP="00932B31">
            <w:r w:rsidRPr="00C92E46">
              <w:t>DepartmentName</w:t>
            </w:r>
          </w:p>
        </w:tc>
      </w:tr>
      <w:tr w:rsidR="00C92E46" w:rsidRPr="00C92E46" w14:paraId="0A728EBA" w14:textId="77777777" w:rsidTr="00932B31">
        <w:trPr>
          <w:trHeight w:val="320"/>
        </w:trPr>
        <w:tc>
          <w:tcPr>
            <w:tcW w:w="1407" w:type="dxa"/>
            <w:noWrap/>
            <w:hideMark/>
          </w:tcPr>
          <w:p w14:paraId="6996C6A7" w14:textId="77777777" w:rsidR="00C92E46" w:rsidRPr="00C92E46" w:rsidRDefault="00C92E46" w:rsidP="00932B31">
            <w:r w:rsidRPr="00C92E46">
              <w:t>D001</w:t>
            </w:r>
          </w:p>
        </w:tc>
        <w:tc>
          <w:tcPr>
            <w:tcW w:w="1769" w:type="dxa"/>
            <w:noWrap/>
            <w:hideMark/>
          </w:tcPr>
          <w:p w14:paraId="584FDA32" w14:textId="77777777" w:rsidR="00C92E46" w:rsidRPr="00C92E46" w:rsidRDefault="00C92E46" w:rsidP="00932B31">
            <w:r w:rsidRPr="00C92E46">
              <w:t>Risk</w:t>
            </w:r>
          </w:p>
        </w:tc>
      </w:tr>
      <w:tr w:rsidR="00C92E46" w:rsidRPr="00C92E46" w14:paraId="20D57265" w14:textId="77777777" w:rsidTr="00932B31">
        <w:trPr>
          <w:trHeight w:val="320"/>
        </w:trPr>
        <w:tc>
          <w:tcPr>
            <w:tcW w:w="1407" w:type="dxa"/>
            <w:noWrap/>
            <w:hideMark/>
          </w:tcPr>
          <w:p w14:paraId="67DA31E3" w14:textId="77777777" w:rsidR="00C92E46" w:rsidRPr="00C92E46" w:rsidRDefault="00C92E46" w:rsidP="00932B31">
            <w:r w:rsidRPr="00C92E46">
              <w:t>D002</w:t>
            </w:r>
          </w:p>
        </w:tc>
        <w:tc>
          <w:tcPr>
            <w:tcW w:w="1769" w:type="dxa"/>
            <w:noWrap/>
            <w:hideMark/>
          </w:tcPr>
          <w:p w14:paraId="38B8B3C6" w14:textId="77777777" w:rsidR="00C92E46" w:rsidRPr="00C92E46" w:rsidRDefault="00C92E46" w:rsidP="00932B31">
            <w:r w:rsidRPr="00C92E46">
              <w:t>Finance</w:t>
            </w:r>
          </w:p>
        </w:tc>
      </w:tr>
    </w:tbl>
    <w:p w14:paraId="2B306EBC" w14:textId="77777777" w:rsidR="00E05C51" w:rsidRPr="00C92E46" w:rsidRDefault="00E05C51" w:rsidP="005A4875"/>
    <w:p w14:paraId="6B8FDE10" w14:textId="72FFA106" w:rsidR="00036F87" w:rsidRDefault="00036F87" w:rsidP="00036F87">
      <w:pPr>
        <w:pStyle w:val="Heading2"/>
      </w:pPr>
      <w:r>
        <w:t>Section 4</w:t>
      </w:r>
    </w:p>
    <w:p w14:paraId="4A3991FC" w14:textId="58E0A410" w:rsidR="00E05C51" w:rsidRDefault="00E05C51" w:rsidP="00C73C7D">
      <w:pPr>
        <w:pStyle w:val="Heading3"/>
      </w:pPr>
      <w:r>
        <w:t>Question</w:t>
      </w:r>
      <w:r w:rsidR="00036F87">
        <w:t xml:space="preserve"> 8</w:t>
      </w:r>
    </w:p>
    <w:p w14:paraId="6002A2E0" w14:textId="2EBCEE73" w:rsidR="00C73C7D" w:rsidRDefault="00810F0D" w:rsidP="00814435">
      <w:pPr>
        <w:pStyle w:val="ListParagraph"/>
        <w:numPr>
          <w:ilvl w:val="0"/>
          <w:numId w:val="10"/>
        </w:numPr>
      </w:pPr>
      <w:r>
        <w:t xml:space="preserve">As a Canadian investor, any non-CAD asset/exposure will be considered as currency exposure. In </w:t>
      </w:r>
      <w:r w:rsidR="007C5860">
        <w:t xml:space="preserve">the example of </w:t>
      </w:r>
      <w:r>
        <w:t>th</w:t>
      </w:r>
      <w:r w:rsidR="00D11923">
        <w:t xml:space="preserve">is portfolio, </w:t>
      </w:r>
      <w:r w:rsidR="00440F42">
        <w:t xml:space="preserve">other than S&amp;P/TSX and CAD 10Y, </w:t>
      </w:r>
      <w:r w:rsidR="00EA65AF">
        <w:t xml:space="preserve">allocation on </w:t>
      </w:r>
      <w:r w:rsidR="00440F42">
        <w:t xml:space="preserve">all the rest </w:t>
      </w:r>
      <w:r w:rsidR="00EA65AF">
        <w:t xml:space="preserve">assets including </w:t>
      </w:r>
      <w:r w:rsidR="00D11923">
        <w:t xml:space="preserve">S&amp;P500, S&amp;P GSCI Index, Gold, and US 10Y Treasuries will </w:t>
      </w:r>
      <w:r w:rsidR="00EA65AF">
        <w:t xml:space="preserve">be included in </w:t>
      </w:r>
      <w:r w:rsidR="00440F42">
        <w:t>the currency exposure</w:t>
      </w:r>
      <w:r w:rsidR="00EA65AF">
        <w:t>.</w:t>
      </w:r>
    </w:p>
    <w:p w14:paraId="1F057F3B" w14:textId="20414546" w:rsidR="00BC2D69" w:rsidRDefault="00A00ACC" w:rsidP="00814435">
      <w:pPr>
        <w:pStyle w:val="ListParagraph"/>
        <w:numPr>
          <w:ilvl w:val="0"/>
          <w:numId w:val="10"/>
        </w:numPr>
      </w:pPr>
      <w:r>
        <w:t xml:space="preserve">At any day, the summation of </w:t>
      </w:r>
      <w:r w:rsidR="00247E3F">
        <w:t xml:space="preserve">1-day </w:t>
      </w:r>
      <w:r>
        <w:t xml:space="preserve">PnL </w:t>
      </w:r>
      <w:r w:rsidR="00247E3F">
        <w:t xml:space="preserve">of </w:t>
      </w:r>
      <w:r>
        <w:t xml:space="preserve">all holdings </w:t>
      </w:r>
      <w:r w:rsidR="00247E3F">
        <w:t>in the portfolio will serve as the portfolio level PnL.</w:t>
      </w:r>
      <w:r w:rsidR="00D54C75">
        <w:t xml:space="preserve"> Repetitively doing this throughout the history, we will get the portfolio level 1-day PnL. Then </w:t>
      </w:r>
      <w:r w:rsidR="00DF2487">
        <w:t xml:space="preserve">find the </w:t>
      </w:r>
      <w:r w:rsidR="0077162F">
        <w:t>X</w:t>
      </w:r>
      <w:r w:rsidR="00C1128F">
        <w:t>%</w:t>
      </w:r>
      <w:r w:rsidR="00DF2487">
        <w:t xml:space="preserve"> percentile </w:t>
      </w:r>
      <w:r w:rsidR="0077162F">
        <w:t xml:space="preserve">value from </w:t>
      </w:r>
      <w:r w:rsidR="00DF2487">
        <w:t>the time series</w:t>
      </w:r>
      <w:r w:rsidR="0077162F">
        <w:t>, that value is the X</w:t>
      </w:r>
      <w:r w:rsidR="00C1128F">
        <w:t>% confident level 1-Day VaR fo the portfolio</w:t>
      </w:r>
    </w:p>
    <w:p w14:paraId="636D619F" w14:textId="79318621" w:rsidR="00C1128F" w:rsidRDefault="005F46B9" w:rsidP="00814435">
      <w:pPr>
        <w:pStyle w:val="ListParagraph"/>
        <w:numPr>
          <w:ilvl w:val="0"/>
          <w:numId w:val="10"/>
        </w:numPr>
      </w:pPr>
      <w:r>
        <w:t>I wasn’t able to find the data for US 10Y Treasuries and CAD 10Y Treasuries</w:t>
      </w:r>
      <w:r w:rsidR="00A85B11">
        <w:t xml:space="preserve"> given the time constraint, but the same theory applies </w:t>
      </w:r>
      <w:r w:rsidR="00C3098C">
        <w:t xml:space="preserve">even </w:t>
      </w:r>
      <w:r w:rsidR="00A85B11">
        <w:t xml:space="preserve">using the </w:t>
      </w:r>
      <w:r w:rsidR="00C3098C">
        <w:t>rest of assets</w:t>
      </w:r>
      <w:r w:rsidR="00A85B11">
        <w:t>.</w:t>
      </w:r>
    </w:p>
    <w:p w14:paraId="135B92EE" w14:textId="6E98EB1F" w:rsidR="00093A9A" w:rsidRPr="00C73C7D" w:rsidRDefault="00093A9A" w:rsidP="00814435">
      <w:pPr>
        <w:pStyle w:val="ListParagraph"/>
        <w:numPr>
          <w:ilvl w:val="0"/>
          <w:numId w:val="10"/>
        </w:numPr>
      </w:pPr>
      <w:r>
        <w:t>Please</w:t>
      </w:r>
      <w:r w:rsidR="00FA4DED">
        <w:t xml:space="preserve"> refer to tab ‘Q8 rtn’ in the Q8 Data excel file attached for the calculation.</w:t>
      </w:r>
    </w:p>
    <w:p w14:paraId="1305E38F" w14:textId="77777777" w:rsidR="00C73C7D" w:rsidRDefault="00C73C7D">
      <w:pPr>
        <w:rPr>
          <w:rFonts w:ascii="Arial" w:eastAsiaTheme="majorEastAsia" w:hAnsi="Arial" w:cstheme="majorBidi"/>
          <w:b/>
          <w:szCs w:val="24"/>
        </w:rPr>
      </w:pPr>
      <w:r>
        <w:br w:type="page"/>
      </w:r>
    </w:p>
    <w:p w14:paraId="6A6AEE67" w14:textId="602F5612" w:rsidR="006D3B2C" w:rsidRDefault="006D3B2C" w:rsidP="00C73C7D">
      <w:pPr>
        <w:pStyle w:val="Heading3"/>
      </w:pPr>
      <w:r>
        <w:lastRenderedPageBreak/>
        <w:t>Question 9</w:t>
      </w:r>
    </w:p>
    <w:p w14:paraId="47BAF0CA" w14:textId="70AC41EB" w:rsidR="00091AE1" w:rsidRDefault="00091AE1" w:rsidP="00091AE1">
      <w:pPr>
        <w:pStyle w:val="ListParagraph"/>
        <w:numPr>
          <w:ilvl w:val="0"/>
          <w:numId w:val="11"/>
        </w:numPr>
      </w:pPr>
      <w:r>
        <w:t>There are two ways I can think of to calculate the 10-day VaR</w:t>
      </w:r>
    </w:p>
    <w:p w14:paraId="43E4F5FB" w14:textId="52A75B7E" w:rsidR="00091AE1" w:rsidRDefault="00091AE1" w:rsidP="00091AE1">
      <w:pPr>
        <w:pStyle w:val="ListParagraph"/>
        <w:numPr>
          <w:ilvl w:val="1"/>
          <w:numId w:val="11"/>
        </w:numPr>
      </w:pPr>
      <w:r>
        <w:t>One is the extend the return horizon from 1-day to 10-day and then redo the calculation to get the 10-day VaR</w:t>
      </w:r>
    </w:p>
    <w:p w14:paraId="4B887678" w14:textId="77777777" w:rsidR="00A27ED1" w:rsidRDefault="00091AE1" w:rsidP="00A27ED1">
      <w:pPr>
        <w:pStyle w:val="ListParagraph"/>
        <w:numPr>
          <w:ilvl w:val="1"/>
          <w:numId w:val="11"/>
        </w:numPr>
      </w:pPr>
      <w:r>
        <w:t xml:space="preserve">Second approach is through </w:t>
      </w:r>
      <w:r w:rsidR="003533F4">
        <w:t>linear scaling method through square root of time. To be more specific</w:t>
      </w:r>
    </w:p>
    <w:p w14:paraId="3A1FAB51" w14:textId="3C8B6AAE" w:rsidR="00A27ED1" w:rsidRPr="00091AE1" w:rsidRDefault="00A27ED1" w:rsidP="00A27ED1">
      <w:pPr>
        <w:pStyle w:val="ListParagraph"/>
        <w:ind w:left="1800"/>
      </w:pPr>
      <m:oMathPara>
        <m:oMath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10day</m:t>
              </m:r>
            </m:sub>
          </m:sSub>
          <m:r>
            <w:rPr>
              <w:rFonts w:ascii="Cambria Math" w:hAnsi="Cambria Math"/>
            </w:rPr>
            <m:t>=Va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1day</m:t>
              </m:r>
            </m:sub>
          </m:sSub>
          <m:r>
            <w:rPr>
              <w:rFonts w:ascii="Cambria Math" w:hAnsi="Cambria Math"/>
            </w:rPr>
            <m:t>*sqrt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25833034" w14:textId="39FEEA3B" w:rsidR="006D3B2C" w:rsidRDefault="006D3B2C" w:rsidP="00C73C7D">
      <w:pPr>
        <w:pStyle w:val="Heading3"/>
      </w:pPr>
      <w:r>
        <w:t>Question 10</w:t>
      </w:r>
    </w:p>
    <w:p w14:paraId="7BB26082" w14:textId="028CA6BE" w:rsidR="00EE7CBA" w:rsidRDefault="00EE7CBA" w:rsidP="00EE7CBA">
      <w:pPr>
        <w:pStyle w:val="ListParagraph"/>
        <w:numPr>
          <w:ilvl w:val="0"/>
          <w:numId w:val="11"/>
        </w:numPr>
      </w:pPr>
      <w:r>
        <w:t xml:space="preserve">Since this is </w:t>
      </w:r>
      <w:r w:rsidR="008629F9">
        <w:t>an estimate, the linear scaling method is more straightforward</w:t>
      </w:r>
    </w:p>
    <w:p w14:paraId="44A528AD" w14:textId="52B50CE9" w:rsidR="008629F9" w:rsidRPr="002E1E19" w:rsidRDefault="00A52EB9" w:rsidP="008629F9">
      <w:pPr>
        <w:pStyle w:val="ListParagraph"/>
        <w:ind w:left="360"/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Va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1year</m:t>
              </m:r>
            </m:sub>
          </m:sSub>
          <m:r>
            <w:rPr>
              <w:rFonts w:ascii="Cambria Math" w:hAnsi="Cambria Math"/>
              <w:vertAlign w:val="subscript"/>
            </w:rPr>
            <m:t>=Va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3month</m:t>
              </m:r>
            </m:sub>
          </m:sSub>
          <m:r>
            <w:rPr>
              <w:rFonts w:ascii="Cambria Math" w:hAnsi="Cambria Math"/>
              <w:vertAlign w:val="subscript"/>
            </w:rPr>
            <m:t>*sqrt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=3.6</m:t>
          </m:r>
          <m:r>
            <w:rPr>
              <w:rFonts w:ascii="Cambria Math" w:hAnsi="Cambria Math"/>
              <w:vertAlign w:val="subscript"/>
            </w:rPr>
            <m:t>*2</m:t>
          </m:r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  <w:vertAlign w:val="subscript"/>
            </w:rPr>
            <m:t>$7.2 billion</m:t>
          </m:r>
        </m:oMath>
      </m:oMathPara>
    </w:p>
    <w:p w14:paraId="4F0A1B0F" w14:textId="02FBCEDB" w:rsidR="002E1E19" w:rsidRPr="002E1E19" w:rsidRDefault="002E1E19" w:rsidP="002E1E19">
      <w:pPr>
        <w:pStyle w:val="ListParagraph"/>
        <w:numPr>
          <w:ilvl w:val="0"/>
          <w:numId w:val="11"/>
        </w:numPr>
      </w:pPr>
      <w:r w:rsidRPr="002E1E19">
        <w:t>The 1</w:t>
      </w:r>
      <w:r>
        <w:t>-year VaR estimate is at $7.2 Billion</w:t>
      </w:r>
    </w:p>
    <w:p w14:paraId="797D14C0" w14:textId="3518972D" w:rsidR="006D3B2C" w:rsidRDefault="006D3B2C" w:rsidP="00C73C7D">
      <w:pPr>
        <w:pStyle w:val="Heading3"/>
      </w:pPr>
      <w:r>
        <w:t>Question 11</w:t>
      </w:r>
    </w:p>
    <w:p w14:paraId="22129E26" w14:textId="4D747DF8" w:rsidR="001F235E" w:rsidRDefault="00EF0F9B" w:rsidP="00EF0FE9">
      <w:pPr>
        <w:pStyle w:val="ListParagraph"/>
        <w:ind w:left="360"/>
      </w:pPr>
      <w:r>
        <w:rPr>
          <w:noProof/>
        </w:rPr>
        <w:drawing>
          <wp:inline distT="0" distB="0" distL="0" distR="0" wp14:anchorId="429558E9" wp14:editId="7680C300">
            <wp:extent cx="5943600" cy="1313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DDDBE83" w14:textId="319390D5" w:rsidR="001274FF" w:rsidRDefault="00F24DCA" w:rsidP="005C636F">
      <w:r>
        <w:t xml:space="preserve">Based </w:t>
      </w:r>
      <w:r w:rsidR="005C636F">
        <w:t xml:space="preserve">on </w:t>
      </w:r>
      <w:r w:rsidR="005C636F">
        <w:t xml:space="preserve">above </w:t>
      </w:r>
      <w:r w:rsidR="005C636F">
        <w:t>Black-Schole option pricing formula</w:t>
      </w:r>
      <w:r w:rsidR="00417516" w:rsidRPr="00417516">
        <w:t>, when Vol goes to infinite, d</w:t>
      </w:r>
      <w:r w:rsidR="00DB647C">
        <w:t>+</w:t>
      </w:r>
      <w:r w:rsidR="00417516" w:rsidRPr="00417516">
        <w:t xml:space="preserve"> also goes to infinite and d</w:t>
      </w:r>
      <w:r w:rsidR="00DB647C">
        <w:t>-</w:t>
      </w:r>
      <w:r w:rsidR="00417516" w:rsidRPr="00417516">
        <w:t xml:space="preserve"> goes to negative infinite. Thus, N(d</w:t>
      </w:r>
      <w:r w:rsidR="00DB647C">
        <w:t>+</w:t>
      </w:r>
      <w:r w:rsidR="00417516" w:rsidRPr="00417516">
        <w:t>) goes to 1 and N(d</w:t>
      </w:r>
      <w:r w:rsidR="00DB647C">
        <w:t>-</w:t>
      </w:r>
      <w:r w:rsidR="00417516" w:rsidRPr="00417516">
        <w:t xml:space="preserve">) goes to 0. </w:t>
      </w:r>
    </w:p>
    <w:p w14:paraId="3FF71A17" w14:textId="50875F27" w:rsidR="00417516" w:rsidRDefault="001274FF" w:rsidP="00DB647C">
      <w:r>
        <w:t xml:space="preserve">Therefore, a </w:t>
      </w:r>
      <w:r w:rsidR="00417516" w:rsidRPr="00417516">
        <w:t xml:space="preserve">Call option is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1763D">
        <w:t xml:space="preserve"> when with infinity volatility.</w:t>
      </w:r>
    </w:p>
    <w:p w14:paraId="33AE1D5C" w14:textId="77777777" w:rsidR="00417516" w:rsidRPr="001F235E" w:rsidRDefault="00417516" w:rsidP="00EF0FE9">
      <w:pPr>
        <w:pStyle w:val="ListParagraph"/>
        <w:ind w:left="360"/>
      </w:pPr>
    </w:p>
    <w:p w14:paraId="5BB0FCEB" w14:textId="77CAE848" w:rsidR="006D3B2C" w:rsidRDefault="006D3B2C" w:rsidP="00C73C7D">
      <w:pPr>
        <w:pStyle w:val="Heading3"/>
      </w:pPr>
      <w:r>
        <w:t>Question 12</w:t>
      </w:r>
    </w:p>
    <w:p w14:paraId="7C08E5FE" w14:textId="341063CB" w:rsidR="001F4BFE" w:rsidRPr="001F4BFE" w:rsidRDefault="008F7C16" w:rsidP="001F4BFE">
      <w:r>
        <w:t>Please refer to code for the process. Basically to first calculate the SP500 daily return</w:t>
      </w:r>
      <w:r w:rsidR="00ED7286">
        <w:t xml:space="preserve">, then get the daily volatility from the daily return, lastly annualize the daily vol </w:t>
      </w:r>
      <w:r w:rsidR="005C3636">
        <w:t>through sqrt(252) to get annual vol</w:t>
      </w:r>
    </w:p>
    <w:p w14:paraId="6F8F56F1" w14:textId="2EF40B0A" w:rsidR="006D3B2C" w:rsidRDefault="006D3B2C" w:rsidP="00C73C7D">
      <w:pPr>
        <w:pStyle w:val="Heading3"/>
      </w:pPr>
      <w:r>
        <w:t>Question 13</w:t>
      </w:r>
    </w:p>
    <w:p w14:paraId="0904B7BA" w14:textId="77777777" w:rsidR="00947822" w:rsidRDefault="00947822" w:rsidP="00947822">
      <w:pPr>
        <w:rPr>
          <w:rFonts w:ascii="Helvetica" w:hAnsi="Helvetica" w:cs="Helvetica"/>
        </w:rPr>
      </w:pPr>
    </w:p>
    <w:p w14:paraId="3556D4EF" w14:textId="77777777" w:rsidR="00947822" w:rsidRDefault="00947822" w:rsidP="009478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CDS Spread=PD×(1−Recovery Rate)</w:t>
      </w:r>
    </w:p>
    <w:p w14:paraId="591DFF81" w14:textId="07E2C137" w:rsidR="00947822" w:rsidRPr="00947822" w:rsidRDefault="00B15B3C" w:rsidP="00947822">
      <w:r>
        <w:rPr>
          <w:rFonts w:ascii="Helvetica" w:hAnsi="Helvetica" w:cs="Helvetica"/>
        </w:rPr>
        <w:t>Thus</w:t>
      </w:r>
      <w:r w:rsidR="00947822">
        <w:rPr>
          <w:rFonts w:ascii="Helvetica" w:hAnsi="Helvetica" w:cs="Helvetica"/>
        </w:rPr>
        <w:t xml:space="preserve"> PD = 0.0050/</w:t>
      </w:r>
      <w:r w:rsidR="00947822">
        <w:rPr>
          <w:rFonts w:ascii="Helvetica" w:hAnsi="Helvetica" w:cs="Helvetica"/>
        </w:rPr>
        <w:t>（</w:t>
      </w:r>
      <w:r w:rsidR="00947822">
        <w:rPr>
          <w:rFonts w:ascii="Helvetica" w:hAnsi="Helvetica" w:cs="Helvetica"/>
        </w:rPr>
        <w:t>1-0.5</w:t>
      </w:r>
      <w:r w:rsidR="00947822">
        <w:rPr>
          <w:rFonts w:ascii="Helvetica" w:hAnsi="Helvetica" w:cs="Helvetica"/>
        </w:rPr>
        <w:t>）</w:t>
      </w:r>
      <w:r w:rsidR="00947822">
        <w:rPr>
          <w:rFonts w:ascii="Helvetica" w:hAnsi="Helvetica" w:cs="Helvetica"/>
        </w:rPr>
        <w:t>=0.01</w:t>
      </w:r>
    </w:p>
    <w:p w14:paraId="4EC59173" w14:textId="684F7415" w:rsidR="006D3B2C" w:rsidRDefault="006D3B2C" w:rsidP="00C73C7D">
      <w:pPr>
        <w:pStyle w:val="Heading3"/>
      </w:pPr>
      <w:r>
        <w:t>Question 14</w:t>
      </w:r>
    </w:p>
    <w:p w14:paraId="0FA5AAD7" w14:textId="77777777" w:rsidR="0061722B" w:rsidRDefault="008C4F1D" w:rsidP="008C4F1D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4F1D">
        <w:rPr>
          <w:rFonts w:ascii="Helvetica" w:hAnsi="Helvetica" w:cs="Helvetica"/>
        </w:rPr>
        <w:t xml:space="preserve">If the price of SPY increases, the absolute value of the put's delta will decrease. </w:t>
      </w:r>
    </w:p>
    <w:p w14:paraId="4A26EA6F" w14:textId="77777777" w:rsidR="0061722B" w:rsidRDefault="008C4F1D" w:rsidP="008C4F1D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4F1D">
        <w:rPr>
          <w:rFonts w:ascii="Helvetica" w:hAnsi="Helvetica" w:cs="Helvetica"/>
        </w:rPr>
        <w:t xml:space="preserve">Put option on SPY can be used as a downside risk insurance, particularly during periods of high market volatility or bear market conditions. </w:t>
      </w:r>
    </w:p>
    <w:p w14:paraId="68485042" w14:textId="151E6575" w:rsidR="008C4F1D" w:rsidRPr="008C4F1D" w:rsidRDefault="008C4F1D" w:rsidP="008C4F1D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4F1D">
        <w:rPr>
          <w:rFonts w:ascii="Helvetica" w:hAnsi="Helvetica" w:cs="Helvetica"/>
        </w:rPr>
        <w:t>Use Calendar Spreads, selling a short-term put and buying a longer-term put at the same strike price, the premium from the short-term put offsets part of the cost of the long-term put. This strategy is useful when expecting volatility to increase in the future but not immediately.</w:t>
      </w:r>
    </w:p>
    <w:p w14:paraId="393BE62B" w14:textId="77777777" w:rsidR="008C4F1D" w:rsidRDefault="008C4F1D" w:rsidP="008C4F1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48288C" w14:textId="77777777" w:rsidR="008C4F1D" w:rsidRPr="008C4F1D" w:rsidRDefault="008C4F1D" w:rsidP="008C4F1D"/>
    <w:p w14:paraId="6B3BBF59" w14:textId="7D6B8B47" w:rsidR="006D3B2C" w:rsidRDefault="006D3B2C" w:rsidP="00C73C7D">
      <w:pPr>
        <w:pStyle w:val="Heading3"/>
      </w:pPr>
      <w:r>
        <w:t>Question 15</w:t>
      </w:r>
    </w:p>
    <w:p w14:paraId="626D99B0" w14:textId="6B72BA65" w:rsidR="007A10A9" w:rsidRDefault="00A02484" w:rsidP="007A10A9">
      <w:r>
        <w:t>I think the 5.8</w:t>
      </w:r>
      <w:r w:rsidR="00CA6511">
        <w:t>B risk off is overestimated. Because net MV</w:t>
      </w:r>
      <w:r w:rsidR="003260EC">
        <w:t xml:space="preserve"> impact</w:t>
      </w:r>
      <w:r w:rsidR="00CA6511">
        <w:t xml:space="preserve"> of the two transaction </w:t>
      </w:r>
      <w:r w:rsidR="003260EC">
        <w:t xml:space="preserve">is zero on day 1. Then normally equity would be more volatile than credit, thus a lower risk estimation </w:t>
      </w:r>
      <w:r w:rsidR="00941577">
        <w:t xml:space="preserve">seems incorrect to me. </w:t>
      </w:r>
    </w:p>
    <w:p w14:paraId="77DC66BB" w14:textId="73DF9FA1" w:rsidR="00941577" w:rsidRPr="007A10A9" w:rsidRDefault="00941577" w:rsidP="007A10A9">
      <w:r>
        <w:t>I will rerun the simulation based on the new allocation (</w:t>
      </w:r>
      <w:r w:rsidR="000F1B34">
        <w:t xml:space="preserve">total fund, </w:t>
      </w:r>
      <w:r>
        <w:t>less credit bond and more equity) to validate to see if the impact is true or not.</w:t>
      </w:r>
    </w:p>
    <w:p w14:paraId="6CB8818B" w14:textId="77777777" w:rsidR="00C73C7D" w:rsidRDefault="00C73C7D" w:rsidP="005A4875"/>
    <w:p w14:paraId="50A72B26" w14:textId="77777777" w:rsidR="00043156" w:rsidRPr="00DE61B1" w:rsidRDefault="00043156" w:rsidP="005A4875"/>
    <w:sectPr w:rsidR="00043156" w:rsidRPr="00DE6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85F"/>
    <w:multiLevelType w:val="hybridMultilevel"/>
    <w:tmpl w:val="06FEC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1B06"/>
    <w:multiLevelType w:val="hybridMultilevel"/>
    <w:tmpl w:val="61765BBE"/>
    <w:lvl w:ilvl="0" w:tplc="842AD1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B603B"/>
    <w:multiLevelType w:val="hybridMultilevel"/>
    <w:tmpl w:val="0E24C2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21437B"/>
    <w:multiLevelType w:val="hybridMultilevel"/>
    <w:tmpl w:val="10144A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5E2487"/>
    <w:multiLevelType w:val="hybridMultilevel"/>
    <w:tmpl w:val="12D6048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F3A5E"/>
    <w:multiLevelType w:val="hybridMultilevel"/>
    <w:tmpl w:val="545E2B2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855206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E00E8"/>
    <w:multiLevelType w:val="hybridMultilevel"/>
    <w:tmpl w:val="0E10E4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5F2B14"/>
    <w:multiLevelType w:val="hybridMultilevel"/>
    <w:tmpl w:val="30A0BA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EB25D2"/>
    <w:multiLevelType w:val="hybridMultilevel"/>
    <w:tmpl w:val="99CCB4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B37DCD"/>
    <w:multiLevelType w:val="hybridMultilevel"/>
    <w:tmpl w:val="06D6B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D0DA7"/>
    <w:multiLevelType w:val="hybridMultilevel"/>
    <w:tmpl w:val="07102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22541">
    <w:abstractNumId w:val="3"/>
  </w:num>
  <w:num w:numId="2" w16cid:durableId="898173187">
    <w:abstractNumId w:val="10"/>
  </w:num>
  <w:num w:numId="3" w16cid:durableId="1728335227">
    <w:abstractNumId w:val="2"/>
  </w:num>
  <w:num w:numId="4" w16cid:durableId="2063669683">
    <w:abstractNumId w:val="0"/>
  </w:num>
  <w:num w:numId="5" w16cid:durableId="638849694">
    <w:abstractNumId w:val="9"/>
  </w:num>
  <w:num w:numId="6" w16cid:durableId="772090244">
    <w:abstractNumId w:val="8"/>
  </w:num>
  <w:num w:numId="7" w16cid:durableId="1122309716">
    <w:abstractNumId w:val="5"/>
  </w:num>
  <w:num w:numId="8" w16cid:durableId="560212959">
    <w:abstractNumId w:val="4"/>
  </w:num>
  <w:num w:numId="9" w16cid:durableId="1827932491">
    <w:abstractNumId w:val="1"/>
  </w:num>
  <w:num w:numId="10" w16cid:durableId="120074448">
    <w:abstractNumId w:val="6"/>
  </w:num>
  <w:num w:numId="11" w16cid:durableId="510150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06"/>
    <w:rsid w:val="00016BEF"/>
    <w:rsid w:val="00034D76"/>
    <w:rsid w:val="00036F87"/>
    <w:rsid w:val="00043156"/>
    <w:rsid w:val="00064BBC"/>
    <w:rsid w:val="00074079"/>
    <w:rsid w:val="000906EF"/>
    <w:rsid w:val="00091AE1"/>
    <w:rsid w:val="00093A9A"/>
    <w:rsid w:val="000B16B4"/>
    <w:rsid w:val="000C6A2F"/>
    <w:rsid w:val="000F1B34"/>
    <w:rsid w:val="0010534C"/>
    <w:rsid w:val="00126380"/>
    <w:rsid w:val="001274FF"/>
    <w:rsid w:val="0015643B"/>
    <w:rsid w:val="001E6943"/>
    <w:rsid w:val="001F04EF"/>
    <w:rsid w:val="001F235E"/>
    <w:rsid w:val="001F4BFE"/>
    <w:rsid w:val="002009F5"/>
    <w:rsid w:val="002349C5"/>
    <w:rsid w:val="00247E3F"/>
    <w:rsid w:val="00254827"/>
    <w:rsid w:val="00260511"/>
    <w:rsid w:val="00263F8E"/>
    <w:rsid w:val="00267C25"/>
    <w:rsid w:val="002862BD"/>
    <w:rsid w:val="002C7BD7"/>
    <w:rsid w:val="002E1E19"/>
    <w:rsid w:val="003260EC"/>
    <w:rsid w:val="00335118"/>
    <w:rsid w:val="003533F4"/>
    <w:rsid w:val="0037457F"/>
    <w:rsid w:val="00382370"/>
    <w:rsid w:val="003B65A7"/>
    <w:rsid w:val="003F20DB"/>
    <w:rsid w:val="00407F99"/>
    <w:rsid w:val="00417516"/>
    <w:rsid w:val="00426058"/>
    <w:rsid w:val="00440F42"/>
    <w:rsid w:val="004674A6"/>
    <w:rsid w:val="00474D42"/>
    <w:rsid w:val="004B59FA"/>
    <w:rsid w:val="004D4B75"/>
    <w:rsid w:val="004D678E"/>
    <w:rsid w:val="004E58CF"/>
    <w:rsid w:val="004F117D"/>
    <w:rsid w:val="00521B3F"/>
    <w:rsid w:val="00531D6A"/>
    <w:rsid w:val="0059233C"/>
    <w:rsid w:val="00595BB1"/>
    <w:rsid w:val="005A4875"/>
    <w:rsid w:val="005C3636"/>
    <w:rsid w:val="005C636F"/>
    <w:rsid w:val="005F46B9"/>
    <w:rsid w:val="005F755B"/>
    <w:rsid w:val="005F7D90"/>
    <w:rsid w:val="0061722B"/>
    <w:rsid w:val="0061763D"/>
    <w:rsid w:val="00621A38"/>
    <w:rsid w:val="00636D33"/>
    <w:rsid w:val="0064222F"/>
    <w:rsid w:val="006914EB"/>
    <w:rsid w:val="00691CA6"/>
    <w:rsid w:val="006A4167"/>
    <w:rsid w:val="006D3B2C"/>
    <w:rsid w:val="006D6143"/>
    <w:rsid w:val="006D6343"/>
    <w:rsid w:val="006D6DF2"/>
    <w:rsid w:val="006E336A"/>
    <w:rsid w:val="00740CE9"/>
    <w:rsid w:val="00762645"/>
    <w:rsid w:val="0077162F"/>
    <w:rsid w:val="00773F7A"/>
    <w:rsid w:val="0079150C"/>
    <w:rsid w:val="007A10A9"/>
    <w:rsid w:val="007B4A8C"/>
    <w:rsid w:val="007C3F68"/>
    <w:rsid w:val="007C5860"/>
    <w:rsid w:val="0080300E"/>
    <w:rsid w:val="00810F0D"/>
    <w:rsid w:val="00811952"/>
    <w:rsid w:val="00814435"/>
    <w:rsid w:val="008629F9"/>
    <w:rsid w:val="008717FC"/>
    <w:rsid w:val="00875CCD"/>
    <w:rsid w:val="008C4F1D"/>
    <w:rsid w:val="008E3197"/>
    <w:rsid w:val="008F7C16"/>
    <w:rsid w:val="00920E51"/>
    <w:rsid w:val="00931DB7"/>
    <w:rsid w:val="00941577"/>
    <w:rsid w:val="00947822"/>
    <w:rsid w:val="0097102B"/>
    <w:rsid w:val="00976D62"/>
    <w:rsid w:val="00A00ACC"/>
    <w:rsid w:val="00A02484"/>
    <w:rsid w:val="00A07F79"/>
    <w:rsid w:val="00A16C81"/>
    <w:rsid w:val="00A21F8A"/>
    <w:rsid w:val="00A27ED1"/>
    <w:rsid w:val="00A52EB9"/>
    <w:rsid w:val="00A662B3"/>
    <w:rsid w:val="00A6769F"/>
    <w:rsid w:val="00A85B11"/>
    <w:rsid w:val="00A979D4"/>
    <w:rsid w:val="00AA16AD"/>
    <w:rsid w:val="00AA5E85"/>
    <w:rsid w:val="00AB2C46"/>
    <w:rsid w:val="00AB36ED"/>
    <w:rsid w:val="00AF09E7"/>
    <w:rsid w:val="00B15B3C"/>
    <w:rsid w:val="00B52066"/>
    <w:rsid w:val="00B52132"/>
    <w:rsid w:val="00B56B7D"/>
    <w:rsid w:val="00B56B84"/>
    <w:rsid w:val="00B80B68"/>
    <w:rsid w:val="00B85B06"/>
    <w:rsid w:val="00BC2D69"/>
    <w:rsid w:val="00C1128F"/>
    <w:rsid w:val="00C3098C"/>
    <w:rsid w:val="00C42117"/>
    <w:rsid w:val="00C52305"/>
    <w:rsid w:val="00C7051A"/>
    <w:rsid w:val="00C73C7D"/>
    <w:rsid w:val="00C92E46"/>
    <w:rsid w:val="00CA6511"/>
    <w:rsid w:val="00D11923"/>
    <w:rsid w:val="00D21873"/>
    <w:rsid w:val="00D436AB"/>
    <w:rsid w:val="00D45D8A"/>
    <w:rsid w:val="00D54C75"/>
    <w:rsid w:val="00D84F89"/>
    <w:rsid w:val="00DB30CD"/>
    <w:rsid w:val="00DB647C"/>
    <w:rsid w:val="00DE61B1"/>
    <w:rsid w:val="00DF2487"/>
    <w:rsid w:val="00E05C51"/>
    <w:rsid w:val="00E06D65"/>
    <w:rsid w:val="00E34A4C"/>
    <w:rsid w:val="00E7583C"/>
    <w:rsid w:val="00E75C8D"/>
    <w:rsid w:val="00E76291"/>
    <w:rsid w:val="00EA3AF3"/>
    <w:rsid w:val="00EA65AF"/>
    <w:rsid w:val="00ED7286"/>
    <w:rsid w:val="00EE7CBA"/>
    <w:rsid w:val="00EF0F9B"/>
    <w:rsid w:val="00EF0FE9"/>
    <w:rsid w:val="00F1565D"/>
    <w:rsid w:val="00F23E34"/>
    <w:rsid w:val="00F24DCA"/>
    <w:rsid w:val="00F40F57"/>
    <w:rsid w:val="00F43AB4"/>
    <w:rsid w:val="00F510A1"/>
    <w:rsid w:val="00F73A47"/>
    <w:rsid w:val="00F84A1C"/>
    <w:rsid w:val="00F95C0A"/>
    <w:rsid w:val="00F9703F"/>
    <w:rsid w:val="00FA0340"/>
    <w:rsid w:val="00FA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C4D8"/>
  <w15:chartTrackingRefBased/>
  <w15:docId w15:val="{D2950900-D570-4FDD-9DAE-95710C55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2132"/>
    <w:pPr>
      <w:keepNext/>
      <w:keepLines/>
      <w:spacing w:before="240" w:after="60"/>
      <w:outlineLvl w:val="1"/>
    </w:pPr>
    <w:rPr>
      <w:rFonts w:ascii="Arial" w:eastAsiaTheme="majorEastAsia" w:hAnsi="Arial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132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132"/>
    <w:rPr>
      <w:rFonts w:ascii="Arial" w:eastAsiaTheme="majorEastAsia" w:hAnsi="Arial" w:cstheme="majorBidi"/>
      <w:b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2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132"/>
    <w:rPr>
      <w:rFonts w:ascii="Arial" w:eastAsiaTheme="majorEastAsia" w:hAnsi="Arial" w:cstheme="majorBidi"/>
      <w:b/>
      <w:szCs w:val="24"/>
    </w:rPr>
  </w:style>
  <w:style w:type="character" w:styleId="PlaceholderText">
    <w:name w:val="Placeholder Text"/>
    <w:basedOn w:val="DefaultParagraphFont"/>
    <w:uiPriority w:val="99"/>
    <w:semiHidden/>
    <w:rsid w:val="00A27E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F0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F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2E46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6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3761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7294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03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65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962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3368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298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391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979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92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160</cp:revision>
  <dcterms:created xsi:type="dcterms:W3CDTF">2024-04-13T14:11:00Z</dcterms:created>
  <dcterms:modified xsi:type="dcterms:W3CDTF">2024-04-13T19:55:00Z</dcterms:modified>
</cp:coreProperties>
</file>