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KWADRA</w:t>
      </w:r>
    </w:p>
    <w:p>
      <w:pPr>
        <w:jc w:val="center"/>
      </w:pPr>
      <w:r>
        <w:t>Production System Architecture | Contabo VPS | Version 1.0 | October 2026</w:t>
      </w:r>
    </w:p>
    <w:p>
      <w:r>
        <w:t>Purpose: A secure and scalable Philippine rental property management and marketplace platform serving landlords, tenants, and rental seekers.</w:t>
      </w:r>
    </w:p>
    <w:p>
      <w:pPr>
        <w:pStyle w:val="Heading1"/>
      </w:pPr>
      <w:r>
        <w:t>1. Architecture decision</w:t>
      </w:r>
    </w:p>
    <w:p>
      <w:r>
        <w:t>Use a modular monolith: one TypeScript/Express backend organized into independently testable business modules, deployed with Docker Compose on a Contabo VPS. Avoid microservices and Kubernetes for the MVP. Start with one production VPS; separate services when measured load or reliability needs justify it.</w:t>
      </w:r>
    </w:p>
    <w:p>
      <w:pPr>
        <w:pStyle w:val="Heading1"/>
      </w:pPr>
      <w:r>
        <w:t>2. System topology</w:t>
      </w:r>
    </w:p>
    <w:p>
      <w:r>
        <w:t>Flutter mobile / Web portal / Public marketplace  →  Cloudflare DNS, CDN and edge security  →  Caddy HTTPS reverse proxy on Contabo VPS  →  Express API  →  PostgreSQL, Redis, private files. A separate BullMQ worker processes notifications and background tasks. Encrypted backups are stored outside Contabo.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Recommended technology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Flutter (Android / iOS)</w:t>
            </w:r>
          </w:p>
        </w:tc>
      </w:tr>
      <w:tr>
        <w:tc>
          <w:tcPr>
            <w:tcW w:type="dxa" w:w="4320"/>
          </w:tcPr>
          <w:p>
            <w:r>
              <w:t>Authenticated web portal</w:t>
            </w:r>
          </w:p>
        </w:tc>
        <w:tc>
          <w:tcPr>
            <w:tcW w:type="dxa" w:w="4320"/>
          </w:tcPr>
          <w:p>
            <w:r>
              <w:t>Flutter Web or React</w:t>
            </w:r>
          </w:p>
        </w:tc>
      </w:tr>
      <w:tr>
        <w:tc>
          <w:tcPr>
            <w:tcW w:type="dxa" w:w="4320"/>
          </w:tcPr>
          <w:p>
            <w:r>
              <w:t>Public property marketplace</w:t>
            </w:r>
          </w:p>
        </w:tc>
        <w:tc>
          <w:tcPr>
            <w:tcW w:type="dxa" w:w="4320"/>
          </w:tcPr>
          <w:p>
            <w:r>
              <w:t>Next.js for indexable listing pages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Node.js, TypeScript, Express, Zod, OpenAPI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Prisma</w:t>
            </w:r>
          </w:p>
        </w:tc>
      </w:tr>
      <w:tr>
        <w:tc>
          <w:tcPr>
            <w:tcW w:type="dxa" w:w="4320"/>
          </w:tcPr>
          <w:p>
            <w:r>
              <w:t>Background tasks</w:t>
            </w:r>
          </w:p>
        </w:tc>
        <w:tc>
          <w:tcPr>
            <w:tcW w:type="dxa" w:w="4320"/>
          </w:tcPr>
          <w:p>
            <w:r>
              <w:t>Redis + BullMQ; transactional outbox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Ubuntu LTS, Docker Compose, Caddy</w:t>
            </w:r>
          </w:p>
        </w:tc>
      </w:tr>
      <w:tr>
        <w:tc>
          <w:tcPr>
            <w:tcW w:type="dxa" w:w="4320"/>
          </w:tcPr>
          <w:p>
            <w:r>
              <w:t>Edge</w:t>
            </w:r>
          </w:p>
        </w:tc>
        <w:tc>
          <w:tcPr>
            <w:tcW w:type="dxa" w:w="4320"/>
          </w:tcPr>
          <w:p>
            <w:r>
              <w:t>Cloudflare DNS/CDN/WAF; origin protected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Firebase Cloud Messaging, email/SMS providers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Health checks, structured logs, uptime alerts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PostgreSQL base backups + WAL, encrypted off-site files</w:t>
            </w:r>
          </w:p>
        </w:tc>
      </w:tr>
    </w:tbl>
    <w:p/>
    <w:p>
      <w:pPr>
        <w:pStyle w:val="Heading1"/>
      </w:pPr>
      <w:r>
        <w:t>3. Core application modules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Identity and organizations</w:t>
            </w:r>
          </w:p>
        </w:tc>
        <w:tc>
          <w:tcPr>
            <w:tcW w:type="dxa" w:w="4320"/>
          </w:tcPr>
          <w:p>
            <w:r>
              <w:t>Authentication, sessions, landlord organizations, staff and roles</w:t>
            </w:r>
          </w:p>
        </w:tc>
      </w:tr>
      <w:tr>
        <w:tc>
          <w:tcPr>
            <w:tcW w:type="dxa" w:w="4320"/>
          </w:tcPr>
          <w:p>
            <w:r>
              <w:t>Properties and units</w:t>
            </w:r>
          </w:p>
        </w:tc>
        <w:tc>
          <w:tcPr>
            <w:tcW w:type="dxa" w:w="4320"/>
          </w:tcPr>
          <w:p>
            <w:r>
              <w:t>Buildings, rooms, bedspaces, amenities, availability</w:t>
            </w:r>
          </w:p>
        </w:tc>
      </w:tr>
      <w:tr>
        <w:tc>
          <w:tcPr>
            <w:tcW w:type="dxa" w:w="4320"/>
          </w:tcPr>
          <w:p>
            <w:r>
              <w:t>Leases and tenants</w:t>
            </w:r>
          </w:p>
        </w:tc>
        <w:tc>
          <w:tcPr>
            <w:tcW w:type="dxa" w:w="4320"/>
          </w:tcPr>
          <w:p>
            <w:r>
              <w:t>Contracts, tenant assignments, deposits, move-in/out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Rent schedules, invoices, utilities, adjustments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Manual payments, verification, allocation, receipts, refunds</w:t>
            </w:r>
          </w:p>
        </w:tc>
      </w:tr>
      <w:tr>
        <w:tc>
          <w:tcPr>
            <w:tcW w:type="dxa" w:w="4320"/>
          </w:tcPr>
          <w:p>
            <w:r>
              <w:t>Maintenance</w:t>
            </w:r>
          </w:p>
        </w:tc>
        <w:tc>
          <w:tcPr>
            <w:tcW w:type="dxa" w:w="4320"/>
          </w:tcPr>
          <w:p>
            <w:r>
              <w:t>Repair requests, updates and status</w:t>
            </w:r>
          </w:p>
        </w:tc>
      </w:tr>
      <w:tr>
        <w:tc>
          <w:tcPr>
            <w:tcW w:type="dxa" w:w="4320"/>
          </w:tcPr>
          <w:p>
            <w:r>
              <w:t>Listings and inquiries</w:t>
            </w:r>
          </w:p>
        </w:tc>
        <w:tc>
          <w:tcPr>
            <w:tcW w:type="dxa" w:w="4320"/>
          </w:tcPr>
          <w:p>
            <w:r>
              <w:t>Public listings, search, messages, viewing requests</w:t>
            </w:r>
          </w:p>
        </w:tc>
      </w:tr>
      <w:tr>
        <w:tc>
          <w:tcPr>
            <w:tcW w:type="dxa" w:w="4320"/>
          </w:tcPr>
          <w:p>
            <w:r>
              <w:t>Notifications and reporting</w:t>
            </w:r>
          </w:p>
        </w:tc>
        <w:tc>
          <w:tcPr>
            <w:tcW w:type="dxa" w:w="4320"/>
          </w:tcPr>
          <w:p>
            <w:r>
              <w:t>Reminders, announcements, occupancy, collections</w:t>
            </w:r>
          </w:p>
        </w:tc>
      </w:tr>
      <w:tr>
        <w:tc>
          <w:tcPr>
            <w:tcW w:type="dxa" w:w="4320"/>
          </w:tcPr>
          <w:p>
            <w:r>
              <w:t>Audit and subscriptions</w:t>
            </w:r>
          </w:p>
        </w:tc>
        <w:tc>
          <w:tcPr>
            <w:tcW w:type="dxa" w:w="4320"/>
          </w:tcPr>
          <w:p>
            <w:r>
              <w:t>Security/financial logs; future SaaS billing</w:t>
            </w:r>
          </w:p>
        </w:tc>
      </w:tr>
    </w:tbl>
    <w:p/>
    <w:p>
      <w:pPr>
        <w:pStyle w:val="Heading1"/>
      </w:pPr>
      <w:r>
        <w:t>4. Data model and business rules</w:t>
      </w:r>
    </w:p>
    <w:p>
      <w:r>
        <w:t>Core relationships: Users ↔ OrganizationMemberships ↔ Organizations → Properties → Units → Leases → Invoices → InvoiceItems; Leases ↔ LeaseTenants ↔ Users; Leases → Payments → PaymentAllocations → Invoices; Units → MaintenanceRequests and Listings → Inquiries.</w:t>
      </w:r>
    </w:p>
    <w:p>
      <w:pPr>
        <w:pStyle w:val="ListBullet"/>
      </w:pPr>
      <w:r>
        <w:t>UUID identifiers, foreign keys, constraints, and indexes on organization, lease, due date and listing status.</w:t>
      </w:r>
    </w:p>
    <w:p>
      <w:pPr>
        <w:pStyle w:val="ListBullet"/>
      </w:pPr>
      <w:r>
        <w:t>Organization-scoped authorization on every private record; never trust organization IDs supplied by clients.</w:t>
      </w:r>
    </w:p>
    <w:p>
      <w:pPr>
        <w:pStyle w:val="ListBullet"/>
      </w:pPr>
      <w:r>
        <w:t>Store peso values as NUMERIC, timestamps as TIMESTAMPTZ, and local billing dates in Asia/Manila.</w:t>
      </w:r>
    </w:p>
    <w:p>
      <w:pPr>
        <w:pStyle w:val="ListBullet"/>
      </w:pPr>
      <w:r>
        <w:t>Keep historical invoices, leases, payment allocations and audit events; use reversals instead of deleting settled transactions.</w:t>
      </w:r>
    </w:p>
    <w:p>
      <w:pPr>
        <w:pStyle w:val="ListBullet"/>
      </w:pPr>
      <w:r>
        <w:t>Prevent overlapping active leases for exclusive-use units; explicitly model shared bedspaces.</w:t>
      </w:r>
    </w:p>
    <w:p>
      <w:pPr>
        <w:pStyle w:val="Heading1"/>
      </w:pPr>
      <w:r>
        <w:t>5. Payment and billing flow</w:t>
      </w:r>
    </w:p>
    <w:p>
      <w:r>
        <w:t>Tenant submits cash/manual-transfer proof or initiates a provider payment → pending verification or signed gateway webhook → validated, idempotent payment record → allocation to charges within a database transaction → receipt and audit event → notification via outbox worker. A screenshot is not proof of settled funds.</w:t>
      </w:r>
    </w:p>
    <w:p>
      <w:pPr>
        <w:pStyle w:val="Heading1"/>
      </w:pPr>
      <w:r>
        <w:t>6. VPS deployment and networking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Deployment policy</w:t>
            </w:r>
          </w:p>
        </w:tc>
      </w:tr>
      <w:tr>
        <w:tc>
          <w:tcPr>
            <w:tcW w:type="dxa" w:w="4320"/>
          </w:tcPr>
          <w:p>
            <w:r>
              <w:t>VPS sizing</w:t>
            </w:r>
          </w:p>
        </w:tc>
        <w:tc>
          <w:tcPr>
            <w:tcW w:type="dxa" w:w="4320"/>
          </w:tcPr>
          <w:p>
            <w:r>
              <w:t>Start with 4 vCPU, 8 GB RAM, 100 GB+ SSD; 16 GB RAM offers headroom. Benchmark before scaling.</w:t>
            </w:r>
          </w:p>
        </w:tc>
      </w:tr>
      <w:tr>
        <w:tc>
          <w:tcPr>
            <w:tcW w:type="dxa" w:w="4320"/>
          </w:tcPr>
          <w:p>
            <w:r>
              <w:t>Public endpoints</w:t>
            </w:r>
          </w:p>
        </w:tc>
        <w:tc>
          <w:tcPr>
            <w:tcW w:type="dxa" w:w="4320"/>
          </w:tcPr>
          <w:p>
            <w:r>
              <w:t>kwadra.ph (marketplace), app.kwadra.ph (portal), api.kwadra.ph (API) - illustrative names</w:t>
            </w:r>
          </w:p>
        </w:tc>
      </w:tr>
      <w:tr>
        <w:tc>
          <w:tcPr>
            <w:tcW w:type="dxa" w:w="4320"/>
          </w:tcPr>
          <w:p>
            <w:r>
              <w:t>Internal services</w:t>
            </w:r>
          </w:p>
        </w:tc>
        <w:tc>
          <w:tcPr>
            <w:tcW w:type="dxa" w:w="4320"/>
          </w:tcPr>
          <w:p>
            <w:r>
              <w:t>PostgreSQL 5432, Redis 6379, workers and files must not be publicly exposed</w:t>
            </w:r>
          </w:p>
        </w:tc>
      </w:tr>
      <w:tr>
        <w:tc>
          <w:tcPr>
            <w:tcW w:type="dxa" w:w="4320"/>
          </w:tcPr>
          <w:p>
            <w:r>
              <w:t>Administration</w:t>
            </w:r>
          </w:p>
        </w:tc>
        <w:tc>
          <w:tcPr>
            <w:tcW w:type="dxa" w:w="4320"/>
          </w:tcPr>
          <w:p>
            <w:r>
              <w:t>SSH keys, non-root account, firewall, private VPN for internal dashboards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Private file volume initially; quotas and monitoring; migrate to object storage as needed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Protected production secrets; never commit secrets to Git</w:t>
            </w:r>
          </w:p>
        </w:tc>
      </w:tr>
    </w:tbl>
    <w:p/>
    <w:p>
      <w:pPr>
        <w:pStyle w:val="Heading1"/>
      </w:pPr>
      <w:r>
        <w:t>7. Security and privacy</w:t>
      </w:r>
    </w:p>
    <w:p>
      <w:pPr>
        <w:pStyle w:val="ListBullet"/>
      </w:pPr>
      <w:r>
        <w:t>Argon2id password hashing, MFA for privileged users, short-lived sessions/tokens and secure refresh rotation.</w:t>
      </w:r>
    </w:p>
    <w:p>
      <w:pPr>
        <w:pStyle w:val="ListBullet"/>
      </w:pPr>
      <w:r>
        <w:t>Role- and resource-level access checks; optional PostgreSQL RLS as defense in depth with tested pooling.</w:t>
      </w:r>
    </w:p>
    <w:p>
      <w:pPr>
        <w:pStyle w:val="ListBullet"/>
      </w:pPr>
      <w:r>
        <w:t>HTTPS, appropriate CORS/CSRF protection, rate limiting, schema validation, file checks and secure downloads.</w:t>
      </w:r>
    </w:p>
    <w:p>
      <w:pPr>
        <w:pStyle w:val="ListBullet"/>
      </w:pPr>
      <w:r>
        <w:t>Signature-verified payment webhooks, idempotency keys, immutable audit trails and transaction controls.</w:t>
      </w:r>
    </w:p>
    <w:p>
      <w:pPr>
        <w:pStyle w:val="ListBullet"/>
      </w:pPr>
      <w:r>
        <w:t>Privacy notices, retention/deletion policies and safeguards appropriate to the Philippine Data Privacy Act.</w:t>
      </w:r>
    </w:p>
    <w:p>
      <w:pPr>
        <w:pStyle w:val="Heading1"/>
      </w:pPr>
      <w:r>
        <w:t>8. Reliability, monitoring and recovery</w:t>
      </w:r>
    </w:p>
    <w:p>
      <w:pPr>
        <w:pStyle w:val="ListBullet"/>
      </w:pPr>
      <w:r>
        <w:t>Daily base backups plus PostgreSQL WAL archiving for point-in-time recovery; encrypt and copy off the VPS.</w:t>
      </w:r>
    </w:p>
    <w:p>
      <w:pPr>
        <w:pStyle w:val="ListBullet"/>
      </w:pPr>
      <w:r>
        <w:t>Back up uploaded files and critical configuration; test a full restore monthly.</w:t>
      </w:r>
    </w:p>
    <w:p>
      <w:pPr>
        <w:pStyle w:val="ListBullet"/>
      </w:pPr>
      <w:r>
        <w:t>Monitor CPU, memory, disk, API latency, database connections, failed jobs and backup success.</w:t>
      </w:r>
    </w:p>
    <w:p>
      <w:pPr>
        <w:pStyle w:val="ListBullet"/>
      </w:pPr>
      <w:r>
        <w:t>Provisional targets: RPO 1 hour, RTO 4–8 hours, subject to tested recovery procedures.</w:t>
      </w:r>
    </w:p>
    <w:p>
      <w:pPr>
        <w:pStyle w:val="ListBullet"/>
      </w:pPr>
      <w:r>
        <w:t>Single-VPS deployment is a single point of failure; add redundancy when business requirements justify it.</w:t>
      </w:r>
    </w:p>
    <w:p>
      <w:pPr>
        <w:pStyle w:val="Heading1"/>
      </w:pPr>
      <w:r>
        <w:t>9. CI/CD and repository</w:t>
      </w:r>
    </w:p>
    <w:p>
      <w:r>
        <w:t>GitHub → CI lint/tests/security checks → build versioned Docker images → registry → approved deployment → backward-compatible migration → health check → release or rollback.</w:t>
      </w:r>
    </w:p>
    <w:p>
      <w:r>
        <w:t>Suggested directories: apps/mobile, apps/portal, apps/marketplace, apps/api, apps/worker, packages/api-contracts, infrastructure/docker, infrastructure/caddy, infrastructure/backups, docs/architecture.</w:t>
      </w:r>
    </w:p>
    <w:p>
      <w:pPr>
        <w:pStyle w:val="Heading1"/>
      </w:pPr>
      <w:r>
        <w:t>10. Delivery phases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1. Foundation</w:t>
            </w:r>
          </w:p>
        </w:tc>
        <w:tc>
          <w:tcPr>
            <w:tcW w:type="dxa" w:w="4320"/>
          </w:tcPr>
          <w:p>
            <w:r>
              <w:t>Identity, roles, organizations, database, API contracts, deployment and CI/CD</w:t>
            </w:r>
          </w:p>
        </w:tc>
      </w:tr>
      <w:tr>
        <w:tc>
          <w:tcPr>
            <w:tcW w:type="dxa" w:w="4320"/>
          </w:tcPr>
          <w:p>
            <w:r>
              <w:t>2. Landlord MVP</w:t>
            </w:r>
          </w:p>
        </w:tc>
        <w:tc>
          <w:tcPr>
            <w:tcW w:type="dxa" w:w="4320"/>
          </w:tcPr>
          <w:p>
            <w:r>
              <w:t>Properties, units, leases, billing, payments, receipts, occupancy</w:t>
            </w:r>
          </w:p>
        </w:tc>
      </w:tr>
      <w:tr>
        <w:tc>
          <w:tcPr>
            <w:tcW w:type="dxa" w:w="4320"/>
          </w:tcPr>
          <w:p>
            <w:r>
              <w:t>3. Tenant portal</w:t>
            </w:r>
          </w:p>
        </w:tc>
        <w:tc>
          <w:tcPr>
            <w:tcW w:type="dxa" w:w="4320"/>
          </w:tcPr>
          <w:p>
            <w:r>
              <w:t>Balances, payment proofs, maintenance, reminders, contracts</w:t>
            </w:r>
          </w:p>
        </w:tc>
      </w:tr>
      <w:tr>
        <w:tc>
          <w:tcPr>
            <w:tcW w:type="dxa" w:w="4320"/>
          </w:tcPr>
          <w:p>
            <w:r>
              <w:t>4. Marketplace</w:t>
            </w:r>
          </w:p>
        </w:tc>
        <w:tc>
          <w:tcPr>
            <w:tcW w:type="dxa" w:w="4320"/>
          </w:tcPr>
          <w:p>
            <w:r>
              <w:t>Verified listings, search, inquiries and viewings</w:t>
            </w:r>
          </w:p>
        </w:tc>
      </w:tr>
      <w:tr>
        <w:tc>
          <w:tcPr>
            <w:tcW w:type="dxa" w:w="4320"/>
          </w:tcPr>
          <w:p>
            <w:r>
              <w:t>5. Growth</w:t>
            </w:r>
          </w:p>
        </w:tc>
        <w:tc>
          <w:tcPr>
            <w:tcW w:type="dxa" w:w="4320"/>
          </w:tcPr>
          <w:p>
            <w:r>
              <w:t>Payment integrations, subscriptions, reporting, storage and reliability scaling</w:t>
            </w:r>
          </w:p>
        </w:tc>
      </w:tr>
    </w:tbl>
    <w:p/>
    <w:p>
      <w:pPr>
        <w:pStyle w:val="Heading1"/>
      </w:pPr>
      <w:r>
        <w:t>11. Scale-up triggers</w:t>
      </w:r>
    </w:p>
    <w:p>
      <w:r>
        <w:t>First optimize indexes, queries, images and caching. Then increase VPS capacity. Move media to object storage, database to a dedicated host, and deploy multiple API replicas behind a load balancer when metrics and availability targets demand it. Do not split business modules into services without a concrete scaling or ownership need.</w:t>
      </w:r>
    </w:p>
    <w:p>
      <w:r>
        <w:t>Implementation next steps: finalize the PostgreSQL schema, role-permission matrix, REST API contracts, Docker Compose deployment, secrets policy, backup/restore runbook and load-testing baseline.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KWADRA  •  Technical Architecture  •  Internal Planning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53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C4C2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