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>МІНІСТЕРСТВО ОСВІТИ І НАУКИ УКРА</w:t>
      </w:r>
      <w:r>
        <w:rPr>
          <w:rFonts w:ascii="Times" w:hAnsi="Times"/>
          <w:sz w:val="28"/>
          <w:szCs w:val="28"/>
          <w:lang w:val="uk-UA"/>
        </w:rPr>
        <w:t>Ї</w:t>
      </w:r>
      <w:r>
        <w:rPr>
          <w:rFonts w:ascii="Times" w:hAnsi="Times"/>
          <w:sz w:val="28"/>
          <w:szCs w:val="28"/>
        </w:rPr>
        <w:t>НИ</w:t>
      </w: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>ДЕРЖАВНИИ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ВИЩИ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НАВЧАЛЬНИ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ЗАКЛАД</w:t>
      </w: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>«КИ</w:t>
      </w:r>
      <w:r>
        <w:rPr>
          <w:rFonts w:ascii="Times" w:hAnsi="Times"/>
          <w:sz w:val="28"/>
          <w:szCs w:val="28"/>
          <w:lang w:val="uk-UA"/>
        </w:rPr>
        <w:t>Ї</w:t>
      </w:r>
      <w:r>
        <w:rPr>
          <w:rFonts w:ascii="Times" w:hAnsi="Times"/>
          <w:sz w:val="28"/>
          <w:szCs w:val="28"/>
        </w:rPr>
        <w:t>ВСЬКИ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НАЦІОНАЛЬНИ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ЕКОНОМІЧНИ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УНІВЕРСИТЕТ </w:t>
      </w:r>
      <w:proofErr w:type="spellStart"/>
      <w:r>
        <w:rPr>
          <w:rFonts w:ascii="Times" w:hAnsi="Times"/>
          <w:sz w:val="28"/>
          <w:szCs w:val="28"/>
        </w:rPr>
        <w:t>імені</w:t>
      </w:r>
      <w:proofErr w:type="spellEnd"/>
      <w:r>
        <w:rPr>
          <w:rFonts w:ascii="Times" w:hAnsi="Times"/>
          <w:sz w:val="28"/>
          <w:szCs w:val="28"/>
        </w:rPr>
        <w:t xml:space="preserve"> ВАДИМА ГЕТЬМАНА»</w:t>
      </w:r>
    </w:p>
    <w:p w:rsidR="0071120C" w:rsidRPr="008B17E2" w:rsidRDefault="0071120C" w:rsidP="0071120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7E2">
        <w:rPr>
          <w:rFonts w:ascii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8B17E2">
        <w:rPr>
          <w:rFonts w:ascii="Times New Roman" w:hAnsi="Times New Roman" w:cs="Times New Roman"/>
          <w:sz w:val="28"/>
          <w:lang w:val="ru-RU"/>
        </w:rPr>
        <w:t>інформаційних</w:t>
      </w:r>
      <w:proofErr w:type="spellEnd"/>
      <w:r w:rsidRPr="008B17E2">
        <w:rPr>
          <w:rFonts w:ascii="Times New Roman" w:hAnsi="Times New Roman" w:cs="Times New Roman"/>
          <w:sz w:val="28"/>
          <w:lang w:val="ru-RU"/>
        </w:rPr>
        <w:t xml:space="preserve"> систем в </w:t>
      </w:r>
      <w:proofErr w:type="spellStart"/>
      <w:r w:rsidRPr="008B17E2">
        <w:rPr>
          <w:rFonts w:ascii="Times New Roman" w:hAnsi="Times New Roman" w:cs="Times New Roman"/>
          <w:sz w:val="28"/>
          <w:lang w:val="ru-RU"/>
        </w:rPr>
        <w:t>економіці</w:t>
      </w:r>
      <w:proofErr w:type="spellEnd"/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Дисципліна: «Системний аналіз» </w:t>
      </w: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120C" w:rsidRPr="005A3EE3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120C" w:rsidRPr="005A3EE3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5A3EE3">
        <w:rPr>
          <w:rFonts w:ascii="Times New Roman" w:hAnsi="Times New Roman" w:cs="Times New Roman"/>
          <w:sz w:val="32"/>
          <w:szCs w:val="28"/>
        </w:rPr>
        <w:t>ЗВІТ</w:t>
      </w:r>
    </w:p>
    <w:p w:rsidR="0071120C" w:rsidRPr="005A3EE3" w:rsidRDefault="0071120C" w:rsidP="007112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A3EE3">
        <w:rPr>
          <w:rFonts w:ascii="Times New Roman" w:hAnsi="Times New Roman" w:cs="Times New Roman"/>
          <w:sz w:val="32"/>
          <w:szCs w:val="28"/>
        </w:rPr>
        <w:t>з</w:t>
      </w:r>
      <w:r w:rsidRPr="005A3EE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5A3EE3">
        <w:rPr>
          <w:rFonts w:ascii="Times New Roman" w:hAnsi="Times New Roman" w:cs="Times New Roman"/>
          <w:sz w:val="32"/>
          <w:szCs w:val="28"/>
          <w:lang w:val="ru-RU"/>
        </w:rPr>
        <w:t>лабораторної</w:t>
      </w:r>
      <w:proofErr w:type="spellEnd"/>
      <w:r w:rsidRPr="005A3EE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5A3EE3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  <w:r w:rsidRPr="005A3EE3">
        <w:rPr>
          <w:rFonts w:ascii="Times New Roman" w:hAnsi="Times New Roman" w:cs="Times New Roman"/>
          <w:sz w:val="32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32"/>
          <w:szCs w:val="28"/>
        </w:rPr>
        <w:t>1</w:t>
      </w:r>
      <w:r w:rsidRPr="005A3EE3">
        <w:rPr>
          <w:rFonts w:ascii="Times New Roman" w:hAnsi="Times New Roman" w:cs="Times New Roman"/>
          <w:sz w:val="32"/>
          <w:szCs w:val="28"/>
          <w:lang w:val="ru-RU"/>
        </w:rPr>
        <w:br/>
      </w:r>
      <w:r w:rsidRPr="005A3EE3">
        <w:rPr>
          <w:rFonts w:ascii="Times New Roman" w:hAnsi="Times New Roman" w:cs="Times New Roman"/>
          <w:b/>
          <w:sz w:val="32"/>
          <w:szCs w:val="28"/>
        </w:rPr>
        <w:t>«</w:t>
      </w:r>
      <w:r w:rsidRPr="005A3EE3">
        <w:rPr>
          <w:rFonts w:ascii="Times New Roman" w:hAnsi="Times New Roman" w:cs="Times New Roman"/>
          <w:b/>
          <w:bCs/>
          <w:sz w:val="24"/>
          <w:lang w:eastAsia="ru-RU"/>
        </w:rPr>
        <w:t>Методи структуризації проблемних ситуацій</w:t>
      </w:r>
      <w:r w:rsidRPr="005A3EE3">
        <w:rPr>
          <w:rFonts w:ascii="Times New Roman" w:hAnsi="Times New Roman" w:cs="Times New Roman"/>
          <w:b/>
          <w:sz w:val="32"/>
          <w:szCs w:val="28"/>
        </w:rPr>
        <w:t>»</w:t>
      </w:r>
    </w:p>
    <w:p w:rsidR="0071120C" w:rsidRPr="00E46186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Виконав</w:t>
      </w:r>
      <w:proofErr w:type="spellEnd"/>
      <w:r>
        <w:rPr>
          <w:rFonts w:ascii="Times" w:hAnsi="Times"/>
          <w:sz w:val="28"/>
          <w:szCs w:val="28"/>
        </w:rPr>
        <w:t>:</w:t>
      </w: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студент </w:t>
      </w:r>
      <w:r w:rsidRPr="00367EA5">
        <w:rPr>
          <w:rFonts w:ascii="Times" w:hAnsi="Times"/>
          <w:sz w:val="28"/>
          <w:szCs w:val="28"/>
        </w:rPr>
        <w:t>3</w:t>
      </w:r>
      <w:r>
        <w:rPr>
          <w:rFonts w:ascii="Times" w:hAnsi="Times"/>
          <w:sz w:val="28"/>
          <w:szCs w:val="28"/>
        </w:rPr>
        <w:t xml:space="preserve"> к</w:t>
      </w:r>
      <w:r>
        <w:rPr>
          <w:rFonts w:ascii="Times" w:hAnsi="Times"/>
          <w:sz w:val="28"/>
          <w:szCs w:val="28"/>
          <w:lang w:val="uk-UA"/>
        </w:rPr>
        <w:t>у</w:t>
      </w:r>
      <w:proofErr w:type="spellStart"/>
      <w:r>
        <w:rPr>
          <w:rFonts w:ascii="Times" w:hAnsi="Times"/>
          <w:sz w:val="28"/>
          <w:szCs w:val="28"/>
        </w:rPr>
        <w:t>рсу</w:t>
      </w:r>
      <w:proofErr w:type="spellEnd"/>
      <w:r>
        <w:rPr>
          <w:rFonts w:ascii="Times" w:hAnsi="Times"/>
          <w:sz w:val="28"/>
          <w:szCs w:val="28"/>
          <w:lang w:val="uk-UA"/>
        </w:rPr>
        <w:t xml:space="preserve"> 2 </w:t>
      </w:r>
      <w:proofErr w:type="spellStart"/>
      <w:r>
        <w:rPr>
          <w:rFonts w:ascii="Times" w:hAnsi="Times"/>
          <w:sz w:val="28"/>
          <w:szCs w:val="28"/>
        </w:rPr>
        <w:t>групи</w:t>
      </w:r>
      <w:proofErr w:type="spellEnd"/>
    </w:p>
    <w:p w:rsidR="0071120C" w:rsidRPr="00367EA5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спец</w:t>
      </w:r>
      <w:proofErr w:type="gramEnd"/>
      <w:r>
        <w:rPr>
          <w:rFonts w:ascii="Times New Roman" w:hAnsi="Times New Roman"/>
          <w:sz w:val="28"/>
          <w:szCs w:val="28"/>
        </w:rPr>
        <w:t>іальності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6і0</w:t>
      </w:r>
      <w:r w:rsidRPr="00367EA5">
        <w:rPr>
          <w:rFonts w:ascii="Times New Roman" w:hAnsi="Times New Roman"/>
          <w:sz w:val="28"/>
          <w:szCs w:val="28"/>
        </w:rPr>
        <w:t>3</w:t>
      </w: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Корнійчук Д.В.</w:t>
      </w:r>
    </w:p>
    <w:p w:rsidR="0071120C" w:rsidRPr="00DD04CE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Малиш М.</w:t>
      </w: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" w:eastAsia="Times" w:hAnsi="Times" w:cs="Times"/>
          <w:sz w:val="28"/>
          <w:szCs w:val="28"/>
        </w:rPr>
      </w:pPr>
      <w:proofErr w:type="spellStart"/>
      <w:proofErr w:type="gramStart"/>
      <w:r>
        <w:rPr>
          <w:rFonts w:ascii="Times" w:hAnsi="Times"/>
          <w:sz w:val="28"/>
          <w:szCs w:val="28"/>
        </w:rPr>
        <w:t>Перев</w:t>
      </w:r>
      <w:proofErr w:type="gramEnd"/>
      <w:r>
        <w:rPr>
          <w:rFonts w:ascii="Times" w:hAnsi="Times"/>
          <w:sz w:val="28"/>
          <w:szCs w:val="28"/>
        </w:rPr>
        <w:t>ірив</w:t>
      </w:r>
      <w:proofErr w:type="spellEnd"/>
      <w:r>
        <w:rPr>
          <w:rFonts w:ascii="Times" w:hAnsi="Times"/>
          <w:sz w:val="28"/>
          <w:szCs w:val="28"/>
        </w:rPr>
        <w:t>:</w:t>
      </w:r>
    </w:p>
    <w:p w:rsidR="0071120C" w:rsidRPr="008B17E2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 xml:space="preserve">Проф.. </w:t>
      </w:r>
      <w:proofErr w:type="spellStart"/>
      <w:r>
        <w:rPr>
          <w:rFonts w:ascii="Times" w:hAnsi="Times"/>
          <w:sz w:val="28"/>
          <w:szCs w:val="28"/>
          <w:lang w:val="uk-UA"/>
        </w:rPr>
        <w:t>Дербенцев</w:t>
      </w:r>
      <w:proofErr w:type="spellEnd"/>
      <w:r>
        <w:rPr>
          <w:rFonts w:ascii="Times" w:hAnsi="Times"/>
          <w:sz w:val="28"/>
          <w:szCs w:val="28"/>
          <w:lang w:val="uk-UA"/>
        </w:rPr>
        <w:t xml:space="preserve"> В.Д.</w:t>
      </w: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120C" w:rsidRPr="00DD04CE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rPr>
          <w:rFonts w:ascii="Times New Roman" w:eastAsia="Times New Roman" w:hAnsi="Times New Roman" w:cs="Times New Roman"/>
          <w:lang w:val="uk-UA"/>
        </w:rPr>
      </w:pPr>
    </w:p>
    <w:p w:rsidR="0071120C" w:rsidRDefault="0071120C" w:rsidP="0071120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jc w:val="center"/>
        <w:rPr>
          <w:rFonts w:ascii="Times" w:hAnsi="Times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</w:rPr>
        <w:t>КИ</w:t>
      </w:r>
      <w:r>
        <w:rPr>
          <w:rFonts w:ascii="Times" w:hAnsi="Times"/>
          <w:sz w:val="28"/>
          <w:szCs w:val="28"/>
          <w:lang w:val="uk-UA"/>
        </w:rPr>
        <w:t>Ї</w:t>
      </w:r>
      <w:r>
        <w:rPr>
          <w:rFonts w:ascii="Times" w:hAnsi="Times"/>
          <w:sz w:val="28"/>
          <w:szCs w:val="28"/>
        </w:rPr>
        <w:t>В КНЕУ 201</w:t>
      </w:r>
      <w:r>
        <w:rPr>
          <w:rFonts w:ascii="Times" w:hAnsi="Times"/>
          <w:sz w:val="28"/>
          <w:szCs w:val="28"/>
          <w:lang w:val="uk-UA"/>
        </w:rPr>
        <w:t xml:space="preserve">8 </w:t>
      </w:r>
    </w:p>
    <w:p w:rsidR="0071120C" w:rsidRPr="009406E7" w:rsidRDefault="0071120C" w:rsidP="00711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" w:hAnsi="Times"/>
          <w:sz w:val="28"/>
          <w:szCs w:val="28"/>
        </w:rPr>
        <w:br w:type="page"/>
      </w:r>
      <w:r w:rsidRPr="009406E7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 робота № 1</w:t>
      </w:r>
    </w:p>
    <w:p w:rsidR="0071120C" w:rsidRPr="009406E7" w:rsidRDefault="0071120C" w:rsidP="00711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406E7">
        <w:rPr>
          <w:rFonts w:ascii="Times New Roman" w:hAnsi="Times New Roman" w:cs="Times New Roman"/>
          <w:b/>
          <w:sz w:val="32"/>
          <w:szCs w:val="28"/>
        </w:rPr>
        <w:t>(частина 2)</w:t>
      </w:r>
    </w:p>
    <w:p w:rsidR="0071120C" w:rsidRPr="009406E7" w:rsidRDefault="0071120C" w:rsidP="00940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6E7">
        <w:rPr>
          <w:rFonts w:ascii="Times New Roman" w:hAnsi="Times New Roman" w:cs="Times New Roman"/>
          <w:b/>
          <w:sz w:val="28"/>
          <w:szCs w:val="28"/>
        </w:rPr>
        <w:t>Тема</w:t>
      </w:r>
      <w:r w:rsidRPr="009406E7">
        <w:rPr>
          <w:rFonts w:ascii="Times New Roman" w:hAnsi="Times New Roman" w:cs="Times New Roman"/>
          <w:sz w:val="28"/>
          <w:szCs w:val="28"/>
        </w:rPr>
        <w:t>: Методи структуризації проблемних ситуацій (застосування методу аналізу ієрархій до задач багатокритеріального прийняття рішень).</w:t>
      </w:r>
    </w:p>
    <w:p w:rsidR="0071120C" w:rsidRPr="009406E7" w:rsidRDefault="0071120C" w:rsidP="00940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6E7">
        <w:rPr>
          <w:rFonts w:ascii="Times New Roman" w:hAnsi="Times New Roman" w:cs="Times New Roman"/>
          <w:b/>
          <w:sz w:val="28"/>
          <w:szCs w:val="28"/>
        </w:rPr>
        <w:t>Мета</w:t>
      </w:r>
      <w:r w:rsidRPr="009406E7">
        <w:rPr>
          <w:rFonts w:ascii="Times New Roman" w:hAnsi="Times New Roman" w:cs="Times New Roman"/>
          <w:sz w:val="28"/>
          <w:szCs w:val="28"/>
        </w:rPr>
        <w:t xml:space="preserve">. Навчитися </w:t>
      </w:r>
      <w:proofErr w:type="spellStart"/>
      <w:r w:rsidRPr="009406E7">
        <w:rPr>
          <w:rFonts w:ascii="Times New Roman" w:hAnsi="Times New Roman" w:cs="Times New Roman"/>
          <w:sz w:val="28"/>
          <w:szCs w:val="28"/>
        </w:rPr>
        <w:t>структуризувати</w:t>
      </w:r>
      <w:proofErr w:type="spellEnd"/>
      <w:r w:rsidRPr="009406E7">
        <w:rPr>
          <w:rFonts w:ascii="Times New Roman" w:hAnsi="Times New Roman" w:cs="Times New Roman"/>
          <w:sz w:val="28"/>
          <w:szCs w:val="28"/>
        </w:rPr>
        <w:t xml:space="preserve"> складну проблему у вигляді </w:t>
      </w:r>
      <w:proofErr w:type="spellStart"/>
      <w:r w:rsidRPr="009406E7">
        <w:rPr>
          <w:rFonts w:ascii="Times New Roman" w:hAnsi="Times New Roman" w:cs="Times New Roman"/>
          <w:sz w:val="28"/>
          <w:szCs w:val="28"/>
        </w:rPr>
        <w:t>мультидерева</w:t>
      </w:r>
      <w:proofErr w:type="spellEnd"/>
      <w:r w:rsidRPr="0094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6E7">
        <w:rPr>
          <w:rFonts w:ascii="Times New Roman" w:hAnsi="Times New Roman" w:cs="Times New Roman"/>
          <w:sz w:val="28"/>
          <w:szCs w:val="28"/>
        </w:rPr>
        <w:t>підпроблем</w:t>
      </w:r>
      <w:proofErr w:type="spellEnd"/>
      <w:r w:rsidRPr="009406E7">
        <w:rPr>
          <w:rFonts w:ascii="Times New Roman" w:hAnsi="Times New Roman" w:cs="Times New Roman"/>
          <w:sz w:val="28"/>
          <w:szCs w:val="28"/>
        </w:rPr>
        <w:t xml:space="preserve">, критеріїв та альтернатив, реалізовувати алгоритм методу аналізу ієрархій до визначення глобальних та локальних пріоритетів альтернатив розв'язання складних </w:t>
      </w:r>
      <w:proofErr w:type="spellStart"/>
      <w:r w:rsidRPr="009406E7">
        <w:rPr>
          <w:rFonts w:ascii="Times New Roman" w:hAnsi="Times New Roman" w:cs="Times New Roman"/>
          <w:sz w:val="28"/>
          <w:szCs w:val="28"/>
        </w:rPr>
        <w:t>слабкоструктурованих</w:t>
      </w:r>
      <w:proofErr w:type="spellEnd"/>
      <w:r w:rsidRPr="009406E7">
        <w:rPr>
          <w:rFonts w:ascii="Times New Roman" w:hAnsi="Times New Roman" w:cs="Times New Roman"/>
          <w:sz w:val="28"/>
          <w:szCs w:val="28"/>
        </w:rPr>
        <w:t xml:space="preserve"> проблем з використанням сучасних інформаційних систем.</w:t>
      </w:r>
    </w:p>
    <w:p w:rsidR="0071120C" w:rsidRDefault="0071120C" w:rsidP="00940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6E7">
        <w:rPr>
          <w:rFonts w:ascii="Times New Roman" w:hAnsi="Times New Roman" w:cs="Times New Roman"/>
          <w:b/>
          <w:sz w:val="28"/>
          <w:szCs w:val="28"/>
        </w:rPr>
        <w:t>Опис роботи:</w:t>
      </w:r>
      <w:r w:rsidRPr="009406E7">
        <w:rPr>
          <w:rFonts w:ascii="Times New Roman" w:hAnsi="Times New Roman" w:cs="Times New Roman"/>
          <w:sz w:val="28"/>
          <w:szCs w:val="28"/>
        </w:rPr>
        <w:t xml:space="preserve"> Робота виконується в середовищі MS Excel (або за допомогою математичних пакетів </w:t>
      </w:r>
      <w:proofErr w:type="spellStart"/>
      <w:r w:rsidRPr="009406E7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940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06E7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406E7">
        <w:rPr>
          <w:rFonts w:ascii="Times New Roman" w:hAnsi="Times New Roman" w:cs="Times New Roman"/>
          <w:sz w:val="28"/>
          <w:szCs w:val="28"/>
        </w:rPr>
        <w:t>)</w:t>
      </w:r>
    </w:p>
    <w:p w:rsidR="008C4788" w:rsidRPr="00A47980" w:rsidRDefault="008C4788" w:rsidP="00DB0B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7980">
        <w:rPr>
          <w:rFonts w:ascii="Times New Roman" w:hAnsi="Times New Roman" w:cs="Times New Roman"/>
          <w:b/>
          <w:sz w:val="28"/>
          <w:szCs w:val="28"/>
        </w:rPr>
        <w:t>Відповіді на питання:</w:t>
      </w:r>
    </w:p>
    <w:p w:rsidR="008C4788" w:rsidRDefault="008C4788" w:rsidP="00DB0B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C47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1.Етапи проведення системного аналізу</w:t>
      </w:r>
    </w:p>
    <w:p w:rsidR="00DB46DA" w:rsidRPr="00DB0BFA" w:rsidRDefault="00DB46DA" w:rsidP="00DB0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BFA">
        <w:rPr>
          <w:rFonts w:ascii="Times New Roman" w:hAnsi="Times New Roman" w:cs="Times New Roman"/>
          <w:sz w:val="28"/>
          <w:szCs w:val="28"/>
        </w:rPr>
        <w:t>Системний підхід припускає різнобічний аналіз об’єкта, але при цьому можуть бути виділені три основних етапи:</w:t>
      </w:r>
    </w:p>
    <w:p w:rsidR="00DB46DA" w:rsidRPr="00DB0BFA" w:rsidRDefault="00DB46DA" w:rsidP="00DB0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BFA">
        <w:rPr>
          <w:rFonts w:ascii="Times New Roman" w:hAnsi="Times New Roman" w:cs="Times New Roman"/>
          <w:sz w:val="28"/>
          <w:szCs w:val="28"/>
        </w:rPr>
        <w:t xml:space="preserve">1. </w:t>
      </w:r>
      <w:r w:rsidRPr="00DB0BFA">
        <w:rPr>
          <w:rFonts w:ascii="Times New Roman" w:hAnsi="Times New Roman" w:cs="Times New Roman"/>
          <w:b/>
          <w:sz w:val="28"/>
          <w:szCs w:val="28"/>
        </w:rPr>
        <w:t>Вивчення ступеня організованості об’єкта як складної системи</w:t>
      </w:r>
      <w:r w:rsidRPr="00DB0BFA">
        <w:rPr>
          <w:rFonts w:ascii="Times New Roman" w:hAnsi="Times New Roman" w:cs="Times New Roman"/>
          <w:sz w:val="28"/>
          <w:szCs w:val="28"/>
        </w:rPr>
        <w:t xml:space="preserve">. При цьому </w:t>
      </w:r>
      <w:r w:rsidRPr="0035265D">
        <w:rPr>
          <w:rFonts w:ascii="Times New Roman" w:hAnsi="Times New Roman" w:cs="Times New Roman"/>
          <w:i/>
          <w:sz w:val="28"/>
          <w:szCs w:val="28"/>
        </w:rPr>
        <w:t>аналізуються елементний склад, зв’язки і структура системи</w:t>
      </w:r>
      <w:r w:rsidRPr="00DB0BFA">
        <w:rPr>
          <w:rFonts w:ascii="Times New Roman" w:hAnsi="Times New Roman" w:cs="Times New Roman"/>
          <w:sz w:val="28"/>
          <w:szCs w:val="28"/>
        </w:rPr>
        <w:t xml:space="preserve"> при фіксуванні її стану в деякий момент часу (складається морфологічний опис </w:t>
      </w:r>
      <w:proofErr w:type="spellStart"/>
      <w:r w:rsidRPr="00DB0BFA">
        <w:rPr>
          <w:rFonts w:ascii="Times New Roman" w:hAnsi="Times New Roman" w:cs="Times New Roman"/>
          <w:sz w:val="28"/>
          <w:szCs w:val="28"/>
        </w:rPr>
        <w:t>моментного</w:t>
      </w:r>
      <w:proofErr w:type="spellEnd"/>
      <w:r w:rsidRPr="00DB0BFA">
        <w:rPr>
          <w:rFonts w:ascii="Times New Roman" w:hAnsi="Times New Roman" w:cs="Times New Roman"/>
          <w:sz w:val="28"/>
          <w:szCs w:val="28"/>
        </w:rPr>
        <w:t xml:space="preserve"> стану системи). </w:t>
      </w:r>
    </w:p>
    <w:p w:rsidR="00E07DCB" w:rsidRDefault="00DB46DA" w:rsidP="00DB0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BFA">
        <w:rPr>
          <w:rFonts w:ascii="Times New Roman" w:hAnsi="Times New Roman" w:cs="Times New Roman"/>
          <w:sz w:val="28"/>
          <w:szCs w:val="28"/>
        </w:rPr>
        <w:t xml:space="preserve">2. </w:t>
      </w:r>
      <w:r w:rsidRPr="00DB0BFA">
        <w:rPr>
          <w:rFonts w:ascii="Times New Roman" w:hAnsi="Times New Roman" w:cs="Times New Roman"/>
          <w:b/>
          <w:sz w:val="28"/>
          <w:szCs w:val="28"/>
        </w:rPr>
        <w:t>Вивчення законів функціонуванн</w:t>
      </w:r>
      <w:r w:rsidRPr="00DB0BFA">
        <w:rPr>
          <w:rFonts w:ascii="Times New Roman" w:hAnsi="Times New Roman" w:cs="Times New Roman"/>
          <w:sz w:val="28"/>
          <w:szCs w:val="28"/>
        </w:rPr>
        <w:t xml:space="preserve">я, що описують поведінку системи в умовах реального існування і аналіз можливих погрішностей у її поведінці, накопичення помилок (функціональний і інформаційний описи). </w:t>
      </w:r>
    </w:p>
    <w:p w:rsidR="00DB0BFA" w:rsidRPr="00DB0BFA" w:rsidRDefault="00DB46DA" w:rsidP="00DB0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BFA">
        <w:rPr>
          <w:rFonts w:ascii="Times New Roman" w:hAnsi="Times New Roman" w:cs="Times New Roman"/>
          <w:sz w:val="28"/>
          <w:szCs w:val="28"/>
        </w:rPr>
        <w:t xml:space="preserve">3. </w:t>
      </w:r>
      <w:r w:rsidRPr="00E07DCB">
        <w:rPr>
          <w:rFonts w:ascii="Times New Roman" w:hAnsi="Times New Roman" w:cs="Times New Roman"/>
          <w:b/>
          <w:sz w:val="28"/>
          <w:szCs w:val="28"/>
        </w:rPr>
        <w:t>Вивчення шляху розвитку об’єкта</w:t>
      </w:r>
      <w:r w:rsidRPr="00DB0BFA">
        <w:rPr>
          <w:rFonts w:ascii="Times New Roman" w:hAnsi="Times New Roman" w:cs="Times New Roman"/>
          <w:sz w:val="28"/>
          <w:szCs w:val="28"/>
        </w:rPr>
        <w:t xml:space="preserve">, його походження і перспектив подальшого існування (генетико-прогностичний опис). </w:t>
      </w:r>
    </w:p>
    <w:p w:rsidR="00DB0BFA" w:rsidRPr="00DB0BFA" w:rsidRDefault="00DB46DA" w:rsidP="00DB0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BFA">
        <w:rPr>
          <w:rFonts w:ascii="Times New Roman" w:hAnsi="Times New Roman" w:cs="Times New Roman"/>
          <w:sz w:val="28"/>
          <w:szCs w:val="28"/>
        </w:rPr>
        <w:t xml:space="preserve">На першому етапі можна виділити дві задачі: </w:t>
      </w:r>
    </w:p>
    <w:p w:rsidR="00DB0BFA" w:rsidRDefault="00DB46DA" w:rsidP="00E07DCB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CB">
        <w:rPr>
          <w:rFonts w:ascii="Times New Roman" w:hAnsi="Times New Roman" w:cs="Times New Roman"/>
          <w:sz w:val="28"/>
          <w:szCs w:val="28"/>
        </w:rPr>
        <w:t xml:space="preserve">з’ясування складу і властивостей елементів – підсистем, включених у систему (елементний аналіз), і визначення того, як вони між собою пов’язані (аналіз зв’язків і типу структури). Системне дослідження виходить із принципу цілісності, відповідно до якого об’єкт розглядається як “відносно відособлена система” (по </w:t>
      </w:r>
      <w:r w:rsidRPr="00E07DCB">
        <w:rPr>
          <w:rFonts w:ascii="Times New Roman" w:hAnsi="Times New Roman" w:cs="Times New Roman"/>
          <w:sz w:val="28"/>
          <w:szCs w:val="28"/>
        </w:rPr>
        <w:lastRenderedPageBreak/>
        <w:t xml:space="preserve">визначенню С. Вира) (тобто система, яка має кінцеве число входів і виходів для спілкування з іншими системами і середовищем), властивості якого не зводяться до властивостей її складових частин. </w:t>
      </w:r>
    </w:p>
    <w:p w:rsidR="005709CF" w:rsidRPr="005709CF" w:rsidRDefault="005709CF" w:rsidP="005709C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b/>
          <w:sz w:val="28"/>
          <w:szCs w:val="28"/>
        </w:rPr>
        <w:t>Етапи системного аналізу можна подати наступним чином</w:t>
      </w:r>
      <w:r w:rsidRPr="005709CF">
        <w:rPr>
          <w:rFonts w:ascii="Times New Roman" w:hAnsi="Times New Roman" w:cs="Times New Roman"/>
          <w:sz w:val="28"/>
          <w:szCs w:val="28"/>
        </w:rPr>
        <w:t>: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1-й етап. Аналіз проблеми.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2-й етап. Визначення системи.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3-й етап. Аналіз структури системи.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4-й етап. Формулювання загальної цілі та критерію системи.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5-й етап. Декомпозиція цілі, виявлення потреби у ресурсах і процесах.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6-й етап. Виявлення ресурсів і процесів, композиція цілей.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7-й етап. Прогноз та аналіз майбутніх умов.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8-й етап. Оцінка цілей і засобів.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9-й етап. Відбір варіантів.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10-й етап. Діагноз існуючої системи.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11-й етап. Розроблення комплексної програми розвитку.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12-й етап. Проектування організації для досягнення цілі.</w:t>
      </w:r>
    </w:p>
    <w:p w:rsidR="008C4788" w:rsidRPr="00DB0BFA" w:rsidRDefault="00DB46DA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0BFA">
        <w:rPr>
          <w:rFonts w:ascii="Times New Roman" w:hAnsi="Times New Roman" w:cs="Times New Roman"/>
          <w:sz w:val="28"/>
          <w:szCs w:val="28"/>
        </w:rPr>
        <w:t>Цілісність – особлива властивість, що дозволяє виділити систему та всіх до неї належних із зовнішнього Середовища, властивість, якої не має жодна частина системи при будь-якому способі її поділення</w:t>
      </w:r>
    </w:p>
    <w:p w:rsidR="008C4788" w:rsidRDefault="008C4788" w:rsidP="00DB0B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C47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2.Класифікація методів системного аналізу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 xml:space="preserve">Класифікація моделей здійснюється за різними класифікаційними ознаками. Розглянемо класифікацію моделей за </w:t>
      </w:r>
      <w:proofErr w:type="spellStart"/>
      <w:r w:rsidR="00377442">
        <w:rPr>
          <w:rFonts w:ascii="Times New Roman" w:hAnsi="Times New Roman" w:cs="Times New Roman"/>
          <w:sz w:val="28"/>
          <w:szCs w:val="28"/>
        </w:rPr>
        <w:t>Кустовська</w:t>
      </w:r>
      <w:proofErr w:type="spellEnd"/>
      <w:r w:rsidR="00377442" w:rsidRPr="005709CF">
        <w:rPr>
          <w:rFonts w:ascii="Times New Roman" w:hAnsi="Times New Roman" w:cs="Times New Roman"/>
          <w:sz w:val="28"/>
          <w:szCs w:val="28"/>
        </w:rPr>
        <w:t xml:space="preserve"> </w:t>
      </w:r>
      <w:r w:rsidRPr="005709CF">
        <w:rPr>
          <w:rFonts w:ascii="Times New Roman" w:hAnsi="Times New Roman" w:cs="Times New Roman"/>
          <w:sz w:val="28"/>
          <w:szCs w:val="28"/>
        </w:rPr>
        <w:t>О</w:t>
      </w:r>
      <w:r w:rsidR="00377442">
        <w:rPr>
          <w:rFonts w:ascii="Times New Roman" w:hAnsi="Times New Roman" w:cs="Times New Roman"/>
          <w:sz w:val="28"/>
          <w:szCs w:val="28"/>
        </w:rPr>
        <w:t>лена Василівна </w:t>
      </w:r>
      <w:r w:rsidRPr="005709CF">
        <w:rPr>
          <w:rFonts w:ascii="Times New Roman" w:hAnsi="Times New Roman" w:cs="Times New Roman"/>
          <w:sz w:val="28"/>
          <w:szCs w:val="28"/>
        </w:rPr>
        <w:t>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1. За ступенем визначеності моделі класифікуються так: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• детерміновані моделі, для яких характерним є те, що при певних значеннях вхідних параметрів на виході можна отримати лише один результат;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• стохастичні моделі, в яких змінні, параметри та умови функціонування, стан системи є випадковими величинами та пов’язані стохастичними залежностями;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• невизначені моделі, в яких розподіл ймовірностей певних параметрів може або взагалі не існувати, або ж бути невідомим.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lastRenderedPageBreak/>
        <w:t>2. За закономірностями зміни своїх параметрів моделі поділяються на дискретні, неперервні та дискретно-неперервні.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3. За фактором часу розрізняють статичні та динамічні моделі.</w:t>
      </w:r>
    </w:p>
    <w:p w:rsidR="005709CF" w:rsidRPr="005709CF" w:rsidRDefault="005709CF" w:rsidP="0057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CF">
        <w:rPr>
          <w:rFonts w:ascii="Times New Roman" w:hAnsi="Times New Roman" w:cs="Times New Roman"/>
          <w:sz w:val="28"/>
          <w:szCs w:val="28"/>
        </w:rPr>
        <w:t>4. За природою моделі можна виокремити два основних класи: предметні та знакові.</w:t>
      </w:r>
    </w:p>
    <w:p w:rsidR="008C4788" w:rsidRPr="008C4788" w:rsidRDefault="008C4788" w:rsidP="008C478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C4788" w:rsidRPr="009406E7" w:rsidRDefault="008C4788" w:rsidP="00940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788" w:rsidRDefault="008C47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4438" w:rsidRDefault="000177D7" w:rsidP="00AF35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Розв’язання</w:t>
      </w:r>
    </w:p>
    <w:p w:rsidR="0014646E" w:rsidRPr="008C4788" w:rsidRDefault="0014646E" w:rsidP="00AF3572">
      <w:pPr>
        <w:autoSpaceDE w:val="0"/>
        <w:autoSpaceDN w:val="0"/>
        <w:adjustRightInd w:val="0"/>
        <w:spacing w:after="0" w:line="360" w:lineRule="auto"/>
        <w:jc w:val="center"/>
        <w:rPr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8C4788">
        <w:rPr>
          <w:rFonts w:ascii="Times New Roman" w:hAnsi="Times New Roman" w:cs="Times New Roman"/>
          <w:sz w:val="28"/>
          <w:szCs w:val="28"/>
          <w:lang w:eastAsia="ru-RU"/>
        </w:rPr>
        <w:t>Інвестування у нерухомість</w:t>
      </w:r>
    </w:p>
    <w:p w:rsidR="000177D7" w:rsidRPr="00661C69" w:rsidRDefault="000177D7" w:rsidP="00AF357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1C69">
        <w:rPr>
          <w:rFonts w:ascii="Times New Roman" w:hAnsi="Times New Roman" w:cs="Times New Roman"/>
          <w:color w:val="000000"/>
          <w:sz w:val="28"/>
          <w:szCs w:val="28"/>
        </w:rPr>
        <w:t>Здійснимо групування критеріїв два ієрархічні класи: «вигоди» та «ризики».</w:t>
      </w:r>
    </w:p>
    <w:p w:rsidR="00141683" w:rsidRPr="00AF3572" w:rsidRDefault="000177D7" w:rsidP="00AF3572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357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Сформулюємо наступні критерії, що характеризують </w:t>
      </w:r>
      <w:r w:rsidRPr="00AF357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вигоди</w:t>
      </w:r>
      <w:r w:rsidRPr="00AF357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141683" w:rsidRPr="00975A78" w:rsidRDefault="00141683" w:rsidP="00AF3572">
      <w:pPr>
        <w:pStyle w:val="a8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5A78">
        <w:rPr>
          <w:rFonts w:ascii="Times New Roman" w:hAnsi="Times New Roman" w:cs="Times New Roman"/>
          <w:color w:val="000000"/>
          <w:sz w:val="28"/>
          <w:szCs w:val="28"/>
        </w:rPr>
        <w:t xml:space="preserve">можливість одержання високого прибутку ; </w:t>
      </w:r>
    </w:p>
    <w:p w:rsidR="00661C69" w:rsidRPr="00661C69" w:rsidRDefault="00AB7D08" w:rsidP="00AF3572">
      <w:pPr>
        <w:pStyle w:val="a8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A78">
        <w:rPr>
          <w:rFonts w:ascii="Times New Roman" w:hAnsi="Times New Roman" w:cs="Times New Roman"/>
          <w:color w:val="000000"/>
          <w:sz w:val="28"/>
          <w:szCs w:val="28"/>
        </w:rPr>
        <w:t>надійність вкладання коштів</w:t>
      </w:r>
      <w:r w:rsidRPr="00661C6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61C69">
        <w:rPr>
          <w:rFonts w:ascii="Times New Roman" w:hAnsi="Times New Roman" w:cs="Times New Roman"/>
          <w:color w:val="000000"/>
          <w:sz w:val="28"/>
          <w:szCs w:val="28"/>
        </w:rPr>
        <w:t xml:space="preserve">(захист від знецінення, інфляції, </w:t>
      </w:r>
      <w:r w:rsidRPr="00661C69">
        <w:rPr>
          <w:rFonts w:ascii="Times New Roman" w:hAnsi="Times New Roman" w:cs="Times New Roman"/>
          <w:color w:val="000000" w:themeColor="text1"/>
          <w:sz w:val="28"/>
          <w:szCs w:val="28"/>
        </w:rPr>
        <w:t>девальвації, біржових та ринкових коливань, збереження вартості);</w:t>
      </w:r>
    </w:p>
    <w:p w:rsidR="00141683" w:rsidRPr="00661C69" w:rsidRDefault="00661C69" w:rsidP="00AF3572">
      <w:pPr>
        <w:pStyle w:val="a8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C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Купуючи нерухомість житлової або комерційної спрямованості, ви зможете відразу отримувати прибуток, якщо почнете здавати її в оренду</w:t>
      </w:r>
      <w:r w:rsidR="000177D7" w:rsidRPr="0066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41683" w:rsidRPr="00AF3572" w:rsidRDefault="000177D7" w:rsidP="00AF3572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357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Сформулюємо критерії, що характеризують </w:t>
      </w:r>
      <w:r w:rsidRPr="00AF357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ризики</w:t>
      </w:r>
      <w:r w:rsidRPr="00AF357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B5957" w:rsidRDefault="000B5957" w:rsidP="00AF3572">
      <w:pPr>
        <w:pStyle w:val="a8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1C69">
        <w:rPr>
          <w:rFonts w:ascii="Times New Roman" w:hAnsi="Times New Roman" w:cs="Times New Roman"/>
          <w:i/>
          <w:color w:val="000000"/>
          <w:sz w:val="28"/>
          <w:szCs w:val="28"/>
        </w:rPr>
        <w:t>ймовірність втрати активу внаслідок форс мажору</w:t>
      </w:r>
      <w:r w:rsidRPr="00661C69"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внаслідок світової фінансово-економічної кризи, загострення соціально-політичного стану в країні, судових позовів на право власності на нерухомість внаслідок некоректного юридичного оформлен</w:t>
      </w:r>
      <w:r w:rsidR="00D84135">
        <w:rPr>
          <w:rFonts w:ascii="Times New Roman" w:hAnsi="Times New Roman" w:cs="Times New Roman"/>
          <w:color w:val="000000"/>
          <w:sz w:val="28"/>
          <w:szCs w:val="28"/>
        </w:rPr>
        <w:t>ня)</w:t>
      </w:r>
    </w:p>
    <w:p w:rsidR="00AF3572" w:rsidRPr="00AF3572" w:rsidRDefault="00D84135" w:rsidP="00AF3572">
      <w:pPr>
        <w:pStyle w:val="a8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1C69">
        <w:rPr>
          <w:rFonts w:ascii="Times New Roman" w:hAnsi="Times New Roman" w:cs="Times New Roman"/>
          <w:i/>
          <w:color w:val="000000"/>
          <w:sz w:val="28"/>
          <w:szCs w:val="28"/>
        </w:rPr>
        <w:t>ймовірність фінансових втрат внаслідок</w:t>
      </w:r>
      <w:r w:rsidR="009565E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дефекту проектування нерухомості (низка якість будівництва)</w:t>
      </w:r>
    </w:p>
    <w:p w:rsidR="00141683" w:rsidRPr="00AF3572" w:rsidRDefault="000177D7" w:rsidP="00AF3572">
      <w:pPr>
        <w:pStyle w:val="a8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572">
        <w:rPr>
          <w:rFonts w:ascii="Times New Roman" w:hAnsi="Times New Roman" w:cs="Times New Roman"/>
          <w:i/>
          <w:color w:val="000000"/>
          <w:sz w:val="28"/>
          <w:szCs w:val="28"/>
        </w:rPr>
        <w:t>ймовірність фінансових втрат внаслідок зміни законодавства</w:t>
      </w:r>
      <w:r w:rsidRPr="00AF3572">
        <w:rPr>
          <w:rFonts w:ascii="Times New Roman" w:hAnsi="Times New Roman" w:cs="Times New Roman"/>
          <w:color w:val="000000"/>
          <w:sz w:val="28"/>
          <w:szCs w:val="28"/>
        </w:rPr>
        <w:t xml:space="preserve"> (введення податків на нерухомість, зміни у регулюванні ринку готівкових валютних операцій, інші зміни у законодавстві тощо), </w:t>
      </w:r>
    </w:p>
    <w:p w:rsidR="000177D7" w:rsidRDefault="000177D7" w:rsidP="000177D7">
      <w:pPr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3289"/>
        <w:gridCol w:w="670"/>
        <w:gridCol w:w="5160"/>
      </w:tblGrid>
      <w:tr w:rsidR="001539A8" w:rsidRPr="000D15B8" w:rsidTr="00DD33DF">
        <w:tc>
          <w:tcPr>
            <w:tcW w:w="0" w:type="auto"/>
            <w:gridSpan w:val="4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D15B8">
              <w:rPr>
                <w:rFonts w:ascii="Times New Roman" w:hAnsi="Times New Roman" w:cs="Times New Roman"/>
                <w:b/>
                <w:color w:val="000000"/>
              </w:rPr>
              <w:t>Критерії</w:t>
            </w:r>
          </w:p>
        </w:tc>
      </w:tr>
      <w:tr w:rsidR="00102313" w:rsidRPr="000D15B8" w:rsidTr="00DD33DF"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0D15B8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8pt;height:21.05pt" o:ole="">
                  <v:imagedata r:id="rId9" o:title=""/>
                </v:shape>
                <o:OLEObject Type="Embed" ProgID="Equation.DSMT4" ShapeID="_x0000_i1025" DrawAspect="Content" ObjectID="_1601127251" r:id="rId10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0D15B8">
              <w:rPr>
                <w:rFonts w:ascii="Times New Roman" w:hAnsi="Times New Roman" w:cs="Times New Roman"/>
                <w:b/>
                <w:color w:val="000000"/>
                <w:sz w:val="24"/>
              </w:rPr>
              <w:t>Вигоди</w: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0D15B8">
              <w:rPr>
                <w:rFonts w:ascii="Times New Roman" w:hAnsi="Times New Roman" w:cs="Times New Roman"/>
                <w:b/>
                <w:color w:val="000000"/>
                <w:position w:val="-12"/>
                <w:sz w:val="24"/>
              </w:rPr>
              <w:object w:dxaOrig="460" w:dyaOrig="400">
                <v:shape id="_x0000_i1026" type="#_x0000_t75" style="width:22.4pt;height:19.7pt" o:ole="">
                  <v:imagedata r:id="rId11" o:title=""/>
                </v:shape>
                <o:OLEObject Type="Embed" ProgID="Equation.DSMT4" ShapeID="_x0000_i1026" DrawAspect="Content" ObjectID="_1601127252" r:id="rId12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0D15B8">
              <w:rPr>
                <w:rFonts w:ascii="Times New Roman" w:hAnsi="Times New Roman" w:cs="Times New Roman"/>
                <w:b/>
                <w:color w:val="000000"/>
                <w:sz w:val="24"/>
              </w:rPr>
              <w:t>Ризики</w:t>
            </w:r>
          </w:p>
        </w:tc>
      </w:tr>
      <w:tr w:rsidR="00102313" w:rsidRPr="000D15B8" w:rsidTr="00DD33DF"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12"/>
              </w:rPr>
              <w:object w:dxaOrig="420" w:dyaOrig="400">
                <v:shape id="_x0000_i1027" type="#_x0000_t75" style="width:21.05pt;height:19.7pt" o:ole="">
                  <v:imagedata r:id="rId13" o:title=""/>
                </v:shape>
                <o:OLEObject Type="Embed" ProgID="Equation.DSMT4" ShapeID="_x0000_i1027" DrawAspect="Content" ObjectID="_1601127253" r:id="rId14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0D15B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</w:rPr>
              <w:t>Високий прибуток</w: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12"/>
              </w:rPr>
              <w:object w:dxaOrig="420" w:dyaOrig="400">
                <v:shape id="_x0000_i1028" type="#_x0000_t75" style="width:21.05pt;height:19.7pt" o:ole="">
                  <v:imagedata r:id="rId15" o:title=""/>
                </v:shape>
                <o:OLEObject Type="Embed" ProgID="Equation.DSMT4" ShapeID="_x0000_i1028" DrawAspect="Content" ObjectID="_1601127254" r:id="rId16"/>
              </w:object>
            </w:r>
          </w:p>
        </w:tc>
        <w:tc>
          <w:tcPr>
            <w:tcW w:w="0" w:type="auto"/>
            <w:vAlign w:val="center"/>
          </w:tcPr>
          <w:p w:rsidR="000B5957" w:rsidRPr="000D15B8" w:rsidRDefault="000B5957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</w:rPr>
              <w:t>Низький ризик фінансових втрат внаслідок форс-мажору</w:t>
            </w:r>
          </w:p>
        </w:tc>
      </w:tr>
      <w:tr w:rsidR="00102313" w:rsidRPr="000D15B8" w:rsidTr="00DD33DF"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12"/>
              </w:rPr>
              <w:object w:dxaOrig="420" w:dyaOrig="400">
                <v:shape id="_x0000_i1029" type="#_x0000_t75" style="width:21.05pt;height:19.7pt" o:ole="">
                  <v:imagedata r:id="rId17" o:title=""/>
                </v:shape>
                <o:OLEObject Type="Embed" ProgID="Equation.DSMT4" ShapeID="_x0000_i1029" DrawAspect="Content" ObjectID="_1601127255" r:id="rId18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</w:rPr>
              <w:t>Висока надійність</w: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12"/>
              </w:rPr>
              <w:object w:dxaOrig="420" w:dyaOrig="400">
                <v:shape id="_x0000_i1030" type="#_x0000_t75" style="width:21.05pt;height:19.7pt" o:ole="">
                  <v:imagedata r:id="rId19" o:title=""/>
                </v:shape>
                <o:OLEObject Type="Embed" ProgID="Equation.DSMT4" ShapeID="_x0000_i1030" DrawAspect="Content" ObjectID="_1601127256" r:id="rId20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A47980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</w:rPr>
              <w:t>Р</w:t>
            </w:r>
            <w:r w:rsidR="001539A8" w:rsidRPr="000D15B8">
              <w:rPr>
                <w:rFonts w:ascii="Times New Roman" w:hAnsi="Times New Roman" w:cs="Times New Roman"/>
                <w:color w:val="000000"/>
              </w:rPr>
              <w:t>изик фінансових втрат внаслідок зміни законодавства</w:t>
            </w:r>
          </w:p>
        </w:tc>
      </w:tr>
      <w:tr w:rsidR="00102313" w:rsidRPr="000D15B8" w:rsidTr="00DD33DF"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12"/>
              </w:rPr>
              <w:object w:dxaOrig="420" w:dyaOrig="400">
                <v:shape id="_x0000_i1031" type="#_x0000_t75" style="width:21.05pt;height:19.7pt" o:ole="">
                  <v:imagedata r:id="rId21" o:title=""/>
                </v:shape>
                <o:OLEObject Type="Embed" ProgID="Equation.DSMT4" ShapeID="_x0000_i1031" DrawAspect="Content" ObjectID="_1601127257" r:id="rId22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102313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Прибуток з нерухомості</w: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12"/>
              </w:rPr>
              <w:object w:dxaOrig="420" w:dyaOrig="400">
                <v:shape id="_x0000_i1032" type="#_x0000_t75" style="width:21.05pt;height:19.7pt" o:ole="">
                  <v:imagedata r:id="rId23" o:title=""/>
                </v:shape>
                <o:OLEObject Type="Embed" ProgID="Equation.DSMT4" ShapeID="_x0000_i1032" DrawAspect="Content" ObjectID="_1601127258" r:id="rId24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0B5957" w:rsidP="00A479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</w:rPr>
              <w:t xml:space="preserve">Низький ризик фінансових втрат внаслідок </w:t>
            </w:r>
            <w:r w:rsidR="00A47980" w:rsidRPr="000D15B8">
              <w:rPr>
                <w:rFonts w:ascii="Times New Roman" w:hAnsi="Times New Roman" w:cs="Times New Roman"/>
                <w:color w:val="000000"/>
              </w:rPr>
              <w:t>дефекту проектування нерухомості</w:t>
            </w:r>
          </w:p>
        </w:tc>
      </w:tr>
      <w:tr w:rsidR="001539A8" w:rsidRPr="000D15B8" w:rsidTr="00DD33DF">
        <w:tc>
          <w:tcPr>
            <w:tcW w:w="0" w:type="auto"/>
            <w:gridSpan w:val="4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D15B8">
              <w:rPr>
                <w:rFonts w:ascii="Times New Roman" w:hAnsi="Times New Roman" w:cs="Times New Roman"/>
                <w:b/>
                <w:color w:val="000000"/>
              </w:rPr>
              <w:t>Альтернативи</w:t>
            </w:r>
          </w:p>
        </w:tc>
      </w:tr>
      <w:tr w:rsidR="00102313" w:rsidRPr="000D15B8" w:rsidTr="00DD33DF"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4"/>
              </w:rPr>
              <w:object w:dxaOrig="320" w:dyaOrig="260">
                <v:shape id="_x0000_i1033" type="#_x0000_t75" style="width:16.3pt;height:13.6pt" o:ole="">
                  <v:imagedata r:id="rId25" o:title=""/>
                </v:shape>
                <o:OLEObject Type="Embed" ProgID="Equation.DSMT4" ShapeID="_x0000_i1033" DrawAspect="Content" ObjectID="_1601127259" r:id="rId26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7E50EE" w:rsidP="007E50E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Грошовий </w:t>
            </w:r>
            <w:r w:rsidR="001539A8" w:rsidRPr="000D15B8">
              <w:rPr>
                <w:rFonts w:ascii="Times New Roman" w:hAnsi="Times New Roman" w:cs="Times New Roman"/>
                <w:color w:val="000000"/>
              </w:rPr>
              <w:t>депозит</w: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4"/>
              </w:rPr>
              <w:object w:dxaOrig="360" w:dyaOrig="260">
                <v:shape id="_x0000_i1034" type="#_x0000_t75" style="width:18.35pt;height:13.6pt" o:ole="">
                  <v:imagedata r:id="rId27" o:title=""/>
                </v:shape>
                <o:OLEObject Type="Embed" ProgID="Equation.DSMT4" ShapeID="_x0000_i1034" DrawAspect="Content" ObjectID="_1601127260" r:id="rId28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575E17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Зарубіжна нерухомість</w:t>
            </w:r>
          </w:p>
        </w:tc>
      </w:tr>
      <w:tr w:rsidR="00102313" w:rsidRPr="000D15B8" w:rsidTr="00DD33DF"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6"/>
              </w:rPr>
              <w:object w:dxaOrig="340" w:dyaOrig="279">
                <v:shape id="_x0000_i1035" type="#_x0000_t75" style="width:17pt;height:14.25pt" o:ole="">
                  <v:imagedata r:id="rId29" o:title=""/>
                </v:shape>
                <o:OLEObject Type="Embed" ProgID="Equation.DSMT4" ShapeID="_x0000_i1035" DrawAspect="Content" ObjectID="_1601127261" r:id="rId30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6E506A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Інвестування в нерухомість на етапі побудови</w:t>
            </w:r>
          </w:p>
        </w:tc>
        <w:tc>
          <w:tcPr>
            <w:tcW w:w="0" w:type="auto"/>
            <w:vAlign w:val="center"/>
          </w:tcPr>
          <w:p w:rsidR="001539A8" w:rsidRPr="000D15B8" w:rsidRDefault="001539A8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 w:rsidRPr="000D15B8">
              <w:rPr>
                <w:rFonts w:ascii="Times New Roman" w:hAnsi="Times New Roman" w:cs="Times New Roman"/>
                <w:color w:val="000000"/>
                <w:position w:val="-4"/>
              </w:rPr>
              <w:object w:dxaOrig="360" w:dyaOrig="260">
                <v:shape id="_x0000_i1036" type="#_x0000_t75" style="width:18.35pt;height:13.6pt" o:ole="">
                  <v:imagedata r:id="rId31" o:title=""/>
                </v:shape>
                <o:OLEObject Type="Embed" ProgID="Equation.DSMT4" ShapeID="_x0000_i1036" DrawAspect="Content" ObjectID="_1601127262" r:id="rId32"/>
              </w:object>
            </w:r>
          </w:p>
        </w:tc>
        <w:tc>
          <w:tcPr>
            <w:tcW w:w="0" w:type="auto"/>
            <w:vAlign w:val="center"/>
          </w:tcPr>
          <w:p w:rsidR="001539A8" w:rsidRPr="000D15B8" w:rsidRDefault="00735BFD" w:rsidP="00DD33D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Дорогоцінні метали</w:t>
            </w:r>
          </w:p>
        </w:tc>
      </w:tr>
    </w:tbl>
    <w:p w:rsidR="001539A8" w:rsidRDefault="009B0D13" w:rsidP="000177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Знайдемо ієрархічний синтез, тобто обчислимо вектор локальних пріоритетів альтернатив відносно агрегованого критерію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вигод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0D13" w:rsidRPr="00A675D4" w:rsidRDefault="009B0D13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prof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0,513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0,720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0,166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0,261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0,533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0,261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0,062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prof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0,458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0,386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0,552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0,152</m:t>
                    </m:r>
                  </m:e>
                </m:mr>
              </m:m>
            </m:e>
          </m:d>
        </m:oMath>
      </m:oMathPara>
    </w:p>
    <w:p w:rsidR="00A675D4" w:rsidRDefault="00A675D4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Отже, ранжування альтернатив стосовно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вигод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має вигляд:</w:t>
      </w:r>
    </w:p>
    <w:p w:rsidR="00A675D4" w:rsidRPr="00A675D4" w:rsidRDefault="00A675D4" w:rsidP="000177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0.552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0.203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0.152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675D4" w:rsidRDefault="00A675D4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Згідно оцінками експерта та обраними критеріями найкращою з точки зору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вигод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є альтернатива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грошовий депозит , дещо менш привабливими виявились альтернативи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16A73">
        <w:rPr>
          <w:rFonts w:ascii="Times New Roman" w:eastAsiaTheme="minorEastAsia" w:hAnsi="Times New Roman" w:cs="Times New Roman"/>
          <w:sz w:val="28"/>
          <w:szCs w:val="28"/>
        </w:rPr>
        <w:t xml:space="preserve"> – інвестування в нерухомість на етапі побудови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16A73">
        <w:rPr>
          <w:rFonts w:ascii="Times New Roman" w:eastAsiaTheme="minorEastAsia" w:hAnsi="Times New Roman" w:cs="Times New Roman"/>
          <w:sz w:val="28"/>
          <w:szCs w:val="28"/>
        </w:rPr>
        <w:t xml:space="preserve"> – зарубіжна нерухомість.</w:t>
      </w:r>
    </w:p>
    <w:p w:rsidR="00D16A73" w:rsidRDefault="00D16A73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Аналогічно знаходимо вектор локальних пріоритетів альтернатив відносно агрегованого критерію ризиків:</w:t>
      </w:r>
    </w:p>
    <w:p w:rsidR="00D16A73" w:rsidRPr="00B417E1" w:rsidRDefault="00D16A73" w:rsidP="000177D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risk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0,489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0,338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0,532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0,282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0,473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0,050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0,059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risk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0,637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0,105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0,455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0,322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0,052</m:t>
                    </m:r>
                  </m:e>
                </m:mr>
              </m:m>
            </m:e>
          </m:d>
        </m:oMath>
      </m:oMathPara>
    </w:p>
    <w:p w:rsidR="00B417E1" w:rsidRDefault="00B417E1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Стосовно ризиків локальні пріоритети альтернатив розподілились таким чином:</w:t>
      </w:r>
    </w:p>
    <w:p w:rsidR="00B417E1" w:rsidRPr="002D5C8B" w:rsidRDefault="002D5C8B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455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0,322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0,171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D5C8B" w:rsidRDefault="002D5C8B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чин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 точки зору найменшого ризику більш привабливою є альтернатива: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грошовий депозит.</w:t>
      </w:r>
    </w:p>
    <w:p w:rsidR="002D5C8B" w:rsidRDefault="002D5C8B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одержання вектору глобальних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пріорітетів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альтернатива відносно фокусу ієрархії необхідно матрицю,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стовпцяї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якої знаходяться вектори локальних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пріорітетів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альтернатив відносно агрегованого критерію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вигод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знаходяться вектори локальних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пріорітетів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альтернатив відносно агрегованого критерію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вигод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 ризиків помножити на вектор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пріорітетів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вигід та ризиків відносно фокуса який одержується також з матриці попарних порівнянь критеріїв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вигод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 ризиків.</w:t>
      </w:r>
    </w:p>
    <w:p w:rsidR="002D5C8B" w:rsidRDefault="002D5C8B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Отже, остаточний результат суттєво залежить від схильності експерту до ризику. У випадку рівної важливості високої вигоди та низького ризику одержимо:</w:t>
      </w:r>
    </w:p>
    <w:p w:rsidR="002D5C8B" w:rsidRPr="00A61F33" w:rsidRDefault="00C54509" w:rsidP="000177D7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Ȏ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prof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risk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0.552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0.455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0.322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0.203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0.052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(1)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Ȏ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0,242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0,187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0,102</m:t>
                    </m:r>
                  </m:e>
                </m:mr>
              </m:m>
            </m:e>
          </m:d>
        </m:oMath>
      </m:oMathPara>
    </w:p>
    <w:p w:rsidR="00A61F33" w:rsidRPr="00A61F33" w:rsidRDefault="00A61F33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1F33">
        <w:rPr>
          <w:rFonts w:ascii="Times New Roman" w:eastAsiaTheme="minorEastAsia" w:hAnsi="Times New Roman" w:cs="Times New Roman"/>
          <w:sz w:val="28"/>
          <w:szCs w:val="28"/>
        </w:rPr>
        <w:t>Ранжування альтернатив матиме такий вигляд:</w:t>
      </w:r>
    </w:p>
    <w:p w:rsidR="00A61F33" w:rsidRPr="00A61F33" w:rsidRDefault="00A61F33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0,242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0,187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1F33" w:rsidRDefault="00A61F33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1F33">
        <w:rPr>
          <w:rFonts w:ascii="Times New Roman" w:eastAsiaTheme="minorEastAsia" w:hAnsi="Times New Roman" w:cs="Times New Roman"/>
          <w:sz w:val="28"/>
          <w:szCs w:val="28"/>
        </w:rPr>
        <w:t>Виходячи з цього видно, що найбіль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 привабливою буде альтернатива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грошовий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депозит), а найменш привабливою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(дорогоцінні метали).</w:t>
      </w:r>
    </w:p>
    <w:p w:rsidR="00A61F33" w:rsidRPr="00A61F33" w:rsidRDefault="00A61F33" w:rsidP="000177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Якщо ж для експерта висока вигода є більш важлива, ніж невисокі ризики, то одержимо: </w:t>
      </w:r>
    </w:p>
    <w:p w:rsidR="00A61F33" w:rsidRPr="00A61F33" w:rsidRDefault="00A61F33" w:rsidP="00A61F3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Ȏ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prof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risk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0.552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0.455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0.322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0.203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0.052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(1)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Ȏ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0,528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0,201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0,195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0,127</m:t>
                    </m:r>
                  </m:e>
                </m:mr>
              </m:m>
            </m:e>
          </m:d>
        </m:oMath>
      </m:oMathPara>
    </w:p>
    <w:p w:rsidR="00A61F33" w:rsidRPr="00A61F33" w:rsidRDefault="00A61F33" w:rsidP="00A61F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1F33">
        <w:rPr>
          <w:rFonts w:ascii="Times New Roman" w:eastAsiaTheme="minorEastAsia" w:hAnsi="Times New Roman" w:cs="Times New Roman"/>
          <w:sz w:val="28"/>
          <w:szCs w:val="28"/>
        </w:rPr>
        <w:t>Ранжування альтернатив матиме такий вигляд:</w:t>
      </w:r>
    </w:p>
    <w:p w:rsidR="00A61F33" w:rsidRPr="00A61F33" w:rsidRDefault="00A61F33" w:rsidP="00A61F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0,201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0,195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1F33" w:rsidRPr="0089308B" w:rsidRDefault="00A61F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308B">
        <w:rPr>
          <w:rFonts w:ascii="Times New Roman" w:eastAsiaTheme="minorEastAsia" w:hAnsi="Times New Roman" w:cs="Times New Roman"/>
          <w:sz w:val="28"/>
          <w:szCs w:val="28"/>
        </w:rPr>
        <w:t>Проте найбільш приваблива та найменш приваблива альтернативи не змінилися.</w:t>
      </w:r>
      <w:r w:rsidR="0089308B" w:rsidRPr="008930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9308B" w:rsidRDefault="008930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 перевіримо які будуть показники якщо для експерта висока вигода буде менш важливою ніж ризики, одержимо: </w:t>
      </w:r>
    </w:p>
    <w:p w:rsidR="0089308B" w:rsidRPr="00A61F33" w:rsidRDefault="0089308B" w:rsidP="0089308B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Ȏ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prof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risk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0.552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0.455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0.322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0.203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0.152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0.052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(1)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Ȏ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0,479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0,282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0,179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0,077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89308B" w:rsidRPr="00A61F33" w:rsidRDefault="0089308B" w:rsidP="008930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1F33">
        <w:rPr>
          <w:rFonts w:ascii="Times New Roman" w:eastAsiaTheme="minorEastAsia" w:hAnsi="Times New Roman" w:cs="Times New Roman"/>
          <w:sz w:val="28"/>
          <w:szCs w:val="28"/>
        </w:rPr>
        <w:t>Ранжування альтернатив матиме такий вигляд:</w:t>
      </w:r>
    </w:p>
    <w:p w:rsidR="0089308B" w:rsidRPr="0089308B" w:rsidRDefault="0089308B" w:rsidP="008930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479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0,282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0,179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≺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077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9308B" w:rsidRPr="00A61F33" w:rsidRDefault="0089308B" w:rsidP="008930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Як бачимо і при таким умовах альтернативи не змінилися.</w:t>
      </w:r>
    </w:p>
    <w:p w:rsidR="0089308B" w:rsidRPr="00A61F33" w:rsidRDefault="008930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89308B" w:rsidRPr="00A61F33">
      <w:headerReference w:type="default" r:id="rId3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D7" w:rsidRDefault="000959D7" w:rsidP="0071120C">
      <w:pPr>
        <w:spacing w:after="0" w:line="240" w:lineRule="auto"/>
      </w:pPr>
      <w:r>
        <w:separator/>
      </w:r>
    </w:p>
  </w:endnote>
  <w:endnote w:type="continuationSeparator" w:id="0">
    <w:p w:rsidR="000959D7" w:rsidRDefault="000959D7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D7" w:rsidRDefault="000959D7" w:rsidP="0071120C">
      <w:pPr>
        <w:spacing w:after="0" w:line="240" w:lineRule="auto"/>
      </w:pPr>
      <w:r>
        <w:separator/>
      </w:r>
    </w:p>
  </w:footnote>
  <w:footnote w:type="continuationSeparator" w:id="0">
    <w:p w:rsidR="000959D7" w:rsidRDefault="000959D7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20C" w:rsidRDefault="0071120C" w:rsidP="0071120C">
    <w:pPr>
      <w:pStyle w:val="a4"/>
      <w:jc w:val="right"/>
      <w:rPr>
        <w:b/>
        <w:bCs/>
        <w:lang w:eastAsia="ru-RU"/>
      </w:rPr>
    </w:pPr>
    <w:r>
      <w:rPr>
        <w:bCs/>
        <w:i/>
        <w:lang w:eastAsia="ru-RU"/>
      </w:rPr>
      <w:t xml:space="preserve">Тема: </w:t>
    </w:r>
    <w:r w:rsidRPr="009D3D38">
      <w:rPr>
        <w:b/>
        <w:bCs/>
        <w:lang w:eastAsia="ru-RU"/>
      </w:rPr>
      <w:t>Методи структуризації проблемних ситуацій</w:t>
    </w:r>
  </w:p>
  <w:p w:rsidR="0071120C" w:rsidRDefault="0071120C" w:rsidP="0071120C">
    <w:pPr>
      <w:pStyle w:val="a4"/>
      <w:jc w:val="right"/>
    </w:pPr>
    <w:r>
      <w:rPr>
        <w:b/>
        <w:bCs/>
        <w:lang w:eastAsia="ru-RU"/>
      </w:rPr>
      <w:t>Корнійчук Д. Малиш М. ІН-302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001"/>
    <w:multiLevelType w:val="hybridMultilevel"/>
    <w:tmpl w:val="73C614E6"/>
    <w:lvl w:ilvl="0" w:tplc="59C4089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E0E97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A565DF"/>
    <w:multiLevelType w:val="hybridMultilevel"/>
    <w:tmpl w:val="AB5A0A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D4A84"/>
    <w:multiLevelType w:val="hybridMultilevel"/>
    <w:tmpl w:val="D36C5B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D7857"/>
    <w:multiLevelType w:val="hybridMultilevel"/>
    <w:tmpl w:val="E01AE1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FD5552"/>
    <w:multiLevelType w:val="hybridMultilevel"/>
    <w:tmpl w:val="F2FAF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0C"/>
    <w:rsid w:val="000177D7"/>
    <w:rsid w:val="000959D7"/>
    <w:rsid w:val="000B5957"/>
    <w:rsid w:val="000D15B8"/>
    <w:rsid w:val="00102313"/>
    <w:rsid w:val="00141683"/>
    <w:rsid w:val="0014646E"/>
    <w:rsid w:val="001539A8"/>
    <w:rsid w:val="001A4CDF"/>
    <w:rsid w:val="001C65D7"/>
    <w:rsid w:val="002111C5"/>
    <w:rsid w:val="002A5781"/>
    <w:rsid w:val="002D5C8B"/>
    <w:rsid w:val="0031599F"/>
    <w:rsid w:val="0035265D"/>
    <w:rsid w:val="00377442"/>
    <w:rsid w:val="0039723C"/>
    <w:rsid w:val="005709CF"/>
    <w:rsid w:val="00575E17"/>
    <w:rsid w:val="00661C69"/>
    <w:rsid w:val="006B70ED"/>
    <w:rsid w:val="006E506A"/>
    <w:rsid w:val="006E5A85"/>
    <w:rsid w:val="0071120C"/>
    <w:rsid w:val="00735BFD"/>
    <w:rsid w:val="007E50EE"/>
    <w:rsid w:val="0089308B"/>
    <w:rsid w:val="008C4788"/>
    <w:rsid w:val="009406E7"/>
    <w:rsid w:val="009565E8"/>
    <w:rsid w:val="00975A78"/>
    <w:rsid w:val="009B0D13"/>
    <w:rsid w:val="00A47980"/>
    <w:rsid w:val="00A61F33"/>
    <w:rsid w:val="00A675D4"/>
    <w:rsid w:val="00AB7D08"/>
    <w:rsid w:val="00AC4438"/>
    <w:rsid w:val="00AF3572"/>
    <w:rsid w:val="00B417E1"/>
    <w:rsid w:val="00C54509"/>
    <w:rsid w:val="00D16A73"/>
    <w:rsid w:val="00D84135"/>
    <w:rsid w:val="00DB0BFA"/>
    <w:rsid w:val="00DB46DA"/>
    <w:rsid w:val="00DF4399"/>
    <w:rsid w:val="00DF7101"/>
    <w:rsid w:val="00E07DC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20C"/>
  </w:style>
  <w:style w:type="paragraph" w:styleId="2">
    <w:name w:val="heading 2"/>
    <w:basedOn w:val="a"/>
    <w:next w:val="a"/>
    <w:link w:val="20"/>
    <w:qFormat/>
    <w:rsid w:val="0071120C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120C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customStyle="1" w:styleId="a3">
    <w:name w:val="По умолчанию"/>
    <w:rsid w:val="007112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7112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120C"/>
  </w:style>
  <w:style w:type="paragraph" w:styleId="a6">
    <w:name w:val="footer"/>
    <w:basedOn w:val="a"/>
    <w:link w:val="a7"/>
    <w:uiPriority w:val="99"/>
    <w:unhideWhenUsed/>
    <w:rsid w:val="007112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120C"/>
  </w:style>
  <w:style w:type="paragraph" w:styleId="a8">
    <w:name w:val="List Paragraph"/>
    <w:basedOn w:val="a"/>
    <w:uiPriority w:val="34"/>
    <w:qFormat/>
    <w:rsid w:val="0014168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7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Placeholder Text"/>
    <w:basedOn w:val="a0"/>
    <w:uiPriority w:val="99"/>
    <w:semiHidden/>
    <w:rsid w:val="009B0D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9B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B0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20C"/>
  </w:style>
  <w:style w:type="paragraph" w:styleId="2">
    <w:name w:val="heading 2"/>
    <w:basedOn w:val="a"/>
    <w:next w:val="a"/>
    <w:link w:val="20"/>
    <w:qFormat/>
    <w:rsid w:val="0071120C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120C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customStyle="1" w:styleId="a3">
    <w:name w:val="По умолчанию"/>
    <w:rsid w:val="007112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7112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120C"/>
  </w:style>
  <w:style w:type="paragraph" w:styleId="a6">
    <w:name w:val="footer"/>
    <w:basedOn w:val="a"/>
    <w:link w:val="a7"/>
    <w:uiPriority w:val="99"/>
    <w:unhideWhenUsed/>
    <w:rsid w:val="007112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120C"/>
  </w:style>
  <w:style w:type="paragraph" w:styleId="a8">
    <w:name w:val="List Paragraph"/>
    <w:basedOn w:val="a"/>
    <w:uiPriority w:val="34"/>
    <w:qFormat/>
    <w:rsid w:val="0014168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7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Placeholder Text"/>
    <w:basedOn w:val="a0"/>
    <w:uiPriority w:val="99"/>
    <w:semiHidden/>
    <w:rsid w:val="009B0D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9B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B0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66AA-99F1-419B-A2DC-9E009DE5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5607</Words>
  <Characters>3196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Michael Malysh</cp:lastModifiedBy>
  <cp:revision>2</cp:revision>
  <dcterms:created xsi:type="dcterms:W3CDTF">2018-10-15T13:47:00Z</dcterms:created>
  <dcterms:modified xsi:type="dcterms:W3CDTF">2018-10-15T13:47:00Z</dcterms:modified>
</cp:coreProperties>
</file>