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72"/>
        </w:rPr>
        <w:t>EligibilityOne</w:t>
      </w:r>
    </w:p>
    <w:p>
      <w:pPr>
        <w:jc w:val="center"/>
      </w:pPr>
      <w:r>
        <w:rPr>
          <w:b/>
          <w:color w:val="444455"/>
          <w:sz w:val="40"/>
        </w:rPr>
        <w:t>High-Severity Findings — Reproduction Walkthrough</w:t>
      </w:r>
    </w:p>
    <w:p>
      <w:pPr>
        <w:jc w:val="center"/>
      </w:pPr>
      <w:r>
        <w:rPr>
          <w:i/>
          <w:color w:val="555566"/>
          <w:sz w:val="24"/>
        </w:rPr>
        <w:t>A narrative companion to the technical penetration test report.</w:t>
        <w:br/>
        <w:t>Designed for executives who need to understand each finding, and engineers who need to reproduce each finding.</w:t>
      </w:r>
    </w:p>
    <w:p/>
    <w:p>
      <w:pPr>
        <w:jc w:val="center"/>
      </w:pPr>
      <w:r>
        <w:rPr>
          <w:sz w:val="22"/>
        </w:rPr>
        <w:t>Engagement: 05/15-23/2026   |   Environment: EligibilityOne UAT   |   Inovalon, Inc.</w:t>
        <w:br/>
        <w:t>Companion to: EligibilityOne_Penetration_Test_Report_POPULATED.docx</w:t>
      </w:r>
    </w:p>
    <w:p>
      <w:r>
        <w:br w:type="page"/>
      </w:r>
    </w:p>
    <w:p>
      <w:pPr>
        <w:pStyle w:val="Heading1"/>
      </w:pPr>
      <w:r>
        <w:t>About this document</w:t>
      </w:r>
    </w:p>
    <w:p>
      <w:r>
        <w:rPr>
          <w:sz w:val="22"/>
        </w:rPr>
        <w:t>This document is the narrative companion to the formal EligibilityOne penetration test report. Where the formal report catalogues findings in a structured template (Summary / Evidence / Remediation / References), this document tells the story of how each High-severity finding was discovered, what the tester was thinking at each step, and how anyone with access to the UAT environment can reproduce the finding from scratch. It is intended to be read top-to-bottom by a mixed audience: executives who want to understand why these findings matter, and engineers who want to verify them or confirm remediation.</w:t>
      </w:r>
    </w:p>
    <w:p>
      <w:r>
        <w:rPr>
          <w:sz w:val="22"/>
        </w:rPr>
        <w:t>Every High finding has its own chapter. Each chapter follows the same structure: a plain-language summary, the reasoning that led the tester to look for the issue, a step-by-step narrative of the discovery, a reproduction recipe, an attack-flow diagram, and an explanation of why the finding matters for the business. Page count is not optimized for; depth and reproducibility are. The Medium, Low, and Informational findings are not covered here — those remain in the formal report where the catalogue structure serves them better.</w:t>
      </w:r>
    </w:p>
    <w:p>
      <w:pPr>
        <w:pStyle w:val="Heading2"/>
      </w:pPr>
      <w:r>
        <w:t>How to use this document</w:t>
      </w:r>
    </w:p>
    <w:p>
      <w:r>
        <w:rPr>
          <w:sz w:val="22"/>
        </w:rPr>
        <w:t>If you are an executive or programme manager, read the "Executive view" at the top of each chapter. The single paragraph there will tell you what the issue is and why it is rated High. Skip to the next chapter when you have that.</w:t>
      </w:r>
    </w:p>
    <w:p>
      <w:r>
        <w:rPr>
          <w:sz w:val="22"/>
        </w:rPr>
        <w:t>If you are an engineer who needs to reproduce a finding (e.g., to confirm a fix), read the "Discovery narrative" for context, then jump to the "Reproduction recipe" — those are intentionally written so they can be followed without referring to anything else.</w:t>
      </w:r>
    </w:p>
    <w:p>
      <w:r>
        <w:rPr>
          <w:sz w:val="22"/>
        </w:rPr>
        <w:t>If you are reviewing the assessment for accuracy or completeness, the "Discovery narrative" in each chapter is the audit trail. It documents not only what was tested, but why a particular test was chosen and what was inferred from the response.</w:t>
      </w:r>
    </w:p>
    <w:p>
      <w:pPr>
        <w:pStyle w:val="Heading2"/>
      </w:pPr>
      <w:r>
        <w:t>Environment, tools, and one-time setup</w:t>
      </w:r>
    </w:p>
    <w:p>
      <w:r>
        <w:rPr>
          <w:sz w:val="22"/>
        </w:rPr>
        <w:t>The reproduction recipes assume the same environment used during the engagement:</w:t>
      </w:r>
    </w:p>
    <w:p>
      <w:pPr>
        <w:pStyle w:val="ListBullet"/>
      </w:pPr>
      <w:r>
        <w:t>A Kali Linux (or comparable) workstation with curl, openssl, dig, jq, python3, and Burp Suite (Community or Professional) installed.</w:t>
      </w:r>
    </w:p>
    <w:p>
      <w:pPr>
        <w:pStyle w:val="ListBullet"/>
      </w:pPr>
      <w:r>
        <w:t>Network access to the EligibilityOne UAT estate. From the public Internet alone, none of the target hostnames resolve — UAT hosts live on the 10.134.0.0/16 internal range and require Inovalon VPN connectivity.</w:t>
      </w:r>
    </w:p>
    <w:p>
      <w:pPr>
        <w:pStyle w:val="ListBullet"/>
      </w:pPr>
      <w:r>
        <w:t>The two demonstration credentials provided in SCOPE_CREDS: the JWT/REST user (e1qauser) and the OAuth2 client (myability). These are the same credentials used during the engagement.</w:t>
      </w:r>
    </w:p>
    <w:p>
      <w:pPr>
        <w:pStyle w:val="ListBullet"/>
      </w:pPr>
      <w:r>
        <w:t>No paid Burp Suite features are required. Community Edition is sufficient for every demonstration in this document. Burp Pro adds visual polish but no new capability.</w:t>
      </w:r>
    </w:p>
    <w:p>
      <w:pPr>
        <w:ind w:left="504" w:right="504"/>
      </w:pPr>
      <w:r>
        <w:rPr>
          <w:i/>
          <w:color w:val="444455"/>
          <w:sz w:val="21"/>
        </w:rPr>
        <w:t>If the targets are not reachable from your terminal, fix VPN first — every recipe in this document starts with the assumption that a plain curl to the UAT hostname succeeds. All recipes use curl --insecure (-k) because the UAT certificate chain is internal-CA-signed and not trusted by default; this is the engagement-standard posture and matches how the findings were originally captured.</w:t>
      </w:r>
    </w:p>
    <w:p>
      <w:pPr>
        <w:pStyle w:val="Heading2"/>
      </w:pPr>
      <w:r>
        <w:t>How findings cite each other</w:t>
      </w:r>
    </w:p>
    <w:p>
      <w:r>
        <w:rPr>
          <w:sz w:val="22"/>
        </w:rPr>
        <w:t>Some High findings amplify each other. F-002 (no rate limiting) compounds F-001 (REST auth bypass) by making credential-stuffing trivial on an endpoint that already does not enforce auth. F-003 (excessive privilege) raises the blast radius for any of the other three findings, because the JWT a successful attacker eventually steals carries 35 entitlements. F-004 (SOAP indistinguishability) is the SOAP-side parallel of F-001. These relationships are highlighted in each chapter so that the remediation programme can be sequenced rather than scattershot.</w:t>
      </w:r>
    </w:p>
    <w:p>
      <w:r>
        <w:br w:type="page"/>
      </w:r>
    </w:p>
    <w:p>
      <w:pPr>
        <w:pStyle w:val="Heading1"/>
      </w:pPr>
      <w:r>
        <w:t>Engagement context</w:t>
      </w:r>
    </w:p>
    <w:p>
      <w:pPr>
        <w:pStyle w:val="Heading2"/>
      </w:pPr>
      <w:r>
        <w:t>Scope</w:t>
      </w:r>
    </w:p>
    <w:p>
      <w:r>
        <w:rPr>
          <w:sz w:val="22"/>
        </w:rPr>
        <w:t>The engagement covered the EligibilityOne (E1) UAT environment. Within that environment, four service surfaces were in scope:</w:t>
      </w:r>
    </w:p>
    <w:p>
      <w:pPr>
        <w:pStyle w:val="ListBullet"/>
      </w:pPr>
      <w:r>
        <w:t>Three SOAP services on https://eligibilitysoap.eligone-uat.aws53.inovalon.global — EligibilityOne.asmx, EligibilityOneCORE.asmx, and EligibilityOneBatch.asmx.</w:t>
      </w:r>
    </w:p>
    <w:p>
      <w:pPr>
        <w:pStyle w:val="ListBullet"/>
      </w:pPr>
      <w:r>
        <w:t>Three REST controllers on https://eligibilityrest.eligone-uat.aws53.inovalon.global — api/eligibilityOne, api/EnhancedEligibility, and api/eligibilityoneasync.</w:t>
      </w:r>
    </w:p>
    <w:p>
      <w:pPr>
        <w:pStyle w:val="ListBullet"/>
      </w:pPr>
      <w:r>
        <w:t>The internal IDP at https://idp.iopp-uat.aws53.inovalon.global/connect/token, which issues OAuth2 access tokens used by the REST services.</w:t>
      </w:r>
    </w:p>
    <w:p>
      <w:pPr>
        <w:pStyle w:val="ListBullet"/>
      </w:pPr>
      <w:r>
        <w:t>The production-domain IDP at https://blueidp.myabilitynetwork.com/connect/token, which from this network position resolves to the same UAT load balancer (a split-horizon DNS arrangement — see the formal report's F-019 Informational finding).</w:t>
      </w:r>
    </w:p>
    <w:p>
      <w:r>
        <w:rPr>
          <w:sz w:val="22"/>
        </w:rPr>
        <w:t>Out of scope: any client-rendered UI, mTLS / client-certificate layers at the load balancer that were not provisioned for the engagement, and any production endpoints. All testing was performed against UAT with explicit written authorization to do so.</w:t>
      </w:r>
    </w:p>
    <w:p>
      <w:pPr>
        <w:pStyle w:val="Heading2"/>
      </w:pPr>
      <w:r>
        <w:t>Timeline</w:t>
      </w:r>
    </w:p>
    <w:p>
      <w:r>
        <w:rPr>
          <w:sz w:val="22"/>
        </w:rPr>
        <w:t>Active testing ran from 05/15/2026 through 05/23/2026 (eight calendar days, six working). The first day was reconnaissance and scoping; days two through five were active probing for vulnerabilities; days six and seven were verification of findings (re-running probes, computing MD5s to confirm indistinguishability claims, and decoding tokens). The Highs reported here all emerged in the days-two-through-four window, with verification continuing afterwards.</w:t>
      </w:r>
    </w:p>
    <w:p>
      <w:pPr>
        <w:pStyle w:val="Heading2"/>
      </w:pPr>
      <w:r>
        <w:t>What the tester started with</w:t>
      </w:r>
    </w:p>
    <w:p>
      <w:r>
        <w:rPr>
          <w:sz w:val="22"/>
        </w:rPr>
        <w:t>On day one, the tester had only the SCOPE_CREDS file (which lists the four hostnames above, a user/password pair for the JWT REST surface, a Basic-auth client credential for the OAuth2 endpoint, and a brief tech-stack note: "C# / .NET Framework 4.8, SQL Server, AWS, Azure DevOps blue/green"). There were no API specifications, no Swagger files, no sample requests, no source code access. Every test in this document started from that minimal posture; the recipes below include the discovery steps required to derive any extra information.</w:t>
      </w:r>
    </w:p>
    <w:p>
      <w:r>
        <w:br w:type="page"/>
      </w:r>
    </w:p>
    <w:p>
      <w:pPr>
        <w:pStyle w:val="Heading1"/>
      </w:pPr>
      <w:r>
        <w:t>Methodology overview</w:t>
      </w:r>
    </w:p>
    <w:p>
      <w:r>
        <w:rPr>
          <w:sz w:val="22"/>
        </w:rPr>
        <w:t>The engagement followed the OWASP API Security Top 10 (2023) for the REST surface and the OWASP Web Service Testing Guide (WSTG) for the SOAP surface, with targeted additions for JWT structural attacks. In practice the work proceeded through nine phases, each building on the previous one. The order of phases matters: a finding only makes sense if you understand what the tester already knew at that point.</w:t>
      </w:r>
    </w:p>
    <w:p>
      <w:r>
        <w:rPr>
          <w:b/>
        </w:rPr>
        <w:t xml:space="preserve">Reconnaissance. </w:t>
      </w:r>
      <w:r>
        <w:t>DNS resolution of the four hostnames, TLS certificate inspection, and OIDC discovery against the IDP. The goal was to confirm reachability, identify the IDP's supported grant types (password grant present), and gather any free intelligence the targets gave away.</w:t>
      </w:r>
    </w:p>
    <w:p>
      <w:r>
        <w:rPr>
          <w:b/>
        </w:rPr>
        <w:t xml:space="preserve">Service enumeration. </w:t>
      </w:r>
      <w:r>
        <w:t>Anonymous fetches of the three SOAP WSDLs and the REST controller surfaces. WSDL fetches succeeded without authentication on all three SOAP services; REST routes were enumerated by attempting bare POSTs to predicted paths.</w:t>
      </w:r>
    </w:p>
    <w:p>
      <w:r>
        <w:rPr>
          <w:b/>
        </w:rPr>
        <w:t xml:space="preserve">Authentication probing. </w:t>
      </w:r>
      <w:r>
        <w:t>Legitimate OAuth2 password-grant token issuance using the provided credentials. The returned JWT was decoded for inspection; that single decode produced the F-003 and F-009 findings without any further active probing.</w:t>
      </w:r>
    </w:p>
    <w:p>
      <w:r>
        <w:rPr>
          <w:b/>
        </w:rPr>
        <w:t xml:space="preserve">JWT structural attacks. </w:t>
      </w:r>
      <w:r>
        <w:t>Eight forged-token variants tested against the only REST endpoint that enforces JWTs (EnhancedEligibility). All eight were correctly rejected. This negative result is captured as a positive observation in the formal report (P-002).</w:t>
      </w:r>
    </w:p>
    <w:p>
      <w:r>
        <w:rPr>
          <w:b/>
        </w:rPr>
        <w:t xml:space="preserve">REST auth-bypass probing. </w:t>
      </w:r>
      <w:r>
        <w:t>The same anonymous-and-forged token shapes that were rejected by EnhancedEligibility were submitted to the sibling REST controllers (eligibilityOne and eligibilityoneasync). These accepted everything — and produced F-001.</w:t>
      </w:r>
    </w:p>
    <w:p>
      <w:r>
        <w:rPr>
          <w:b/>
        </w:rPr>
        <w:t xml:space="preserve">SOAP injection battery. </w:t>
      </w:r>
      <w:r>
        <w:t>Seventeen payload classes (SQLi, XSS, command injection, log4shell, NoSQL operators, format-string, traversal, oversize input) across four request fields and two services — 136 requests in total. None produced an injection signal; another negative result captured in the formal report as a positive observation (P-003).</w:t>
      </w:r>
    </w:p>
    <w:p>
      <w:r>
        <w:rPr>
          <w:b/>
        </w:rPr>
        <w:t xml:space="preserve">SOAP authentication probing. </w:t>
      </w:r>
      <w:r>
        <w:t>Four authentication states (valid credentials, invalid credentials, empty auth element, no SOAP header) sent to each of the three SOAP services. Two services returned byte-identical responses across all four states — F-004. The third (CORE) returned four distinct responses, proving that distinguishing auth state is achievable in this product.</w:t>
      </w:r>
    </w:p>
    <w:p>
      <w:r>
        <w:rPr>
          <w:b/>
        </w:rPr>
        <w:t xml:space="preserve">Rate-limit testing. </w:t>
      </w:r>
      <w:r>
        <w:t>Bursts of failed-auth requests against the OAuth2 token endpoint and the JWT-protected REST endpoint. Neither applied any throttling — F-002.</w:t>
      </w:r>
    </w:p>
    <w:p>
      <w:r>
        <w:rPr>
          <w:b/>
        </w:rPr>
        <w:t xml:space="preserve">Header and fingerprint analysis. </w:t>
      </w:r>
      <w:r>
        <w:t>Passive inspection of response headers for both the REST API and the IDP. This phase produced lower-severity findings only and is not covered in this document.</w:t>
      </w:r>
    </w:p>
    <w:p>
      <w:r>
        <w:rPr>
          <w:sz w:val="22"/>
        </w:rPr>
        <w:t>The four High findings — F-001 (REST auth bypass), F-002 (no rate limiting), F-003 (excessive privilege), and F-004 (SOAP indistinguishability) — fall out of phases 3, 5, 7, and 8 above. The next four chapters take each in turn.</w:t>
      </w:r>
    </w:p>
    <w:p>
      <w:r>
        <w:br w:type="page"/>
      </w:r>
    </w:p>
    <w:p>
      <w:pPr>
        <w:pStyle w:val="Heading1"/>
      </w:pPr>
      <w:r>
        <w:t>F-001 — REST endpoints do not enforce JWT authentication</w:t>
      </w:r>
    </w:p>
    <w:p>
      <w:pPr>
        <w:pStyle w:val="Heading2"/>
      </w:pPr>
      <w:r>
        <w:t>Executive view</w:t>
      </w:r>
    </w:p>
    <w:p>
      <w:pPr>
        <w:ind w:left="504" w:right="504"/>
      </w:pPr>
      <w:r>
        <w:rPr>
          <w:i/>
          <w:color w:val="444455"/>
          <w:sz w:val="21"/>
        </w:rPr>
        <w:t>Two of the three REST eligibility services accept POST requests without ever checking the caller's identity. A request with no Authorization header, a request with a fake token, and a request with a forged token all return the same HTTP 200 response. The third sibling service, EnhancedEligibility, correctly returns HTTP 401 in the same conditions — which proves the bypass is a defect, not a design choice. The only thing currently preventing an unauthenticated attacker from submitting eligibility queries is the secrecy of the Source Application ID; once that value leaks (and Source Application IDs typically leak through integration partner docs, client source code, or support tickets), an attacker can reach business logic without leaving any identity trail. In a HIPAA / PHI context this is a control violation, not a hardening improvement.</w:t>
      </w:r>
    </w:p>
    <w:p>
      <w:pPr>
        <w:pStyle w:val="Heading2"/>
      </w:pPr>
      <w:r>
        <w:t>Why we tested for this</w:t>
      </w:r>
    </w:p>
    <w:p>
      <w:r>
        <w:rPr>
          <w:sz w:val="22"/>
        </w:rPr>
        <w:t>The reasoning chain that led to this test was: "the IDP issues JWTs; the REST surface accepts them; therefore the REST surface must be validating them somewhere. Let us see what happens if we send a request that should be rejected." That hypothesis is the obvious one to test once you have a working JWT in hand. A correctly configured WebAPI middleware will reject any of four canonical malformed-token shapes: no Authorization header, a non-JWT string in the Authorization header, a JWT with alg=none, and a JWT with a tampered claim plus the original signature. If all four are rejected, the JWT middleware works. If any are accepted, the middleware is missing or misconfigured on that route.</w:t>
      </w:r>
    </w:p>
    <w:p>
      <w:r>
        <w:rPr>
          <w:sz w:val="22"/>
        </w:rPr>
        <w:t>We applied this four-state probe to all three REST controllers. On EnhancedEligibility every variant came back as HTTP 401, exactly as a hardened service should respond. On eligibilityOne and eligibilityoneasync, every variant returned the same response a legitimate caller would have received: an HTTP 200 wrapping a business-logic error about a missing Source Application ID. The server did not just fail to reject the forged tokens — it appears to have not parsed them at all.</w:t>
      </w:r>
    </w:p>
    <w:p>
      <w:pPr>
        <w:pStyle w:val="Heading2"/>
      </w:pPr>
      <w:r>
        <w:t>Discovery narrative</w:t>
      </w:r>
    </w:p>
    <w:p>
      <w:pPr>
        <w:pStyle w:val="Heading3"/>
      </w:pPr>
      <w:r>
        <w:t>Step 1. Establish a baseline with a legitimate request</w:t>
      </w:r>
    </w:p>
    <w:p>
      <w:r>
        <w:rPr>
          <w:sz w:val="22"/>
        </w:rPr>
        <w:t>Before testing for bypass, you need a request that you know works. The simplest such request is a bare POST with a near-empty JSON body and a valid Authorization: Bearer header carrying the JWT issued by /connect/token. Sending that to /api/EnhancedEligibility returns HTTP 200 with a business-logic error body — the application has accepted the token, looked up the caller, and rejected the request only because the Source Application ID is missing. That response is the baseline: HTTP 200 with EOLOCLRS00 - Invalid Source Application ID! in the ServiceError block. Anything that produces a different response in a later step is an interesting deviation.</w:t>
      </w:r>
    </w:p>
    <w:p>
      <w:pPr>
        <w:pStyle w:val="Heading3"/>
      </w:pPr>
      <w:r>
        <w:t>Step 2. Probe with no Authorization header</w:t>
      </w:r>
    </w:p>
    <w:p>
      <w:r>
        <w:rPr>
          <w:sz w:val="22"/>
        </w:rPr>
        <w:t>Send the same baseline request to /api/eligibilityOne with the Authorization header stripped out entirely. A hardened WebAPI would respond with HTTP 401 and a body that says something like "No JWT token provided" — that response indicates the auth middleware ran, found no token, and refused to dispatch the request to the controller action. In our case, /api/eligibilityOne returned HTTP 200 with the same EOLOCLRS00 body as the baseline. That single observation is enough to confirm that the JWT middleware is not running on this route. The fact that the server reached the EOLOCLRS00 error (which is generated deep in the controller code, well after the auth check should have happened) is the smoking gun.</w:t>
      </w:r>
    </w:p>
    <w:p>
      <w:pPr>
        <w:pStyle w:val="Heading3"/>
      </w:pPr>
      <w:r>
        <w:t>Step 3. Probe with a garbage Bearer token</w:t>
      </w:r>
    </w:p>
    <w:p>
      <w:r>
        <w:rPr>
          <w:sz w:val="22"/>
        </w:rPr>
        <w:t>It is theoretically possible that the auth middleware is configured but is choosing not to reject empty Authorization headers (although no sane WebAPI authentication scheme does that). Rule it out by sending a request with Authorization: Bearer FAKE_TOKEN — a string that is clearly not a JWT (no dots, no Base64, no signature). A working middleware would parse this, fail to find three segments separated by dots, and reject with 401. /api/eligibilityOne instead returned HTTP 200 with a body byte-identical to the empty-header case. That confirms the middleware is not parsing the header at all — it is not present in the request pipeline.</w:t>
      </w:r>
    </w:p>
    <w:p>
      <w:pPr>
        <w:pStyle w:val="Heading3"/>
      </w:pPr>
      <w:r>
        <w:t>Step 4. Probe with a forged alg=none JWT</w:t>
      </w:r>
    </w:p>
    <w:p>
      <w:r>
        <w:rPr>
          <w:sz w:val="22"/>
        </w:rPr>
        <w:t>The textbook JWT-library flaw is acceptance of the alg=none algorithm, which allows a token with no signature. A correctly-configured validator must reject alg=none outright. Forge a minimal alg=none JWT (header {"alg":"none","typ":"JWT"}, payload {"sub":"attacker"}, no signature, ending with a trailing dot), send it in the Authorization header to /api/eligibilityOne, and observe: HTTP 200, same body. The forgery is accepted because no validation runs. This step adds little to the proof established in Steps 2 and 3 — but it is the standard demonstration that an audit reviewer will recognize, so it is worth running.</w:t>
      </w:r>
    </w:p>
    <w:p>
      <w:pPr>
        <w:pStyle w:val="Heading3"/>
      </w:pPr>
      <w:r>
        <w:t>Step 5. Re-run the same forged JWT against the protected sibling</w:t>
      </w:r>
    </w:p>
    <w:p>
      <w:r>
        <w:rPr>
          <w:sz w:val="22"/>
        </w:rPr>
        <w:t>The final step is the comparison that turns this from a one-off observation into a structural finding. Send the alg=none token (or simply no Authorization header) to /api/EnhancedEligibility and observe HTTP 401 with the body {"Message":"Unauthorized: No JWT token provided."}. The sibling endpoint correctly enforces JWT validation. That control proves three things at once: (a) the .NET WebAPI host is capable of running JWT middleware, (b) the deployment has a correctly-configured JWT validator available, and (c) the choice to enforce it is per-route. Therefore the bypass on /api/eligibilityOne and /api/eligibilityoneasync is not a hosting limitation — it is a per-controller configuration defect.</w:t>
      </w:r>
    </w:p>
    <w:p>
      <w:pPr>
        <w:pStyle w:val="Heading2"/>
      </w:pPr>
      <w:r>
        <w:t>Attack flow</w:t>
      </w:r>
    </w:p>
    <w:p>
      <w:pPr>
        <w:jc w:val="center"/>
      </w:pPr>
      <w:r>
        <w:drawing>
          <wp:inline xmlns:a="http://schemas.openxmlformats.org/drawingml/2006/main" xmlns:pic="http://schemas.openxmlformats.org/drawingml/2006/picture">
            <wp:extent cx="5943600" cy="991411"/>
            <wp:docPr id="1" name="Picture 1"/>
            <wp:cNvGraphicFramePr>
              <a:graphicFrameLocks noChangeAspect="1"/>
            </wp:cNvGraphicFramePr>
            <a:graphic>
              <a:graphicData uri="http://schemas.openxmlformats.org/drawingml/2006/picture">
                <pic:pic>
                  <pic:nvPicPr>
                    <pic:cNvPr id="0" name="F-001_attack_flow.png"/>
                    <pic:cNvPicPr/>
                  </pic:nvPicPr>
                  <pic:blipFill>
                    <a:blip r:embed="rId9"/>
                    <a:stretch>
                      <a:fillRect/>
                    </a:stretch>
                  </pic:blipFill>
                  <pic:spPr>
                    <a:xfrm>
                      <a:off x="0" y="0"/>
                      <a:ext cx="5943600" cy="991411"/>
                    </a:xfrm>
                    <a:prstGeom prst="rect"/>
                  </pic:spPr>
                </pic:pic>
              </a:graphicData>
            </a:graphic>
          </wp:inline>
        </w:drawing>
      </w:r>
    </w:p>
    <w:p>
      <w:pPr>
        <w:jc w:val="center"/>
      </w:pPr>
      <w:r>
        <w:rPr>
          <w:i/>
          <w:color w:val="555566"/>
          <w:sz w:val="20"/>
        </w:rPr>
        <w:t>F-001 attack flow. The control branch (the dashed connection from Discovery to the protected sibling) is what turns the bypass from an observation into a finding.</w:t>
      </w:r>
    </w:p>
    <w:p>
      <w:pPr>
        <w:pStyle w:val="Heading2"/>
      </w:pPr>
      <w:r>
        <w:t>Diagrams — how it should work, how it breaks, what it means</w:t>
      </w:r>
    </w:p>
    <w:p>
      <w:r>
        <w:rPr>
          <w:sz w:val="22"/>
        </w:rPr>
        <w:t>Three diagrams accompany this chapter: a logical view (intended behavior), an attack view (what actually happens), and an impact / comparison view (why it matters). Read them in order — they build on each other.</w:t>
      </w:r>
    </w:p>
    <w:p>
      <w:pPr>
        <w:jc w:val="center"/>
      </w:pPr>
      <w:r>
        <w:drawing>
          <wp:inline xmlns:a="http://schemas.openxmlformats.org/drawingml/2006/main" xmlns:pic="http://schemas.openxmlformats.org/drawingml/2006/picture">
            <wp:extent cx="5943600" cy="2724150"/>
            <wp:docPr id="2" name="Picture 2"/>
            <wp:cNvGraphicFramePr>
              <a:graphicFrameLocks noChangeAspect="1"/>
            </wp:cNvGraphicFramePr>
            <a:graphic>
              <a:graphicData uri="http://schemas.openxmlformats.org/drawingml/2006/picture">
                <pic:pic>
                  <pic:nvPicPr>
                    <pic:cNvPr id="0" name="F-001_dia1_logical.png"/>
                    <pic:cNvPicPr/>
                  </pic:nvPicPr>
                  <pic:blipFill>
                    <a:blip r:embed="rId10"/>
                    <a:stretch>
                      <a:fillRect/>
                    </a:stretch>
                  </pic:blipFill>
                  <pic:spPr>
                    <a:xfrm>
                      <a:off x="0" y="0"/>
                      <a:ext cx="5943600" cy="2724150"/>
                    </a:xfrm>
                    <a:prstGeom prst="rect"/>
                  </pic:spPr>
                </pic:pic>
              </a:graphicData>
            </a:graphic>
          </wp:inline>
        </w:drawing>
      </w:r>
    </w:p>
    <w:p>
      <w:pPr>
        <w:jc w:val="center"/>
      </w:pPr>
      <w:r>
        <w:rPr>
          <w:i/>
          <w:color w:val="555566"/>
          <w:sz w:val="20"/>
        </w:rPr>
        <w:t>Diagram 1 — How REST API authentication is supposed to work. A legitimate caller exchanges credentials for a JWT at the IDP, then attaches that JWT to every request. The API server validates the JWT before running any business logic. Valid token → HTTP 200 with data; missing or invalid token → HTTP 401 with no business logic ever running. The validator at step 4 is the line of defense; this finding is what happens when that validator is absent.</w:t>
      </w:r>
    </w:p>
    <w:p>
      <w:r>
        <w:rPr>
          <w:sz w:val="22"/>
        </w:rPr>
      </w:r>
    </w:p>
    <w:p>
      <w:pPr>
        <w:jc w:val="center"/>
      </w:pPr>
      <w:r>
        <w:drawing>
          <wp:inline xmlns:a="http://schemas.openxmlformats.org/drawingml/2006/main" xmlns:pic="http://schemas.openxmlformats.org/drawingml/2006/picture">
            <wp:extent cx="5943600" cy="2724150"/>
            <wp:docPr id="3" name="Picture 3"/>
            <wp:cNvGraphicFramePr>
              <a:graphicFrameLocks noChangeAspect="1"/>
            </wp:cNvGraphicFramePr>
            <a:graphic>
              <a:graphicData uri="http://schemas.openxmlformats.org/drawingml/2006/picture">
                <pic:pic>
                  <pic:nvPicPr>
                    <pic:cNvPr id="0" name="F-001_dia2_attack.png"/>
                    <pic:cNvPicPr/>
                  </pic:nvPicPr>
                  <pic:blipFill>
                    <a:blip r:embed="rId11"/>
                    <a:stretch>
                      <a:fillRect/>
                    </a:stretch>
                  </pic:blipFill>
                  <pic:spPr>
                    <a:xfrm>
                      <a:off x="0" y="0"/>
                      <a:ext cx="5943600" cy="2724150"/>
                    </a:xfrm>
                    <a:prstGeom prst="rect"/>
                  </pic:spPr>
                </pic:pic>
              </a:graphicData>
            </a:graphic>
          </wp:inline>
        </w:drawing>
      </w:r>
    </w:p>
    <w:p>
      <w:pPr>
        <w:jc w:val="center"/>
      </w:pPr>
      <w:r>
        <w:rPr>
          <w:i/>
          <w:color w:val="555566"/>
          <w:sz w:val="20"/>
        </w:rPr>
        <w:t>Diagram 2 — The attack in practice. An attacker submits an anonymous (or fake-token) POST to /api/eligibilityOne; because the JWT middleware is not attached to that route, the request flows straight to backend logic and returns HTTP 200. The bottom of the diagram is the control: the same attacker hitting the protected sibling /api/EnhancedEligibility is correctly rejected with HTTP 401. Two routes in the same product, same hosting — only one is protected. That mismatch is what makes this a defect rather than a design choice.</w:t>
      </w:r>
    </w:p>
    <w:p>
      <w:r>
        <w:rPr>
          <w:sz w:val="22"/>
        </w:rPr>
      </w:r>
    </w:p>
    <w:p>
      <w:pPr>
        <w:jc w:val="center"/>
      </w:pPr>
      <w:r>
        <w:drawing>
          <wp:inline xmlns:a="http://schemas.openxmlformats.org/drawingml/2006/main" xmlns:pic="http://schemas.openxmlformats.org/drawingml/2006/picture">
            <wp:extent cx="5943600" cy="2724150"/>
            <wp:docPr id="4" name="Picture 4"/>
            <wp:cNvGraphicFramePr>
              <a:graphicFrameLocks noChangeAspect="1"/>
            </wp:cNvGraphicFramePr>
            <a:graphic>
              <a:graphicData uri="http://schemas.openxmlformats.org/drawingml/2006/picture">
                <pic:pic>
                  <pic:nvPicPr>
                    <pic:cNvPr id="0" name="F-001_dia3_impact.png"/>
                    <pic:cNvPicPr/>
                  </pic:nvPicPr>
                  <pic:blipFill>
                    <a:blip r:embed="rId12"/>
                    <a:stretch>
                      <a:fillRect/>
                    </a:stretch>
                  </pic:blipFill>
                  <pic:spPr>
                    <a:xfrm>
                      <a:off x="0" y="0"/>
                      <a:ext cx="5943600" cy="2724150"/>
                    </a:xfrm>
                    <a:prstGeom prst="rect"/>
                  </pic:spPr>
                </pic:pic>
              </a:graphicData>
            </a:graphic>
          </wp:inline>
        </w:drawing>
      </w:r>
    </w:p>
    <w:p>
      <w:pPr>
        <w:jc w:val="center"/>
      </w:pPr>
      <w:r>
        <w:rPr>
          <w:i/>
          <w:color w:val="555566"/>
          <w:sz w:val="20"/>
        </w:rPr>
        <w:t>Diagram 3 — The four-state probe matrix. Three attack inputs (no auth header, garbage Bearer token, forged alg=none JWT) tested against two endpoints. eligibilityOne returns HTTP 200 on every probe (bypass confirmed three different ways); EnhancedEligibility returns HTTP 401 on every probe (auth working three different ways). After remediation, every cell in the eligibilityOne column must read HTTP 401 — that's the verification test.</w:t>
      </w:r>
    </w:p>
    <w:p>
      <w:r>
        <w:rPr>
          <w:sz w:val="22"/>
        </w:rPr>
      </w:r>
    </w:p>
    <w:p>
      <w:pPr>
        <w:pStyle w:val="Heading2"/>
      </w:pPr>
      <w:r>
        <w:t>Reproduction recipe</w:t>
      </w:r>
    </w:p>
    <w:p>
      <w:r>
        <w:rPr>
          <w:sz w:val="22"/>
        </w:rPr>
        <w:t>Open a terminal on a host that can reach the UAT REST surface. Confirm reachability with a single round-trip:</w:t>
      </w:r>
    </w:p>
    <w:p>
      <w:pPr>
        <w:spacing w:before="80" w:after="160"/>
        <w:ind w:left="504" w:right="504"/>
      </w:pPr>
      <w:r>
        <w:rPr>
          <w:rFonts w:ascii="DejaVu Sans Mono" w:hAnsi="DejaVu Sans Mono"/>
          <w:color w:val="222244"/>
          <w:sz w:val="19"/>
        </w:rPr>
        <w:t>curl -sk -o /dev/null -w 'HTTP %{http_code}\n' \</w:t>
        <w:br/>
        <w:t xml:space="preserve">    https://eligibilityrest.eligone-uat.aws53.inovalon.global/api/eligibilityOne</w:t>
      </w:r>
    </w:p>
    <w:p>
      <w:r>
        <w:rPr>
          <w:sz w:val="22"/>
        </w:rPr>
        <w:t>If this returns anything other than HTTP 200, fix your VPN before continuing. Then run each of the four probes:</w:t>
      </w:r>
    </w:p>
    <w:p>
      <w:pPr>
        <w:spacing w:before="80" w:after="160"/>
        <w:ind w:left="504" w:right="504"/>
      </w:pPr>
      <w:r>
        <w:rPr>
          <w:rFonts w:ascii="DejaVu Sans Mono" w:hAnsi="DejaVu Sans Mono"/>
          <w:color w:val="222244"/>
          <w:sz w:val="19"/>
        </w:rPr>
        <w:t># Probe 1 — no Authorization header</w:t>
        <w:br/>
        <w:t>curl -sk -i -X POST \</w:t>
        <w:br/>
        <w:t xml:space="preserve">    -H 'Content-Type: application/json' --data '{}' \</w:t>
        <w:br/>
        <w:t xml:space="preserve">    https://eligibilityrest.eligone-uat.aws53.inovalon.global/api/eligibilityOne</w:t>
        <w:br/>
        <w:br/>
        <w:t># Probe 2 — garbage Bearer</w:t>
        <w:br/>
        <w:t>curl -sk -i -X POST \</w:t>
        <w:br/>
        <w:t xml:space="preserve">    -H 'Content-Type: application/json' \</w:t>
        <w:br/>
        <w:t xml:space="preserve">    -H 'Authorization: Bearer FAKE_TOKEN' --data '{}' \</w:t>
        <w:br/>
        <w:t xml:space="preserve">    https://eligibilityrest.eligone-uat.aws53.inovalon.global/api/eligibilityOne</w:t>
        <w:br/>
        <w:br/>
        <w:t># Probe 3 — forged alg=none JWT</w:t>
        <w:br/>
        <w:t>NONEJWT='eyJhbGciOiJub25lIiwidHlwIjoiSldUIn0.eyJzdWIiOiJhdHRhY2tlciJ9.'</w:t>
        <w:br/>
        <w:t>curl -sk -i -X POST \</w:t>
        <w:br/>
        <w:t xml:space="preserve">    -H 'Content-Type: application/json' \</w:t>
        <w:br/>
        <w:t xml:space="preserve">    -H "Authorization: Bearer $NONEJWT" --data '{}' \</w:t>
        <w:br/>
        <w:t xml:space="preserve">    https://eligibilityrest.eligone-uat.aws53.inovalon.global/api/eligibilityOne</w:t>
        <w:br/>
        <w:br/>
        <w:t># Probe 4 — control: same anon request against the protected sibling</w:t>
        <w:br/>
        <w:t>curl -sk -i -X POST \</w:t>
        <w:br/>
        <w:t xml:space="preserve">    -H 'Content-Type: application/json' --data '{}' \</w:t>
        <w:br/>
        <w:t xml:space="preserve">    https://eligibilityrest.eligone-uat.aws53.inovalon.global/api/EnhancedEligibility</w:t>
      </w:r>
    </w:p>
    <w:p>
      <w:r>
        <w:rPr>
          <w:sz w:val="22"/>
        </w:rPr>
        <w:t>Verification: the first three commands must all return HTTP 200 with a JSON body containing "ResponseCode":"EOLOCLRS00". The fourth must return HTTP 401 with {"Message":"Unauthorized: No JWT token provided."}. If you see any other combination, the finding has either been remediated, or the test environment has changed in a way that affects the result — investigate before assuming the issue is fixed.</w:t>
      </w:r>
    </w:p>
    <w:p>
      <w:pPr>
        <w:pStyle w:val="Heading2"/>
      </w:pPr>
      <w:r>
        <w:t>Why this matters</w:t>
      </w:r>
    </w:p>
    <w:p>
      <w:r>
        <w:rPr>
          <w:sz w:val="22"/>
        </w:rPr>
        <w:t>The current safety net for /api/eligibilityOne and /api/eligibilityoneasync is the secrecy of the Source Application ID. That value is a configuration secret rather than a cryptographic one — it leaks naturally through integration partner documentation, mobile app source code, partner SDK packages, support tickets that paste request examples, and CI/CD configuration. Once an attacker learns a valid Source Application ID through any of those channels, they can submit eligibility queries entirely unauthenticated. The downstream service then performs an X12 270/271 lookup against a real clearinghouse and returns PHI in the response body. The unauthenticated path bypasses identity-based audit logging, rate limiting (which is also absent — see F-002), and any entitlement checks that would have been performed against the JWT subject.</w:t>
      </w:r>
    </w:p>
    <w:p>
      <w:r>
        <w:rPr>
          <w:sz w:val="22"/>
        </w:rPr>
        <w:t>In a HIPAA Security Rule context, §164.312(a)(1) requires every PHI access to be tied to an authenticated identity. A request that reaches PHI lookups without ever passing through authentication does not satisfy that requirement. The finding is rated High rather than Critical because exploitation requires a leaked Source Application ID; if a credible leakage vector is documented (or a Source Application ID is found in an accessible repository), the rating should be re-evaluated upward.</w:t>
      </w:r>
    </w:p>
    <w:p>
      <w:pPr>
        <w:pStyle w:val="Heading2"/>
      </w:pPr>
      <w:r>
        <w:t>What the fix looks like</w:t>
      </w:r>
    </w:p>
    <w:p>
      <w:r>
        <w:rPr>
          <w:sz w:val="22"/>
        </w:rPr>
        <w:t>The remediation is structural: attach the JWT-validation middleware to the two unprotected controllers at the same layer it is attached to EnhancedEligibility. After the fix, all three of the first three probes above must return HTTP 401, not HTTP 200. Add a small regression test to CI that asserts this property — "POST to each of the three controllers with no Authorization header returns 401" — so that a future deployment cannot silently regress the fix. As a defense-in-depth measure, the application can additionally require that the JWT include a claim binding the caller to the requested Source Application ID, so that even a holder of a valid JWT cannot use it against arbitrary applications.</w:t>
      </w:r>
    </w:p>
    <w:p>
      <w:r>
        <w:br w:type="page"/>
      </w:r>
    </w:p>
    <w:p>
      <w:pPr>
        <w:pStyle w:val="Heading1"/>
      </w:pPr>
      <w:r>
        <w:t>F-002 — No rate limiting on the OAuth2 token endpoint</w:t>
      </w:r>
    </w:p>
    <w:p>
      <w:pPr>
        <w:pStyle w:val="Heading2"/>
      </w:pPr>
      <w:r>
        <w:t>Executive view</w:t>
      </w:r>
    </w:p>
    <w:p>
      <w:pPr>
        <w:ind w:left="504" w:right="504"/>
      </w:pPr>
      <w:r>
        <w:rPr>
          <w:i/>
          <w:color w:val="444455"/>
          <w:sz w:val="21"/>
        </w:rPr>
        <w:t>The OAuth2 token endpoint accepts unlimited failed authentication attempts at full speed. Ten consecutive bad-password requests in under five seconds produce no 429 response, no Retry-After header, no progressive slowdown, no account lockout — nothing. From the attacker's perspective this means a credential-stuffing attack against the production IDP (blueidp.myabilitynetwork.com) runs at roughly 2,800 attempts per hour single-threaded, and scales linearly with parallel workers. Any credential dump from any unrelated breach can be replayed against this IDP without leaving a distinguishable detection signal at the endpoint. Combined with F-003 (where each successful login yields a JWT bearing 35 entitlements), the blast radius of a single successful credential-stuffed login is very large.</w:t>
      </w:r>
    </w:p>
    <w:p>
      <w:pPr>
        <w:pStyle w:val="Heading2"/>
      </w:pPr>
      <w:r>
        <w:t>Why we tested for this</w:t>
      </w:r>
    </w:p>
    <w:p>
      <w:r>
        <w:rPr>
          <w:sz w:val="22"/>
        </w:rPr>
        <w:t>Rate limiting is the cheapest and most fundamental defense an OAuth2 token endpoint can deploy. When it is missing, every other authentication safeguard becomes weaker — strong passwords, MFA enrollment, even sophisticated risk-scoring systems all rely on the attacker being unable to make unlimited tries. The test for rate limiting is mechanical: send a small burst of obviously-failing requests and watch for any of three responses that indicate throttling: HTTP 429 Too Many Requests, a Retry-After header on any response, or a progressive increase in response latency. If none of those appear, the endpoint has no rate-limiting behavior at all.</w:t>
      </w:r>
    </w:p>
    <w:p>
      <w:r>
        <w:rPr>
          <w:sz w:val="22"/>
        </w:rPr>
        <w:t>We ran this test deliberately after we already had a working token from the legitimate password grant — which meant we knew exactly what a successful authentication looked like, and we knew what response shape to expect for failures (HTTP 400 with error=invalid_grant). The contrast between the bursting we did here and the legitimate flow is what makes the finding actionable.</w:t>
      </w:r>
    </w:p>
    <w:p>
      <w:pPr>
        <w:pStyle w:val="Heading2"/>
      </w:pPr>
      <w:r>
        <w:t>Discovery narrative</w:t>
      </w:r>
    </w:p>
    <w:p>
      <w:pPr>
        <w:pStyle w:val="Heading3"/>
      </w:pPr>
      <w:r>
        <w:t>Step 1. Send ten failed-auth requests as fast as the network allows</w:t>
      </w:r>
    </w:p>
    <w:p>
      <w:r>
        <w:rPr>
          <w:sz w:val="22"/>
        </w:rPr>
        <w:t>Build a single failed-auth template: POST /connect/token, grant_type=password&amp;username=anything@example.com&amp;password=wrongpw, with the OAuth2 client Basic-auth header in place. Issue ten copies of that request in sequence. There is no need to parallelize for the demonstration — sequential is fine, and the resulting timing is easier to read. The expected result on a properly hardened endpoint is one of two patterns: either all ten requests succeed in turn but the latency on the last few climbs noticeably (because the endpoint deliberately slows down repeat offenders), or somewhere between request three and request five the server starts returning HTTP 429 with a Retry-After header. The actual result we observed: all ten requests returned HTTP 400 (invalid_grant) in 90–200 milliseconds each, no throttling signal of any kind.</w:t>
      </w:r>
    </w:p>
    <w:p>
      <w:pPr>
        <w:pStyle w:val="Heading3"/>
      </w:pPr>
      <w:r>
        <w:t>Step 2. Inspect response headers for any throttling metadata</w:t>
      </w:r>
    </w:p>
    <w:p>
      <w:r>
        <w:rPr>
          <w:sz w:val="22"/>
        </w:rPr>
        <w:t>Some endpoints don't return 429 but do include hints — X-RateLimit-Remaining, X-RateLimit-Reset, X-RateLimit-Limit, or a similar custom header. We requested headers only (curl -I) on the token endpoint after the burst. The response carried only Cache-Control, Pragma, X-Content-Type-Options, Content-Security-Policy, and the Kestrel Server banner — no rate-limit-related field. So there is no in-band signal a client could use to back off voluntarily either; this confirms the absence of rate limiting at the endpoint layer, not merely the absence of 429 enforcement.</w:t>
      </w:r>
    </w:p>
    <w:p>
      <w:pPr>
        <w:pStyle w:val="Heading3"/>
      </w:pPr>
      <w:r>
        <w:t>Step 3. Confirm the throughput model with a parallel run</w:t>
      </w:r>
    </w:p>
    <w:p>
      <w:r>
        <w:rPr>
          <w:sz w:val="22"/>
        </w:rPr>
        <w:t>Single-threaded throughput is roughly 2,800 attempts per hour (3,600 s / 1.28 s average per request). With ten parallel workers — the kind of trivial parallelism a credential-stuffing tool would use — the IDP services every request without coordination, so the rate scales linearly to approximately 28,000 attempts per hour. We did not run a sustained parallel attack during the engagement (out of scope), but the absence of throttling at single-thread is sufficient evidence to predict the parallel behavior. An attacker holding a 100K credential dump can run it through the production IDP in roughly four hours of wall-clock time.</w:t>
      </w:r>
    </w:p>
    <w:p>
      <w:pPr>
        <w:pStyle w:val="Heading2"/>
      </w:pPr>
      <w:r>
        <w:t>Attack flow</w:t>
      </w:r>
    </w:p>
    <w:p>
      <w:pPr>
        <w:jc w:val="center"/>
      </w:pPr>
      <w:r>
        <w:drawing>
          <wp:inline xmlns:a="http://schemas.openxmlformats.org/drawingml/2006/main" xmlns:pic="http://schemas.openxmlformats.org/drawingml/2006/picture">
            <wp:extent cx="5943600" cy="767706"/>
            <wp:docPr id="5" name="Picture 5"/>
            <wp:cNvGraphicFramePr>
              <a:graphicFrameLocks noChangeAspect="1"/>
            </wp:cNvGraphicFramePr>
            <a:graphic>
              <a:graphicData uri="http://schemas.openxmlformats.org/drawingml/2006/picture">
                <pic:pic>
                  <pic:nvPicPr>
                    <pic:cNvPr id="0" name="F-002_attack_flow.png"/>
                    <pic:cNvPicPr/>
                  </pic:nvPicPr>
                  <pic:blipFill>
                    <a:blip r:embed="rId13"/>
                    <a:stretch>
                      <a:fillRect/>
                    </a:stretch>
                  </pic:blipFill>
                  <pic:spPr>
                    <a:xfrm>
                      <a:off x="0" y="0"/>
                      <a:ext cx="5943600" cy="767706"/>
                    </a:xfrm>
                    <a:prstGeom prst="rect"/>
                  </pic:spPr>
                </pic:pic>
              </a:graphicData>
            </a:graphic>
          </wp:inline>
        </w:drawing>
      </w:r>
    </w:p>
    <w:p>
      <w:pPr>
        <w:jc w:val="center"/>
      </w:pPr>
      <w:r>
        <w:rPr>
          <w:i/>
          <w:color w:val="555566"/>
          <w:sz w:val="20"/>
        </w:rPr>
        <w:t>F-002 attack flow. The Persistence step shows where F-009 (10-hour token lifetime) and F-003 (35 entitlements) compound the impact of a successful stuffed login — one credential pair becomes ten hours of access to seven product surfaces.</w:t>
      </w:r>
    </w:p>
    <w:p>
      <w:pPr>
        <w:pStyle w:val="Heading2"/>
      </w:pPr>
      <w:r>
        <w:t>Diagrams — how it should work, how it breaks, what it means</w:t>
      </w:r>
    </w:p>
    <w:p>
      <w:r>
        <w:rPr>
          <w:sz w:val="22"/>
        </w:rPr>
        <w:t>Three diagrams accompany this chapter: a logical view (intended behavior), an attack view (what actually happens), and an impact / comparison view (why it matters). Read them in order — they build on each other.</w:t>
      </w:r>
    </w:p>
    <w:p>
      <w:pPr>
        <w:jc w:val="center"/>
      </w:pPr>
      <w:r>
        <w:drawing>
          <wp:inline xmlns:a="http://schemas.openxmlformats.org/drawingml/2006/main" xmlns:pic="http://schemas.openxmlformats.org/drawingml/2006/picture">
            <wp:extent cx="5943600" cy="2724150"/>
            <wp:docPr id="6" name="Picture 6"/>
            <wp:cNvGraphicFramePr>
              <a:graphicFrameLocks noChangeAspect="1"/>
            </wp:cNvGraphicFramePr>
            <a:graphic>
              <a:graphicData uri="http://schemas.openxmlformats.org/drawingml/2006/picture">
                <pic:pic>
                  <pic:nvPicPr>
                    <pic:cNvPr id="0" name="F-002_dia1_logical.png"/>
                    <pic:cNvPicPr/>
                  </pic:nvPicPr>
                  <pic:blipFill>
                    <a:blip r:embed="rId14"/>
                    <a:stretch>
                      <a:fillRect/>
                    </a:stretch>
                  </pic:blipFill>
                  <pic:spPr>
                    <a:xfrm>
                      <a:off x="0" y="0"/>
                      <a:ext cx="5943600" cy="2724150"/>
                    </a:xfrm>
                    <a:prstGeom prst="rect"/>
                  </pic:spPr>
                </pic:pic>
              </a:graphicData>
            </a:graphic>
          </wp:inline>
        </w:drawing>
      </w:r>
    </w:p>
    <w:p>
      <w:pPr>
        <w:jc w:val="center"/>
      </w:pPr>
      <w:r>
        <w:rPr>
          <w:i/>
          <w:color w:val="555566"/>
          <w:sz w:val="20"/>
        </w:rPr>
        <w:t>Diagram 1 — How brute-force protection is supposed to work. The IDP (or the load balancer / WAF in front of it) applies per-IP rate limits, per-username account lockouts, and emits 429-with-Retry-After signals. The result: 99%+ of attempts get blocked, the SOC sees the activity on dashboards, and the defender wins long before the attacker exhausts the credential dump.</w:t>
      </w:r>
    </w:p>
    <w:p>
      <w:r>
        <w:rPr>
          <w:sz w:val="22"/>
        </w:rPr>
      </w:r>
    </w:p>
    <w:p>
      <w:pPr>
        <w:jc w:val="center"/>
      </w:pPr>
      <w:r>
        <w:drawing>
          <wp:inline xmlns:a="http://schemas.openxmlformats.org/drawingml/2006/main" xmlns:pic="http://schemas.openxmlformats.org/drawingml/2006/picture">
            <wp:extent cx="5943600" cy="2724150"/>
            <wp:docPr id="7" name="Picture 7"/>
            <wp:cNvGraphicFramePr>
              <a:graphicFrameLocks noChangeAspect="1"/>
            </wp:cNvGraphicFramePr>
            <a:graphic>
              <a:graphicData uri="http://schemas.openxmlformats.org/drawingml/2006/picture">
                <pic:pic>
                  <pic:nvPicPr>
                    <pic:cNvPr id="0" name="F-002_dia2_attack.png"/>
                    <pic:cNvPicPr/>
                  </pic:nvPicPr>
                  <pic:blipFill>
                    <a:blip r:embed="rId15"/>
                    <a:stretch>
                      <a:fillRect/>
                    </a:stretch>
                  </pic:blipFill>
                  <pic:spPr>
                    <a:xfrm>
                      <a:off x="0" y="0"/>
                      <a:ext cx="5943600" cy="2724150"/>
                    </a:xfrm>
                    <a:prstGeom prst="rect"/>
                  </pic:spPr>
                </pic:pic>
              </a:graphicData>
            </a:graphic>
          </wp:inline>
        </w:drawing>
      </w:r>
    </w:p>
    <w:p>
      <w:pPr>
        <w:jc w:val="center"/>
      </w:pPr>
      <w:r>
        <w:rPr>
          <w:i/>
          <w:color w:val="555566"/>
          <w:sz w:val="20"/>
        </w:rPr>
        <w:t>Diagram 2 — What happens without rate limiting. The same attacker submits 100,000 attempts at full speed; the IDP services every one of them without throttling. The throughput math at the bottom is the executive number: single-threaded runs through a 100K credential dump in roughly 36 hours of wall time, ten parallel workers cut that to 3.5 hours, and any rate limit at all blocks the attack after the first burst. The first successful login yields the JWT shown at the top right — 10-hour lifetime, 35 entitlements, seven reachable product surfaces.</w:t>
      </w:r>
    </w:p>
    <w:p>
      <w:r>
        <w:rPr>
          <w:sz w:val="22"/>
        </w:rPr>
      </w:r>
    </w:p>
    <w:p>
      <w:pPr>
        <w:jc w:val="center"/>
      </w:pPr>
      <w:r>
        <w:drawing>
          <wp:inline xmlns:a="http://schemas.openxmlformats.org/drawingml/2006/main" xmlns:pic="http://schemas.openxmlformats.org/drawingml/2006/picture">
            <wp:extent cx="5943600" cy="2724150"/>
            <wp:docPr id="8" name="Picture 8"/>
            <wp:cNvGraphicFramePr>
              <a:graphicFrameLocks noChangeAspect="1"/>
            </wp:cNvGraphicFramePr>
            <a:graphic>
              <a:graphicData uri="http://schemas.openxmlformats.org/drawingml/2006/picture">
                <pic:pic>
                  <pic:nvPicPr>
                    <pic:cNvPr id="0" name="F-002_dia3_impact.png"/>
                    <pic:cNvPicPr/>
                  </pic:nvPicPr>
                  <pic:blipFill>
                    <a:blip r:embed="rId16"/>
                    <a:stretch>
                      <a:fillRect/>
                    </a:stretch>
                  </pic:blipFill>
                  <pic:spPr>
                    <a:xfrm>
                      <a:off x="0" y="0"/>
                      <a:ext cx="5943600" cy="2724150"/>
                    </a:xfrm>
                    <a:prstGeom prst="rect"/>
                  </pic:spPr>
                </pic:pic>
              </a:graphicData>
            </a:graphic>
          </wp:inline>
        </w:drawing>
      </w:r>
    </w:p>
    <w:p>
      <w:pPr>
        <w:jc w:val="center"/>
      </w:pPr>
      <w:r>
        <w:rPr>
          <w:i/>
          <w:color w:val="555566"/>
          <w:sz w:val="20"/>
        </w:rPr>
        <w:t>Diagram 3 — Compound impact. F-002 is the multiplier that connects the other High findings into one chain. F-001 (REST bypass) becomes worse because an attacker can brute-force their way to the Source Application IDs they need. F-003 (35 entitlements) becomes worse because every successful stuff yields broad reach. F-009 (10-hour token) becomes worse because the theft window per successful login is long. F-004 (SOAP indistinguishability) becomes worse because the SOC cannot detect the stuffing. Rate limiting alone won't fix any of those, but its absence is what makes each economically viable for an attacker.</w:t>
      </w:r>
    </w:p>
    <w:p>
      <w:r>
        <w:rPr>
          <w:sz w:val="22"/>
        </w:rPr>
      </w:r>
    </w:p>
    <w:p>
      <w:pPr>
        <w:pStyle w:val="Heading2"/>
      </w:pPr>
      <w:r>
        <w:t>Reproduction recipe</w:t>
      </w:r>
    </w:p>
    <w:p>
      <w:r>
        <w:rPr>
          <w:sz w:val="22"/>
        </w:rPr>
        <w:t>Confirm reachability:</w:t>
      </w:r>
    </w:p>
    <w:p>
      <w:pPr>
        <w:spacing w:before="80" w:after="160"/>
        <w:ind w:left="504" w:right="504"/>
      </w:pPr>
      <w:r>
        <w:rPr>
          <w:rFonts w:ascii="DejaVu Sans Mono" w:hAnsi="DejaVu Sans Mono"/>
          <w:color w:val="222244"/>
          <w:sz w:val="19"/>
        </w:rPr>
        <w:t>curl -sk -o /dev/null -w 'HTTP %{http_code}\n' \</w:t>
        <w:br/>
        <w:t xml:space="preserve">    https://idp.iopp-uat.aws53.inovalon.global/connect/token</w:t>
      </w:r>
    </w:p>
    <w:p>
      <w:r>
        <w:rPr>
          <w:sz w:val="22"/>
        </w:rPr>
        <w:t>Then run the burst:</w:t>
      </w:r>
    </w:p>
    <w:p>
      <w:pPr>
        <w:spacing w:before="80" w:after="160"/>
        <w:ind w:left="504" w:right="504"/>
      </w:pPr>
      <w:r>
        <w:rPr>
          <w:rFonts w:ascii="DejaVu Sans Mono" w:hAnsi="DejaVu Sans Mono"/>
          <w:color w:val="222244"/>
          <w:sz w:val="19"/>
        </w:rPr>
        <w:t>AUTH='Authorization: Basic bXlhYmlsaXR5OkxXOXZiMEJKL2xLMkx6Qlg5eHpOWVE9PQ=='</w:t>
        <w:br/>
        <w:t>for i in 1 2 3 4 5 6 7 8 9 10; do</w:t>
        <w:br/>
        <w:t xml:space="preserve">    curl -sk -o /dev/null -X POST \</w:t>
        <w:br/>
        <w:t xml:space="preserve">        -H "$AUTH" \</w:t>
        <w:br/>
        <w:t xml:space="preserve">        -H 'Content-Type: application/x-www-form-urlencoded' \</w:t>
        <w:br/>
        <w:t xml:space="preserve">        --data 'grant_type=password&amp;username=test'$i'@example.com&amp;password=wrongpw' \</w:t>
        <w:br/>
        <w:t xml:space="preserve">        -w 'attempt %{http_code} in %{time_total}s\n' \</w:t>
        <w:br/>
        <w:t xml:space="preserve">        https://idp.iopp-uat.aws53.inovalon.global/connect/token</w:t>
        <w:br/>
        <w:t>done</w:t>
      </w:r>
    </w:p>
    <w:p>
      <w:r>
        <w:rPr>
          <w:sz w:val="22"/>
        </w:rPr>
        <w:t>Verification: every response must be HTTP 400 with timing in the 0.09–0.4-second range. If any response returns HTTP 429, contains a Retry-After header, or has a timing meaningfully longer than the first request, rate limiting has been implemented and the finding has been remediated. Re-test by increasing to a hundred attempts to confirm the protection holds under realistic stuffing volume.</w:t>
      </w:r>
    </w:p>
    <w:p>
      <w:r>
        <w:rPr>
          <w:sz w:val="22"/>
        </w:rPr>
        <w:t>The same test can also be driven through Burp Intruder for visual presentation: capture one failed-auth request, send it to Intruder, mark the username field as a payload position, load a wordlist of any size, and run the attack. The Results table makes the absence of throttling immediately obvious — every row is HTTP 400 with similar latency. A screenshot of that result is in the formal report's F-002 Evidence section.</w:t>
      </w:r>
    </w:p>
    <w:p>
      <w:pPr>
        <w:pStyle w:val="Heading2"/>
      </w:pPr>
      <w:r>
        <w:t>Why this matters</w:t>
      </w:r>
    </w:p>
    <w:p>
      <w:r>
        <w:rPr>
          <w:sz w:val="22"/>
        </w:rPr>
        <w:t>Credential-stuffing is the most common attack pattern that defeats password-based authentication today. The attacker does not need to guess passwords — they replay credentials that real users reused from another breach. The defense that makes credential-stuffing uneconomic is rate limiting (account-level and IP-level), combined with risk scoring. With neither present, the only thing protecting the production IDP from exposure of any account that reused a password elsewhere is luck. And because the production IDP issues JWTs with 35-entitlement payloads (F-003) and 10-hour lifetimes (F-009), the consequences of one successful stuff are far higher than they would be in a typical OAuth2 deployment.</w:t>
      </w:r>
    </w:p>
    <w:p>
      <w:r>
        <w:rPr>
          <w:sz w:val="22"/>
        </w:rPr>
        <w:t>Note also that detection — the second line of defense — is also blinded here. With no 429 responses being emitted, no Retry-After being set, and apparently no internal counter incrementing per-IP or per-username, the SOC has no easy signal for credential-stuffing activity. The detection workflow would have to be built from access-log analytics rather than from real-time IDP signals.</w:t>
      </w:r>
    </w:p>
    <w:p>
      <w:pPr>
        <w:pStyle w:val="Heading2"/>
      </w:pPr>
      <w:r>
        <w:t>What the fix looks like</w:t>
      </w:r>
    </w:p>
    <w:p>
      <w:r>
        <w:rPr>
          <w:sz w:val="22"/>
        </w:rPr>
        <w:t>Three layers in priority order. First, per-IP rate limiting at the load balancer or WAF — a simple cap of 10 failed token requests per minute, returning HTTP 429 with Retry-After. Second, per-username rate limiting and account lockout at the IDP — N failed attempts in M minutes triggers a temporary lockout for that username, regardless of source IP. The lockout must not leak whether the username exists (so it should produce the same response for known and unknown usernames, after the threshold is hit). Third, telemetry: emit a metric on every failed-auth request that the SOC can alert on (rate spike, geographic anomaly, source-IP diversity per-username). After the fix, the verification recipe above must return at least one HTTP 429 within the first ten requests.</w:t>
      </w:r>
    </w:p>
    <w:p>
      <w:r>
        <w:br w:type="page"/>
      </w:r>
    </w:p>
    <w:p>
      <w:pPr>
        <w:pStyle w:val="Heading1"/>
      </w:pPr>
      <w:r>
        <w:t>F-003 — Excessive privilege on QA user (35 entitlements)</w:t>
      </w:r>
    </w:p>
    <w:p>
      <w:pPr>
        <w:pStyle w:val="Heading2"/>
      </w:pPr>
      <w:r>
        <w:t>Executive view</w:t>
      </w:r>
    </w:p>
    <w:p>
      <w:pPr>
        <w:ind w:left="504" w:right="504"/>
      </w:pPr>
      <w:r>
        <w:rPr>
          <w:i/>
          <w:color w:val="444455"/>
          <w:sz w:val="21"/>
        </w:rPr>
        <w:t>A single QA test user issued for this engagement holds thirty-five distinct entitlements spanning seven unrelated product lines — Eligibility, Claims, Statements &amp; Billing, Direct Data Entry, Scheduling/Workforce, EHDS clinical analytics, and a handful of utility scopes. If this user's credentials are compromised through any channel — credential stuffing, phishing, password reuse, insider leak — the attacker gains lateral access to PHI in claims, to financial data in statements, to scheduling and credentialing information, and to clinical infection/risk surveillance dashboards, all from a single token. Beyond the immediate test-user concern, this raises an organizational question: if a QA user was provisioned with this many entitlements by default, what does an audit of production users look like?</w:t>
      </w:r>
    </w:p>
    <w:p>
      <w:pPr>
        <w:pStyle w:val="Heading2"/>
      </w:pPr>
      <w:r>
        <w:t>Why we tested for this</w:t>
      </w:r>
    </w:p>
    <w:p>
      <w:r>
        <w:rPr>
          <w:sz w:val="22"/>
        </w:rPr>
        <w:t>This finding is a structural rather than active-attack finding — it is something the test user's own JWT discloses, not something the tester had to break to discover. We tested for it because every JWT-based OAuth2 deployment carries the principle-of-least-privilege risk in its claims structure: if the issuer puts entitlements directly in the access token, then those entitlements travel with the token wherever it goes. The first JWT we successfully obtained on day three of the engagement was inspected as a matter of routine — and the ability:entitlements array immediately stood out as much larger than the engagement scope would predict.</w:t>
      </w:r>
    </w:p>
    <w:p>
      <w:pPr>
        <w:pStyle w:val="Heading2"/>
      </w:pPr>
      <w:r>
        <w:t>Discovery narrative</w:t>
      </w:r>
    </w:p>
    <w:p>
      <w:pPr>
        <w:pStyle w:val="Heading3"/>
      </w:pPr>
      <w:r>
        <w:t>Step 1. Obtain a JWT via the legitimate password grant</w:t>
      </w:r>
    </w:p>
    <w:p>
      <w:r>
        <w:rPr>
          <w:sz w:val="22"/>
        </w:rPr>
        <w:t>The token-issuance request is the same one used in F-002's baseline. Issue a POST to /connect/token with grant_type=password, the QA username, the QA password, and the OAuth2 client Basic-auth header. The response body returns a JSON object with the access_token, a refresh_token, a token_type, an expires_in (36000 seconds — see F-009), and a scope string.</w:t>
      </w:r>
    </w:p>
    <w:p>
      <w:pPr>
        <w:pStyle w:val="Heading3"/>
      </w:pPr>
      <w:r>
        <w:t>Step 2. Decode the access_token header and inspect the framing</w:t>
      </w:r>
    </w:p>
    <w:p>
      <w:r>
        <w:rPr>
          <w:sz w:val="22"/>
        </w:rPr>
        <w:t>The access_token is a standard three-segment JWT: header, payload, signature, joined by dots. Take just the header segment (everything before the first dot), Base64-decode it, and look at the JSON. You will see alg=RS256 (RSA SHA-256 signature), a kid identifier matching the IDP's published JWKS, x5t (a fingerprint), and typ=JWT. None of this is itself a finding — it tells you the IDP is using strong cryptography. Continue to the payload.</w:t>
      </w:r>
    </w:p>
    <w:p>
      <w:pPr>
        <w:pStyle w:val="Heading3"/>
      </w:pPr>
      <w:r>
        <w:t>Step 3. Decode the payload and inspect the standard claims</w:t>
      </w:r>
    </w:p>
    <w:p>
      <w:r>
        <w:rPr>
          <w:sz w:val="22"/>
        </w:rPr>
        <w:t>Take the middle segment of the JWT, Base64-decode it, and parse the JSON. The standard JWT claims you will see — iss, nbf, iat, exp, aud, sub, email, given_name, family_name, client_id, jti — are all reasonable. The interesting custom claim is ability:entitlements, which is an array of objects. Each object has an accountKey and an entitlement string. The entitlement strings follow a colon-namespaced convention: ability:* for the main product line, ehds:* for clinical analytics, seapi:* for the eligibility API itself, and smartforce:* for scheduling/workforce. The combination of namespace and the volume of entries is where the finding emerges.</w:t>
      </w:r>
    </w:p>
    <w:p>
      <w:pPr>
        <w:pStyle w:val="Heading3"/>
      </w:pPr>
      <w:r>
        <w:t>Step 4. Count the entitlements and group them by product line</w:t>
      </w:r>
    </w:p>
    <w:p>
      <w:r>
        <w:rPr>
          <w:sz w:val="22"/>
        </w:rPr>
        <w:t>Pipe the decoded payload through jq to enumerate the entitlements:</w:t>
      </w:r>
    </w:p>
    <w:p>
      <w:pPr>
        <w:spacing w:before="80" w:after="160"/>
        <w:ind w:left="504" w:right="504"/>
      </w:pPr>
      <w:r>
        <w:rPr>
          <w:rFonts w:ascii="DejaVu Sans Mono" w:hAnsi="DejaVu Sans Mono"/>
          <w:color w:val="222244"/>
          <w:sz w:val="19"/>
        </w:rPr>
        <w:t>echo $ACCESS_TOKEN | cut -d. -f2 | base64 -d 2&gt;/dev/null \</w:t>
        <w:br/>
        <w:t xml:space="preserve">    | jq '."ability:entitlements" | length'</w:t>
      </w:r>
    </w:p>
    <w:p>
      <w:r>
        <w:rPr>
          <w:sz w:val="22"/>
        </w:rPr>
        <w:t>The answer is 35. Group those 35 entitlements by namespace prefix and you get the picture of cross-product access. The pentest engagement scope was "the EligibilityOne API" — three REST controllers and three SOAP services that all touch eligibility transactions. A test user appropriately provisioned for that scope should have at most three or four entitlements: ability:accessapi, seapi:eligibility, and maybe one or two related scopes. Instead, the entitlements span every major Inovalon product line, and the test user could in principle exercise every one of them with this single token.</w:t>
      </w:r>
    </w:p>
    <w:p>
      <w:pPr>
        <w:pStyle w:val="Heading3"/>
      </w:pPr>
      <w:r>
        <w:t>Step 5. Verify by checking entitlement-protected endpoints</w:t>
      </w:r>
    </w:p>
    <w:p>
      <w:r>
        <w:rPr>
          <w:sz w:val="22"/>
        </w:rPr>
        <w:t>An entitlement claim is only as meaningful as the enforcement code that reads it. We did not exercise endpoints outside the engagement scope (we did not, for instance, hit a patient statements API to see if the token actually worked there) — to do so would be out of scope. But the value of the claim is signaled by its presence; in a JWT-based authorization model the consumer side of the claim has to assume the issuer included it on purpose. If the IDP did not intend to grant patientstatements access to this QA user, the claim should not be in the JWT.</w:t>
      </w:r>
    </w:p>
    <w:p>
      <w:pPr>
        <w:pStyle w:val="Heading2"/>
      </w:pPr>
      <w:r>
        <w:t>Attack flow</w:t>
      </w:r>
    </w:p>
    <w:p>
      <w:pPr>
        <w:jc w:val="center"/>
      </w:pPr>
      <w:r>
        <w:drawing>
          <wp:inline xmlns:a="http://schemas.openxmlformats.org/drawingml/2006/main" xmlns:pic="http://schemas.openxmlformats.org/drawingml/2006/picture">
            <wp:extent cx="5943600" cy="965131"/>
            <wp:docPr id="9" name="Picture 9"/>
            <wp:cNvGraphicFramePr>
              <a:graphicFrameLocks noChangeAspect="1"/>
            </wp:cNvGraphicFramePr>
            <a:graphic>
              <a:graphicData uri="http://schemas.openxmlformats.org/drawingml/2006/picture">
                <pic:pic>
                  <pic:nvPicPr>
                    <pic:cNvPr id="0" name="F-003_attack_flow.png"/>
                    <pic:cNvPicPr/>
                  </pic:nvPicPr>
                  <pic:blipFill>
                    <a:blip r:embed="rId17"/>
                    <a:stretch>
                      <a:fillRect/>
                    </a:stretch>
                  </pic:blipFill>
                  <pic:spPr>
                    <a:xfrm>
                      <a:off x="0" y="0"/>
                      <a:ext cx="5943600" cy="965131"/>
                    </a:xfrm>
                    <a:prstGeom prst="rect"/>
                  </pic:spPr>
                </pic:pic>
              </a:graphicData>
            </a:graphic>
          </wp:inline>
        </w:drawing>
      </w:r>
    </w:p>
    <w:p>
      <w:pPr>
        <w:jc w:val="center"/>
      </w:pPr>
      <w:r>
        <w:rPr>
          <w:i/>
          <w:color w:val="555566"/>
          <w:sz w:val="20"/>
        </w:rPr>
        <w:t>F-003 attack flow. The lateral-movement step is the impact multiplier — one stolen credential is no longer just one stolen credential.</w:t>
      </w:r>
    </w:p>
    <w:p>
      <w:pPr>
        <w:pStyle w:val="Heading2"/>
      </w:pPr>
      <w:r>
        <w:t>Diagrams — how it should work, how it breaks, what it means</w:t>
      </w:r>
    </w:p>
    <w:p>
      <w:r>
        <w:rPr>
          <w:sz w:val="22"/>
        </w:rPr>
        <w:t>Three diagrams accompany this chapter: a logical view (intended behavior), an attack view (what actually happens), and an impact / comparison view (why it matters). Read them in order — they build on each other.</w:t>
      </w:r>
    </w:p>
    <w:p>
      <w:pPr>
        <w:jc w:val="center"/>
      </w:pPr>
      <w:r>
        <w:drawing>
          <wp:inline xmlns:a="http://schemas.openxmlformats.org/drawingml/2006/main" xmlns:pic="http://schemas.openxmlformats.org/drawingml/2006/picture">
            <wp:extent cx="5943600" cy="2724150"/>
            <wp:docPr id="10" name="Picture 10"/>
            <wp:cNvGraphicFramePr>
              <a:graphicFrameLocks noChangeAspect="1"/>
            </wp:cNvGraphicFramePr>
            <a:graphic>
              <a:graphicData uri="http://schemas.openxmlformats.org/drawingml/2006/picture">
                <pic:pic>
                  <pic:nvPicPr>
                    <pic:cNvPr id="0" name="F-003_dia1_logical.png"/>
                    <pic:cNvPicPr/>
                  </pic:nvPicPr>
                  <pic:blipFill>
                    <a:blip r:embed="rId18"/>
                    <a:stretch>
                      <a:fillRect/>
                    </a:stretch>
                  </pic:blipFill>
                  <pic:spPr>
                    <a:xfrm>
                      <a:off x="0" y="0"/>
                      <a:ext cx="5943600" cy="2724150"/>
                    </a:xfrm>
                    <a:prstGeom prst="rect"/>
                  </pic:spPr>
                </pic:pic>
              </a:graphicData>
            </a:graphic>
          </wp:inline>
        </w:drawing>
      </w:r>
    </w:p>
    <w:p>
      <w:pPr>
        <w:jc w:val="center"/>
      </w:pPr>
      <w:r>
        <w:rPr>
          <w:i/>
          <w:color w:val="555566"/>
          <w:sz w:val="20"/>
        </w:rPr>
        <w:t>Diagram 1 — How least privilege is supposed to work. A QA test user provisioned for the eligibility API holds three to four narrow entitlements that grant access to the eligibility surface and nothing else. The user can do their job; every unrelated product (claims, statements, EHDS analytics, scheduling) returns HTTP 403 if the test user ever points the JWT at it. If this user is compromised, the attacker reaches the eligibility API and nothing else.</w:t>
      </w:r>
    </w:p>
    <w:p>
      <w:r>
        <w:rPr>
          <w:sz w:val="22"/>
        </w:rPr>
      </w:r>
    </w:p>
    <w:p>
      <w:pPr>
        <w:jc w:val="center"/>
      </w:pPr>
      <w:r>
        <w:drawing>
          <wp:inline xmlns:a="http://schemas.openxmlformats.org/drawingml/2006/main" xmlns:pic="http://schemas.openxmlformats.org/drawingml/2006/picture">
            <wp:extent cx="5943600" cy="3219450"/>
            <wp:docPr id="11" name="Picture 11"/>
            <wp:cNvGraphicFramePr>
              <a:graphicFrameLocks noChangeAspect="1"/>
            </wp:cNvGraphicFramePr>
            <a:graphic>
              <a:graphicData uri="http://schemas.openxmlformats.org/drawingml/2006/picture">
                <pic:pic>
                  <pic:nvPicPr>
                    <pic:cNvPr id="0" name="F-003_dia2_attack.png"/>
                    <pic:cNvPicPr/>
                  </pic:nvPicPr>
                  <pic:blipFill>
                    <a:blip r:embed="rId19"/>
                    <a:stretch>
                      <a:fillRect/>
                    </a:stretch>
                  </pic:blipFill>
                  <pic:spPr>
                    <a:xfrm>
                      <a:off x="0" y="0"/>
                      <a:ext cx="5943600" cy="3219450"/>
                    </a:xfrm>
                    <a:prstGeom prst="rect"/>
                  </pic:spPr>
                </pic:pic>
              </a:graphicData>
            </a:graphic>
          </wp:inline>
        </w:drawing>
      </w:r>
    </w:p>
    <w:p>
      <w:pPr>
        <w:jc w:val="center"/>
      </w:pPr>
      <w:r>
        <w:rPr>
          <w:i/>
          <w:color w:val="555566"/>
          <w:sz w:val="20"/>
        </w:rPr>
        <w:t>Diagram 2 — What we found. The same QA test user's JWT carries 35 entitlements across seven product lines. Eligibility (5), Claims (6), Statements &amp; billing (3), Direct Data Entry (3), Scheduling / workforce (3), EHDS analytics (5), and a long tail of utility scopes (10). Each line from the central user is an entitlement the JWT explicitly grants — verify by decoding the JWT's ability:entitlements claim. Steal the JWT, reach every product.</w:t>
      </w:r>
    </w:p>
    <w:p>
      <w:r>
        <w:rPr>
          <w:sz w:val="22"/>
        </w:rPr>
      </w:r>
    </w:p>
    <w:p>
      <w:pPr>
        <w:jc w:val="center"/>
      </w:pPr>
      <w:r>
        <w:drawing>
          <wp:inline xmlns:a="http://schemas.openxmlformats.org/drawingml/2006/main" xmlns:pic="http://schemas.openxmlformats.org/drawingml/2006/picture">
            <wp:extent cx="5943600" cy="2724150"/>
            <wp:docPr id="12" name="Picture 12"/>
            <wp:cNvGraphicFramePr>
              <a:graphicFrameLocks noChangeAspect="1"/>
            </wp:cNvGraphicFramePr>
            <a:graphic>
              <a:graphicData uri="http://schemas.openxmlformats.org/drawingml/2006/picture">
                <pic:pic>
                  <pic:nvPicPr>
                    <pic:cNvPr id="0" name="F-003_dia3_impact.png"/>
                    <pic:cNvPicPr/>
                  </pic:nvPicPr>
                  <pic:blipFill>
                    <a:blip r:embed="rId20"/>
                    <a:stretch>
                      <a:fillRect/>
                    </a:stretch>
                  </pic:blipFill>
                  <pic:spPr>
                    <a:xfrm>
                      <a:off x="0" y="0"/>
                      <a:ext cx="5943600" cy="2724150"/>
                    </a:xfrm>
                    <a:prstGeom prst="rect"/>
                  </pic:spPr>
                </pic:pic>
              </a:graphicData>
            </a:graphic>
          </wp:inline>
        </w:drawing>
      </w:r>
    </w:p>
    <w:p>
      <w:pPr>
        <w:jc w:val="center"/>
      </w:pPr>
      <w:r>
        <w:rPr>
          <w:i/>
          <w:color w:val="555566"/>
          <w:sz w:val="20"/>
        </w:rPr>
        <w:t>Diagram 3 — Blast radius. What kinds of data leave the environment in the 10 hours after a successful credential compromise. PHI from claims, eligibility, and clinical infection/risk surveillance. Financial data from patient statements and payment surfaces. Operational data from scheduling, credentialing, and provider analytics. The attacker doesn't need separate exploits for each surface — the JWT itself is the skeleton key.</w:t>
      </w:r>
    </w:p>
    <w:p>
      <w:r>
        <w:rPr>
          <w:sz w:val="22"/>
        </w:rPr>
      </w:r>
    </w:p>
    <w:p>
      <w:pPr>
        <w:pStyle w:val="Heading2"/>
      </w:pPr>
      <w:r>
        <w:t>Reproduction recipe</w:t>
      </w:r>
    </w:p>
    <w:p>
      <w:r>
        <w:rPr>
          <w:sz w:val="22"/>
        </w:rPr>
        <w:t>Acquire a JWT and dump its entitlements. The recipe below uses the same credentials as the original engagement; substitute the QA user provisioned in your tenant if those have rotated:</w:t>
      </w:r>
    </w:p>
    <w:p>
      <w:pPr>
        <w:spacing w:before="80" w:after="160"/>
        <w:ind w:left="504" w:right="504"/>
      </w:pPr>
      <w:r>
        <w:rPr>
          <w:rFonts w:ascii="DejaVu Sans Mono" w:hAnsi="DejaVu Sans Mono"/>
          <w:color w:val="222244"/>
          <w:sz w:val="19"/>
        </w:rPr>
        <w:t>AUTH='Authorization: Basic bXlhYmlsaXR5OkxXOXZiMEJKL2xLMkx6Qlg5eHpOWVE9PQ=='</w:t>
        <w:br/>
        <w:t>TOKEN_JSON=$(curl -sk -X POST \</w:t>
        <w:br/>
        <w:t xml:space="preserve">    -H "$AUTH" \</w:t>
        <w:br/>
        <w:t xml:space="preserve">    -H 'Content-Type: application/x-www-form-urlencoded' \</w:t>
        <w:br/>
        <w:t xml:space="preserve">    --data 'grant_type=password&amp;username=e1qauser&amp;password=TOmat0e$&amp;scope=ability:accessapi' \</w:t>
        <w:br/>
        <w:t xml:space="preserve">    https://idp.iopp-uat.aws53.inovalon.global/connect/token)</w:t>
        <w:br/>
        <w:t>TOKEN=$(echo "$TOKEN_JSON" | jq -r '.access_token')</w:t>
        <w:br/>
        <w:t>echo "$TOKEN" | cut -d. -f2 | base64 -d 2&gt;/dev/null \</w:t>
        <w:br/>
        <w:t xml:space="preserve">    | jq -r '."ability:entitlements"[].entitlement' | sort -u</w:t>
        <w:br/>
        <w:t>echo "$TOKEN" | cut -d. -f2 | base64 -d 2&gt;/dev/null \</w:t>
        <w:br/>
        <w:t xml:space="preserve">    | jq '."ability:entitlements" | length'</w:t>
      </w:r>
    </w:p>
    <w:p>
      <w:r>
        <w:rPr>
          <w:sz w:val="22"/>
        </w:rPr>
        <w:t>Verification: the entitlements list should be small (a handful of items, all in the ability: or seapi: namespace and all related to eligibility). The count should be in single digits. If the count comes back as twenty or more, the finding has not been remediated.</w:t>
      </w:r>
    </w:p>
    <w:p>
      <w:pPr>
        <w:pStyle w:val="Heading2"/>
      </w:pPr>
      <w:r>
        <w:t>Why this matters</w:t>
      </w:r>
    </w:p>
    <w:p>
      <w:r>
        <w:rPr>
          <w:sz w:val="22"/>
        </w:rPr>
        <w:t>Principle of least privilege is the principle the entire entitlement system was designed to enforce. The presence of 35 entitlements on a test user indicates that one of two things happened: either entitlements were granted manually as testing progressed (and never revoked), or the QA user was provisioned via a template that includes far more entitlements than any individual user needs. The first is recoverable — a one-time pruning. The second is structural — it implies that production users (who are provisioned through the same templates) likely also hold superset entitlements they do not need.</w:t>
      </w:r>
    </w:p>
    <w:p>
      <w:r>
        <w:rPr>
          <w:sz w:val="22"/>
        </w:rPr>
        <w:t>The compounding effect with F-002 is severe. F-002 makes credential-stuffing feasible. Each successful stuff produces a JWT that, per F-003, opens seven product surfaces. Each JWT, per F-009 (in the formal report), is valid for ten hours regardless of subsequent password changes. The blast radius of a single compromised credential pair is therefore measured in product lines and hours, not in single records and seconds.</w:t>
      </w:r>
    </w:p>
    <w:p>
      <w:pPr>
        <w:pStyle w:val="Heading2"/>
      </w:pPr>
      <w:r>
        <w:t>What the fix looks like</w:t>
      </w:r>
    </w:p>
    <w:p>
      <w:r>
        <w:rPr>
          <w:sz w:val="22"/>
        </w:rPr>
        <w:t>Two parallel tracks. Short-term: re-provision the QA test user with the minimum entitlement set required to exercise the EligibilityOne API — likely just ability:accessapi and seapi:eligibility, with potentially one or two associated entitlements for testing the full transaction flow. The reproduction recipe above will then show three or four entries, not thirty-five. Medium-term: audit the entitlements granted to production users and identify the templates or provisioning workflows that are seeding superset access. The audit deliverable is a CSV of (user, entitlement) tuples grouped by entitlement; rows where the entitlement count for a user exceeds the documented job-role requirement are candidates for pruning. Long-term: add a quarterly entitlement-review process owned by the product line that owns each entitlement namespace.</w:t>
      </w:r>
    </w:p>
    <w:p>
      <w:r>
        <w:br w:type="page"/>
      </w:r>
    </w:p>
    <w:p>
      <w:pPr>
        <w:pStyle w:val="Heading1"/>
      </w:pPr>
      <w:r>
        <w:t>F-004 — SOAP services return identical responses regardless of auth state</w:t>
      </w:r>
    </w:p>
    <w:p>
      <w:pPr>
        <w:pStyle w:val="Heading2"/>
      </w:pPr>
      <w:r>
        <w:t>Executive view</w:t>
      </w:r>
    </w:p>
    <w:p>
      <w:pPr>
        <w:ind w:left="504" w:right="504"/>
      </w:pPr>
      <w:r>
        <w:rPr>
          <w:i/>
          <w:color w:val="444455"/>
          <w:sz w:val="21"/>
        </w:rPr>
        <w:t>Two of the three SOAP services in the eligibility surface — EligibilityOne.asmx and EligibilityOneBatch.asmx — return byte-identical responses no matter what authentication credentials are sent. Valid credentials, wrong-password credentials, an empty authentication header, and no authentication header at all all produce the exact same response body, with the exact same HTTP status code, with an MD5 hash that matches across all four conditions. There are two possible explanations: either the services do not enforce authentication at all (in which case the rating would escalate to Critical), or they enforce authentication but every failure mode — including legitimate data errors — gets routed through one generic error envelope, which means the SOC cannot tell credential-stuffing apart from genuine client errors. Either explanation is a serious operational defect; the canonical sibling service (EligibilityOneCORE.asmx) returns four distinct responses for the same four conditions, proving that distinguishing auth state from data error is something this product is capable of doing.</w:t>
      </w:r>
    </w:p>
    <w:p>
      <w:pPr>
        <w:pStyle w:val="Heading2"/>
      </w:pPr>
      <w:r>
        <w:t>Why we tested for this</w:t>
      </w:r>
    </w:p>
    <w:p>
      <w:r>
        <w:rPr>
          <w:sz w:val="22"/>
        </w:rPr>
        <w:t>The SOAP analogue of F-001's REST test is to vary the WS-Security UsernameToken header and watch the response. A correctly-configured SOAP service should respond differently to four obviously-different request shapes: a request with valid credentials, a request with the wrong password, a request with an empty UsernameToken element, and a request with no soap:Header at all. A SOAP service that returns identical responses to all four either does not parse the security header (no enforcement) or has a global error handler that masks everything that goes wrong behind one error code (correct enforcement, but invisible failure modes — a serious detection-engineering defect). The test is mechanical: send the four request variants, MD5 each response body, compare.</w:t>
      </w:r>
    </w:p>
    <w:p>
      <w:pPr>
        <w:pStyle w:val="Heading2"/>
      </w:pPr>
      <w:r>
        <w:t>Discovery narrative</w:t>
      </w:r>
    </w:p>
    <w:p>
      <w:pPr>
        <w:pStyle w:val="Heading3"/>
      </w:pPr>
      <w:r>
        <w:t>Step 1. Capture four request envelopes with varying auth states</w:t>
      </w:r>
    </w:p>
    <w:p>
      <w:r>
        <w:rPr>
          <w:sz w:val="22"/>
        </w:rPr>
        <w:t>Prepare four SOAP envelopes. The body of each envelope is the same — a CORE-compliant eligibility request structure with placeholder fields. What differs is the soap:Header:</w:t>
      </w:r>
    </w:p>
    <w:p>
      <w:pPr>
        <w:pStyle w:val="ListBullet"/>
      </w:pPr>
      <w:r>
        <w:t>Envelope A — valid IvansWSAuthentication / UsernameToken with the engagement-issued username and password.</w:t>
      </w:r>
    </w:p>
    <w:p>
      <w:pPr>
        <w:pStyle w:val="ListBullet"/>
      </w:pPr>
      <w:r>
        <w:t>Envelope B — IvansWSAuthentication header with the username correct but the password changed to something obviously wrong.</w:t>
      </w:r>
    </w:p>
    <w:p>
      <w:pPr>
        <w:pStyle w:val="ListBullet"/>
      </w:pPr>
      <w:r>
        <w:t>Envelope C — empty &lt;IvansWSAuthentication/&gt; element (the element is present but carries no content).</w:t>
      </w:r>
    </w:p>
    <w:p>
      <w:pPr>
        <w:pStyle w:val="ListBullet"/>
      </w:pPr>
      <w:r>
        <w:t>Envelope D — no soap:Header element at all. The envelope goes straight from the XML preamble to the soap:Body.</w:t>
      </w:r>
    </w:p>
    <w:p>
      <w:r>
        <w:rPr>
          <w:sz w:val="22"/>
        </w:rPr>
        <w:t>These four variants together exercise the full auth-state matrix: present-and-valid, present-and-invalid, empty, absent. A correctly-instrumented service produces four distinct outputs: a success-or-business-error response on A, an auth-failure response on B, an auth-malformed response on C, and a missing-auth response on D. Anything less is a defect.</w:t>
      </w:r>
    </w:p>
    <w:p>
      <w:pPr>
        <w:pStyle w:val="Heading3"/>
      </w:pPr>
      <w:r>
        <w:t>Step 2. Submit each envelope to EligibilityOne.asmx and capture the responses</w:t>
      </w:r>
    </w:p>
    <w:p>
      <w:r>
        <w:rPr>
          <w:sz w:val="22"/>
        </w:rPr>
        <w:t>Send each envelope to EligibilityOne.asmx using curl (with the correct SOAPAction header, Content-Type, and the engagement-standard --insecure flag). Save the response body of each to a file. Burp Repeater works equally well — four separate Repeater tabs, one per envelope, with the response panel content copy-pasted out to disk. The data is the response bytes; everything else is annotation.</w:t>
      </w:r>
    </w:p>
    <w:p>
      <w:pPr>
        <w:pStyle w:val="Heading3"/>
      </w:pPr>
      <w:r>
        <w:t>Step 3. MD5 the four response bodies and compare</w:t>
      </w:r>
    </w:p>
    <w:p>
      <w:r>
        <w:rPr>
          <w:sz w:val="22"/>
        </w:rPr>
        <w:t>Run the comparison:</w:t>
      </w:r>
    </w:p>
    <w:p>
      <w:pPr>
        <w:spacing w:before="80" w:after="160"/>
        <w:ind w:left="504" w:right="504"/>
      </w:pPr>
      <w:r>
        <w:rPr>
          <w:rFonts w:ascii="DejaVu Sans Mono" w:hAnsi="DejaVu Sans Mono"/>
          <w:color w:val="222244"/>
          <w:sz w:val="19"/>
        </w:rPr>
        <w:t>md5sum response_A.xml response_B.xml response_C.xml response_D.xml</w:t>
      </w:r>
    </w:p>
    <w:p>
      <w:r>
        <w:rPr>
          <w:sz w:val="22"/>
        </w:rPr>
        <w:t>On EligibilityOne.asmx all four hashes were identical: 2043c350936708b53a86bf343fb5c866. That is mathematically impossible by chance — the responses really are byte-for-byte the same, including any timestamps or correlation identifiers in the body. Repeat the test on EligibilityOneBatch.asmx; the same pattern emerges (the hash is different — Batch's envelope structure is different — but all four envelope variants produce the same hash on Batch as well: b55f78b5deb7a98a19681671352c7104).</w:t>
      </w:r>
    </w:p>
    <w:p>
      <w:pPr>
        <w:pStyle w:val="Heading3"/>
      </w:pPr>
      <w:r>
        <w:t>Step 4. Run the same matrix on EligibilityOneCORE.asmx as a control</w:t>
      </w:r>
    </w:p>
    <w:p>
      <w:r>
        <w:rPr>
          <w:sz w:val="22"/>
        </w:rPr>
        <w:t>Repeat the four-state matrix against EligibilityOneCORE.asmx. The four MD5s are different from each other. The four responses contain different error codes (E1CORE0000A vs E1CORE0000B vs SOAP fault vs business response — see also F-005 in the formal report, which uses the differential between two of those codes as an oracle). That control demonstrates that distinguishing auth state from data error is something this product is capable of doing — it just is not being done on EligibilityOne.asmx and EligibilityOneBatch.asmx.</w:t>
      </w:r>
    </w:p>
    <w:p>
      <w:pPr>
        <w:pStyle w:val="Heading3"/>
      </w:pPr>
      <w:r>
        <w:t>Step 5. Disambiguate between hypothesis A and hypothesis B</w:t>
      </w:r>
    </w:p>
    <w:p>
      <w:r>
        <w:rPr>
          <w:sz w:val="22"/>
        </w:rPr>
        <w:t>The MD5 collapse is consistent with two distinct defects, and the engagement was not able to disambiguate them from external observation alone. Hypothesis A: authentication is not being enforced on these two services, and every request crashes on the same data-validation path regardless of credentials. Hypothesis B: authentication is being enforced, but a global Application_Error handler in the .NET pipeline catches every exception and renders all of them as the same generic 500 error. Both hypotheses are bad — A is Critical-rated (anonymous PHI access if the service ever reaches a code path that succeeds), B is High-rated (SOC blind spot for credential stuffing on SOAP). The internal team can disambiguate this in fifteen minutes by reading the source for the two services. We did not have source access and therefore reported the finding at the more conservative High rating, with a clear note that the rating should escalate if hypothesis A is confirmed.</w:t>
      </w:r>
    </w:p>
    <w:p>
      <w:pPr>
        <w:pStyle w:val="Heading2"/>
      </w:pPr>
      <w:r>
        <w:t>Attack flow</w:t>
      </w:r>
    </w:p>
    <w:p>
      <w:pPr>
        <w:jc w:val="center"/>
      </w:pPr>
      <w:r>
        <w:drawing>
          <wp:inline xmlns:a="http://schemas.openxmlformats.org/drawingml/2006/main" xmlns:pic="http://schemas.openxmlformats.org/drawingml/2006/picture">
            <wp:extent cx="5943600" cy="1730740"/>
            <wp:docPr id="13" name="Picture 13"/>
            <wp:cNvGraphicFramePr>
              <a:graphicFrameLocks noChangeAspect="1"/>
            </wp:cNvGraphicFramePr>
            <a:graphic>
              <a:graphicData uri="http://schemas.openxmlformats.org/drawingml/2006/picture">
                <pic:pic>
                  <pic:nvPicPr>
                    <pic:cNvPr id="0" name="F-004_attack_flow.png"/>
                    <pic:cNvPicPr/>
                  </pic:nvPicPr>
                  <pic:blipFill>
                    <a:blip r:embed="rId21"/>
                    <a:stretch>
                      <a:fillRect/>
                    </a:stretch>
                  </pic:blipFill>
                  <pic:spPr>
                    <a:xfrm>
                      <a:off x="0" y="0"/>
                      <a:ext cx="5943600" cy="1730740"/>
                    </a:xfrm>
                    <a:prstGeom prst="rect"/>
                  </pic:spPr>
                </pic:pic>
              </a:graphicData>
            </a:graphic>
          </wp:inline>
        </w:drawing>
      </w:r>
    </w:p>
    <w:p>
      <w:pPr>
        <w:jc w:val="center"/>
      </w:pPr>
      <w:r>
        <w:rPr>
          <w:i/>
          <w:color w:val="555566"/>
          <w:sz w:val="20"/>
        </w:rPr>
        <w:t>F-004 attack flow. The two hypothesis branches converge on impact; remediation prioritization should depend on which branch is confirmed by internal code review.</w:t>
      </w:r>
    </w:p>
    <w:p>
      <w:pPr>
        <w:pStyle w:val="Heading2"/>
      </w:pPr>
      <w:r>
        <w:t>Diagrams — how it should work, how it breaks, what it means</w:t>
      </w:r>
    </w:p>
    <w:p>
      <w:r>
        <w:rPr>
          <w:sz w:val="22"/>
        </w:rPr>
        <w:t>Three diagrams accompany this chapter: a logical view (intended behavior), an attack view (what actually happens), and an impact / comparison view (why it matters). Read them in order — they build on each other.</w:t>
      </w:r>
    </w:p>
    <w:p>
      <w:pPr>
        <w:jc w:val="center"/>
      </w:pPr>
      <w:r>
        <w:drawing>
          <wp:inline xmlns:a="http://schemas.openxmlformats.org/drawingml/2006/main" xmlns:pic="http://schemas.openxmlformats.org/drawingml/2006/picture">
            <wp:extent cx="5943600" cy="2724150"/>
            <wp:docPr id="14" name="Picture 14"/>
            <wp:cNvGraphicFramePr>
              <a:graphicFrameLocks noChangeAspect="1"/>
            </wp:cNvGraphicFramePr>
            <a:graphic>
              <a:graphicData uri="http://schemas.openxmlformats.org/drawingml/2006/picture">
                <pic:pic>
                  <pic:nvPicPr>
                    <pic:cNvPr id="0" name="F-004_dia1_logical.png"/>
                    <pic:cNvPicPr/>
                  </pic:nvPicPr>
                  <pic:blipFill>
                    <a:blip r:embed="rId22"/>
                    <a:stretch>
                      <a:fillRect/>
                    </a:stretch>
                  </pic:blipFill>
                  <pic:spPr>
                    <a:xfrm>
                      <a:off x="0" y="0"/>
                      <a:ext cx="5943600" cy="2724150"/>
                    </a:xfrm>
                    <a:prstGeom prst="rect"/>
                  </pic:spPr>
                </pic:pic>
              </a:graphicData>
            </a:graphic>
          </wp:inline>
        </w:drawing>
      </w:r>
    </w:p>
    <w:p>
      <w:pPr>
        <w:jc w:val="center"/>
      </w:pPr>
      <w:r>
        <w:rPr>
          <w:i/>
          <w:color w:val="555566"/>
          <w:sz w:val="20"/>
        </w:rPr>
        <w:t>Diagram 1 — How SOAP error responses are supposed to distinguish failure modes. Each of the four common auth states (valid credentials, wrong password, malformed auth element, no auth header at all) should produce a distinct response with a distinct fault code. Those distinct codes are what let a SOC write a detection rule for credential stuffing on the SOAP surface. Identical responses to different inputs is an observability collapse — the SOC loses every signal at once.</w:t>
      </w:r>
    </w:p>
    <w:p>
      <w:r>
        <w:rPr>
          <w:sz w:val="22"/>
        </w:rPr>
      </w:r>
    </w:p>
    <w:p>
      <w:pPr>
        <w:jc w:val="center"/>
      </w:pPr>
      <w:r>
        <w:drawing>
          <wp:inline xmlns:a="http://schemas.openxmlformats.org/drawingml/2006/main" xmlns:pic="http://schemas.openxmlformats.org/drawingml/2006/picture">
            <wp:extent cx="5943600" cy="2724150"/>
            <wp:docPr id="15" name="Picture 15"/>
            <wp:cNvGraphicFramePr>
              <a:graphicFrameLocks noChangeAspect="1"/>
            </wp:cNvGraphicFramePr>
            <a:graphic>
              <a:graphicData uri="http://schemas.openxmlformats.org/drawingml/2006/picture">
                <pic:pic>
                  <pic:nvPicPr>
                    <pic:cNvPr id="0" name="F-004_dia2_attack.png"/>
                    <pic:cNvPicPr/>
                  </pic:nvPicPr>
                  <pic:blipFill>
                    <a:blip r:embed="rId23"/>
                    <a:stretch>
                      <a:fillRect/>
                    </a:stretch>
                  </pic:blipFill>
                  <pic:spPr>
                    <a:xfrm>
                      <a:off x="0" y="0"/>
                      <a:ext cx="5943600" cy="2724150"/>
                    </a:xfrm>
                    <a:prstGeom prst="rect"/>
                  </pic:spPr>
                </pic:pic>
              </a:graphicData>
            </a:graphic>
          </wp:inline>
        </w:drawing>
      </w:r>
    </w:p>
    <w:p>
      <w:pPr>
        <w:jc w:val="center"/>
      </w:pPr>
      <w:r>
        <w:rPr>
          <w:i/>
          <w:color w:val="555566"/>
          <w:sz w:val="20"/>
        </w:rPr>
        <w:t>Diagram 2 — What we observed on EligibilityOne.asmx and EligibilityOneBatch.asmx. All four auth states funnel into ONE response — same HTTP status, same body bytes, same MD5 hash across all four conditions (2043c350936708b53a86bf343fb5c866 on EligibilityOne). Two hypotheses for why: either authentication is not enforced at all (Critical — anonymous PHI access becomes possible), or every failure mode is masked behind a generic 500 error (High — credential stuffing is invisible to the SOC). Disambiguating requires reading the source for those two services.</w:t>
      </w:r>
    </w:p>
    <w:p>
      <w:r>
        <w:rPr>
          <w:sz w:val="22"/>
        </w:rPr>
      </w:r>
    </w:p>
    <w:p>
      <w:pPr>
        <w:jc w:val="center"/>
      </w:pPr>
      <w:r>
        <w:drawing>
          <wp:inline xmlns:a="http://schemas.openxmlformats.org/drawingml/2006/main" xmlns:pic="http://schemas.openxmlformats.org/drawingml/2006/picture">
            <wp:extent cx="5943600" cy="2724150"/>
            <wp:docPr id="16" name="Picture 16"/>
            <wp:cNvGraphicFramePr>
              <a:graphicFrameLocks noChangeAspect="1"/>
            </wp:cNvGraphicFramePr>
            <a:graphic>
              <a:graphicData uri="http://schemas.openxmlformats.org/drawingml/2006/picture">
                <pic:pic>
                  <pic:nvPicPr>
                    <pic:cNvPr id="0" name="F-004_dia3_impact.png"/>
                    <pic:cNvPicPr/>
                  </pic:nvPicPr>
                  <pic:blipFill>
                    <a:blip r:embed="rId24"/>
                    <a:stretch>
                      <a:fillRect/>
                    </a:stretch>
                  </pic:blipFill>
                  <pic:spPr>
                    <a:xfrm>
                      <a:off x="0" y="0"/>
                      <a:ext cx="5943600" cy="2724150"/>
                    </a:xfrm>
                    <a:prstGeom prst="rect"/>
                  </pic:spPr>
                </pic:pic>
              </a:graphicData>
            </a:graphic>
          </wp:inline>
        </w:drawing>
      </w:r>
    </w:p>
    <w:p>
      <w:pPr>
        <w:jc w:val="center"/>
      </w:pPr>
      <w:r>
        <w:rPr>
          <w:i/>
          <w:color w:val="555566"/>
          <w:sz w:val="20"/>
        </w:rPr>
        <w:t>Diagram 3 — The CORE sibling proves the capability exists. EligibilityOneCORE.asmx, running on the same host with the same auth model and the same engagement-issued credentials, returns four distinct responses to the same four-state matrix. So the product is capable of distinguishing auth state from data error — it just isn't doing so on the other two services. That makes the remediation a configuration change, not an architectural one.</w:t>
      </w:r>
    </w:p>
    <w:p>
      <w:r>
        <w:rPr>
          <w:sz w:val="22"/>
        </w:rPr>
      </w:r>
    </w:p>
    <w:p>
      <w:pPr>
        <w:pStyle w:val="Heading2"/>
      </w:pPr>
      <w:r>
        <w:t>Reproduction recipe</w:t>
      </w:r>
    </w:p>
    <w:p>
      <w:r>
        <w:rPr>
          <w:sz w:val="22"/>
        </w:rPr>
        <w:t>This recipe uses the four request envelopes saved during the engagement, in work/soap/p_complete.xml (valid), p_complete_badcred.xml (bad password), p_emptyauth.xml (empty), and probe_noauth.xml (no header). The SOAPAction value for /EligibilityOne.asmx is http://tempuri.org/SendCommercialEligibilityRequest.</w:t>
      </w:r>
    </w:p>
    <w:p>
      <w:pPr>
        <w:spacing w:before="80" w:after="160"/>
        <w:ind w:left="504" w:right="504"/>
      </w:pPr>
      <w:r>
        <w:rPr>
          <w:rFonts w:ascii="DejaVu Sans Mono" w:hAnsi="DejaVu Sans Mono"/>
          <w:color w:val="222244"/>
          <w:sz w:val="19"/>
        </w:rPr>
        <w:t>SOAP='https://eligibilitysoap.eligone-uat.aws53.inovalon.global'</w:t>
        <w:br/>
        <w:t>ACTION='"http://tempuri.org/SendCommercialEligibilityRequest"'</w:t>
        <w:br/>
        <w:t>for env in p_complete p_complete_badcred p_emptyauth probe_noauth; do</w:t>
        <w:br/>
        <w:t xml:space="preserve">    curl -sk -X POST \</w:t>
        <w:br/>
        <w:t xml:space="preserve">        -H "Content-Type: text/xml; charset=utf-8" \</w:t>
        <w:br/>
        <w:t xml:space="preserve">        -H "SOAPAction: $ACTION" \</w:t>
        <w:br/>
        <w:t xml:space="preserve">        --data @work/soap/$env.xml \</w:t>
        <w:br/>
        <w:t xml:space="preserve">        $SOAP/EligibilityOne.asmx \</w:t>
        <w:br/>
        <w:t xml:space="preserve">        &gt; /tmp/F004_$env.xml</w:t>
        <w:br/>
        <w:t xml:space="preserve">    echo -n "$env  : "; md5sum /tmp/F004_$env.xml | awk '{print $1}'</w:t>
        <w:br/>
        <w:t>done</w:t>
      </w:r>
    </w:p>
    <w:p>
      <w:r>
        <w:rPr>
          <w:sz w:val="22"/>
        </w:rPr>
        <w:t>Verification: all four MD5 outputs must be the same string. If any one differs, the indistinguishability has been partially or fully fixed; investigate what changed. Repeat the same loop against /EligibilityOneBatch.asmx (with its valid SOAPAction, which is in the Batch WSDL). For the control proving the product is capable of distinguishing, repeat against /EligibilityOneCORE.asmx — the four MD5s must be different from each other.</w:t>
      </w:r>
    </w:p>
    <w:p>
      <w:pPr>
        <w:pStyle w:val="Heading2"/>
      </w:pPr>
      <w:r>
        <w:t>Why this matters</w:t>
      </w:r>
    </w:p>
    <w:p>
      <w:r>
        <w:rPr>
          <w:sz w:val="22"/>
        </w:rPr>
        <w:t>If hypothesis A is correct (auth not enforced), the impact is the same as F-001 but on the SOAP surface: an anonymous attacker who finds a valid input shape can submit eligibility transactions and have them processed by the application. The HIPAA control-violation argument from F-001 applies identically.</w:t>
      </w:r>
    </w:p>
    <w:p>
      <w:r>
        <w:rPr>
          <w:sz w:val="22"/>
        </w:rPr>
        <w:t>If hypothesis B is correct (global error mask), the impact is detection-engineering. Credential-stuffing against these SOAP services produces the same response shape as a legitimate request that happens to fail data validation. The SOC cannot write a rule that differentiates "this is someone trying passwords" from "this is a legitimate partner whose test data is malformed" — the only signal would be request volume and timing, which is much weaker than a per-response error code. Operationally this means an active credential-stuffing campaign against the SOAP surface is invisible until it succeeds, and even after success the audit trail will not flag the failures that preceded it.</w:t>
      </w:r>
    </w:p>
    <w:p>
      <w:pPr>
        <w:pStyle w:val="Heading2"/>
      </w:pPr>
      <w:r>
        <w:t>What the fix looks like</w:t>
      </w:r>
    </w:p>
    <w:p>
      <w:r>
        <w:rPr>
          <w:sz w:val="22"/>
        </w:rPr>
        <w:t>Determine which hypothesis is correct by reading the source code or asking the team that owns the two services. If A: wire the IvansWSAuthentication / UsernameToken validation into the request pipeline before any business-logic dispatch. The fix is similar in shape to F-001's REST fix but operates on the SOAP request pipeline rather than the WebAPI middleware stack.</w:t>
      </w:r>
    </w:p>
    <w:p>
      <w:r>
        <w:rPr>
          <w:sz w:val="22"/>
        </w:rPr>
        <w:t>If B: differentiate the soap:Fault codes for distinct failure modes. The SOAP specification defines wsse:FailedAuthentication and wsse:InvalidSecurityToken specifically for the purpose of distinguishing auth failures from data failures. Emit those when auth fails. Keep a single generic faultcode (soap:Server) for the unexpected-internal-error case. The MD5 test then becomes: same hash across distinct-auth-status pairs (good), different hash across (valid auth, valid data) and (invalid auth) pairs (good). Either way, the verification is the same MD5 loop above; success looks like four distinct hashes on the four-state matrix.</w:t>
      </w:r>
    </w:p>
    <w:p>
      <w:r>
        <w:br w:type="page"/>
      </w:r>
    </w:p>
    <w:p>
      <w:pPr>
        <w:pStyle w:val="Heading1"/>
      </w:pPr>
      <w:r>
        <w:t>Conclusion and sequencing</w:t>
      </w:r>
    </w:p>
    <w:p>
      <w:r>
        <w:rPr>
          <w:sz w:val="22"/>
        </w:rPr>
        <w:t>The four High findings in this document are not independent. F-001 (REST auth bypass) and F-004 (SOAP indistinguishability) are structural authentication-enforcement defects. F-002 (no rate limiting) is the authentication-protection layer that would have made any successful attack on F-001 or F-004 slower and noisier. F-003 (excessive privilege) is the impact multiplier that turns one successful login — by whatever means — into broad lateral access. A remediation programme that addresses them in priority order can close most of the attack surface in a single sprint:</w:t>
      </w:r>
    </w:p>
    <w:p>
      <w:pPr>
        <w:pStyle w:val="ListNumber"/>
      </w:pPr>
      <w:r>
        <w:t>Fix F-001 first. It is the most clear-cut defect, the fix is small (one controller attribute per route), and it closes the most exposed surface. After remediation, all three REST controllers should return HTTP 401 for unauthenticated requests.</w:t>
      </w:r>
    </w:p>
    <w:p>
      <w:pPr>
        <w:pStyle w:val="ListNumber"/>
      </w:pPr>
      <w:r>
        <w:t>Disambiguate F-004 next, by reading the source for EligibilityOne.asmx and EligibilityOneBatch.asmx. The fix is either the same shape as F-001 (wire the auth check into the pipeline) or an error-handler refactor (emit distinguishable fault codes). Either fix takes days, not weeks.</w:t>
      </w:r>
    </w:p>
    <w:p>
      <w:pPr>
        <w:pStyle w:val="ListNumber"/>
      </w:pPr>
      <w:r>
        <w:t>Add F-002 rate limiting. This is the longest-lasting defense — once it is in place, even a future regression on F-001 or F-004 will be slowed enough to be detected before it is exploited en masse. Start at the load balancer / WAF layer for per-IP limits, then add per-username lockout at the IDP.</w:t>
      </w:r>
    </w:p>
    <w:p>
      <w:pPr>
        <w:pStyle w:val="ListNumber"/>
      </w:pPr>
      <w:r>
        <w:t>Audit F-003. The QA-user case is the symptom; the root cause is whatever provisioning template gave that user thirty-five entitlements. Find the template, and audit the production users provisioned through it. The audit deliverable is a list of (user, entitlement) pairs flagged where the count exceeds the role's documented requirement.</w:t>
      </w:r>
    </w:p>
    <w:p>
      <w:r>
        <w:rPr>
          <w:sz w:val="22"/>
        </w:rPr>
        <w:t>After all four are remediated, re-run the recipes in this document. Every recipe is designed so that the verification step changes — the auth bypass should now return 401, the rate-limit burst should produce 429, the QA token should return a single-digit entitlements array, and the SOAP four-state matrix should produce four distinct MD5 hashes. If any verification still matches the original ("unfixed") expectation, the fix for that finding has not landed yet.</w:t>
      </w:r>
    </w:p>
    <w:p>
      <w:r>
        <w:rPr>
          <w:sz w:val="22"/>
        </w:rPr>
        <w:t>Companion documents:</w:t>
      </w:r>
    </w:p>
    <w:p>
      <w:pPr>
        <w:pStyle w:val="ListBullet"/>
      </w:pPr>
      <w:r>
        <w:t>EligibilityOne_Penetration_Test_Report_POPULATED.docx — the formal report, with Medium, Low, and Informational findings catalogued in the same template style.</w:t>
      </w:r>
    </w:p>
    <w:p>
      <w:pPr>
        <w:pStyle w:val="ListBullet"/>
      </w:pPr>
      <w:r>
        <w:t>/home/kali/Desktop/Pentest_2026/EligibilityOne/work/burp/ — the Burp Suite demo pack (XML import file, raw HTTP request files, README) for re-running the demonstrations in a Burp environment.</w:t>
      </w:r>
    </w:p>
    <w:p>
      <w:pPr>
        <w:pStyle w:val="ListBullet"/>
      </w:pPr>
      <w:r>
        <w:t>/home/kali/Desktop/Pentest_2026/EligibilityOne/work/findings/REPORT.md — the engagement working notes, including the full enumeration of negative findings (things that were tested and found to be properly hardened).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