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trabajo con los archivos CSV</w:t>
      </w:r>
    </w:p>
    <w:p>
      <w:r>
        <w:t>Proyecto final: Pruebas específicas USAC — MongoDB y Neo4j</w:t>
      </w:r>
    </w:p>
    <w:p>
      <w:r>
        <w:t>Del dataset a la carga, la verificación, las consultas, el análisis y la entrega.</w:t>
      </w:r>
    </w:p>
    <w:p>
      <w:r>
        <w:t>Edición: 2026-10-29</w:t>
      </w:r>
    </w:p>
    <w:p>
      <w:r>
        <w:t>Punto de partida: frontend y backend ya están implementados. No debes volver a crear la aplicación. Esta guía sustituye el informe técnico anterior y explica qué hacer ahora con los CSV usando las pantallas existentes.</w:t>
      </w:r>
    </w:p>
    <w:p>
      <w:r>
        <w:t>Documento operativo, no informe de resultados ya obtenidos. Las casillas y plantillas se completan con lo que observes al ejecutar. Los conteos de archivos de la sección 2 son una inspección local de los CSV, no evidencias de que estén cargados en MongoDB o Neo4j.</w:t>
      </w:r>
    </w:p>
    <w:p>
      <w:r>
        <w:t>Fuente normativa: docs/Proyecto-db2-enunciado.pdf, 15 páginas. El enunciado exige procesamiento ETL, 20 consultas MongoDB, al menos cinco consultas Cypher, visualización de un grafo con filtro y documentación. Fecha indicada: viernes 30 de octubre de 2026.</w:t>
      </w:r>
    </w:p>
    <w:p>
      <w:pPr>
        <w:pStyle w:val="Heading1"/>
      </w:pPr>
      <w:r>
        <w:t>Ruta rápida de trabajo</w:t>
      </w:r>
    </w:p>
    <w:p>
      <w:pPr>
        <w:pStyle w:val="ListNumber"/>
      </w:pPr>
      <w:r>
        <w:t>Conservar originales y verificar procedencia y años de los CSV.</w:t>
      </w:r>
    </w:p>
    <w:p>
      <w:pPr>
        <w:pStyle w:val="ListNumber"/>
      </w:pPr>
      <w:r>
        <w:t>Crear copias de trabajo y corregir únicamente los encabezados truncados de 2022–2024.</w:t>
      </w:r>
    </w:p>
    <w:p>
      <w:pPr>
        <w:pStyle w:val="ListNumber"/>
      </w:pPr>
      <w:r>
        <w:t>Comprobar que React, Spring Boot, MongoDB y Neo4j estén disponibles.</w:t>
      </w:r>
    </w:p>
    <w:p>
      <w:pPr>
        <w:pStyle w:val="ListNumber"/>
      </w:pPr>
      <w:r>
        <w:t>Revisar y cargar un archivo por vez; registrar métricas y resolver cualquier ERROR.</w:t>
      </w:r>
    </w:p>
    <w:p>
      <w:pPr>
        <w:pStyle w:val="ListNumber"/>
      </w:pPr>
      <w:r>
        <w:t>Verificar ambas bases y regenerar resumen_carrera con la consulta 6.</w:t>
      </w:r>
    </w:p>
    <w:p>
      <w:pPr>
        <w:pStyle w:val="ListNumber"/>
      </w:pPr>
      <w:r>
        <w:t>Ejecutar las 20 consultas MongoDB y las siete consultas Neo4j disponibles.</w:t>
      </w:r>
    </w:p>
    <w:p>
      <w:pPr>
        <w:pStyle w:val="ListNumber"/>
      </w:pPr>
      <w:r>
        <w:t>Guardar resultados, explicar hallazgos y limitaciones y completar la entrega en GitHub.</w:t>
      </w:r>
    </w:p>
    <w:p>
      <w:r>
        <w:t>No borres bases, volúmenes ni datos previos para seguir esta guía. No alteres resultados ni inventes años de nacimiento o carreras. No necesitas Python ni otro preprocesador externo.</w:t>
      </w:r>
    </w:p>
    <w:p>
      <w:r>
        <w:br w:type="page"/>
      </w:r>
    </w:p>
    <w:p>
      <w:pPr>
        <w:pStyle w:val="Heading1"/>
      </w:pPr>
      <w:r>
        <w:t>1. Qué pide el enunciado y qué debes demostrar</w:t>
      </w:r>
    </w:p>
    <w:tbl>
      <w:tblPr>
        <w:tblW w:type="auto" w:w="0"/>
        <w:tblLook w:firstColumn="1" w:firstRow="1" w:lastColumn="0" w:lastRow="0" w:noHBand="0" w:noVBand="1" w:val="04A0"/>
      </w:tblPr>
      <w:tblGrid>
        <w:gridCol w:w="2880"/>
        <w:gridCol w:w="2880"/>
        <w:gridCol w:w="2880"/>
      </w:tblGrid>
      <w:tr>
        <w:tc>
          <w:tcPr>
            <w:tcW w:type="dxa" w:w="2880"/>
          </w:tcPr>
          <w:p>
            <w:r>
              <w:t>Exigencia</w:t>
            </w:r>
          </w:p>
        </w:tc>
        <w:tc>
          <w:tcPr>
            <w:tcW w:type="dxa" w:w="2880"/>
          </w:tcPr>
          <w:p>
            <w:r>
              <w:t>Acción después de tener el código terminado</w:t>
            </w:r>
          </w:p>
        </w:tc>
        <w:tc>
          <w:tcPr>
            <w:tcW w:type="dxa" w:w="2880"/>
          </w:tcPr>
          <w:p>
            <w:r>
              <w:t>Referencia del PDF</w:t>
            </w:r>
          </w:p>
        </w:tc>
      </w:tr>
      <w:tr>
        <w:tc>
          <w:tcPr>
            <w:tcW w:type="dxa" w:w="2880"/>
          </w:tcPr>
          <w:p>
            <w:r>
              <w:t>Usar el dataset Pruebas específicas</w:t>
            </w:r>
          </w:p>
        </w:tc>
        <w:tc>
          <w:tcPr>
            <w:tcW w:type="dxa" w:w="2880"/>
          </w:tcPr>
          <w:p>
            <w:r>
              <w:t>Verificar fuente oficial, años indicados por el docente y archivos realmente descargados.</w:t>
            </w:r>
          </w:p>
        </w:tc>
        <w:tc>
          <w:tcPr>
            <w:tcW w:type="dxa" w:w="2880"/>
          </w:tcPr>
          <w:p>
            <w:r>
              <w:t>pp. 5–6</w:t>
            </w:r>
          </w:p>
        </w:tc>
      </w:tr>
      <w:tr>
        <w:tc>
          <w:tcPr>
            <w:tcW w:type="dxa" w:w="2880"/>
          </w:tcPr>
          <w:p>
            <w:r>
              <w:t>ETL de datos no completamente limpios</w:t>
            </w:r>
          </w:p>
        </w:tc>
        <w:tc>
          <w:tcPr>
            <w:tcW w:type="dxa" w:w="2880"/>
          </w:tcPr>
          <w:p>
            <w:r>
              <w:t>Mostrar reglas, valores especiales, transformación, válidos y rechazos con causa.</w:t>
            </w:r>
          </w:p>
        </w:tc>
        <w:tc>
          <w:tcPr>
            <w:tcW w:type="dxa" w:w="2880"/>
          </w:tcPr>
          <w:p>
            <w:r>
              <w:t>pp. 7–8</w:t>
            </w:r>
          </w:p>
        </w:tc>
      </w:tr>
      <w:tr>
        <w:tc>
          <w:tcPr>
            <w:tcW w:type="dxa" w:w="2880"/>
          </w:tcPr>
          <w:p>
            <w:r>
              <w:t>Carga de uno o varios CSV</w:t>
            </w:r>
          </w:p>
        </w:tc>
        <w:tc>
          <w:tcPr>
            <w:tcW w:type="dxa" w:w="2880"/>
          </w:tcPr>
          <w:p>
            <w:r>
              <w:t>Registrar archivo, leídos, procesados, rechazados, duración y estado final.</w:t>
            </w:r>
          </w:p>
        </w:tc>
        <w:tc>
          <w:tcPr>
            <w:tcW w:type="dxa" w:w="2880"/>
          </w:tcPr>
          <w:p>
            <w:r>
              <w:t>p. 8</w:t>
            </w:r>
          </w:p>
        </w:tc>
      </w:tr>
      <w:tr>
        <w:tc>
          <w:tcPr>
            <w:tcW w:type="dxa" w:w="2880"/>
          </w:tcPr>
          <w:p>
            <w:r>
              <w:t>Almacenamiento en ambos motores</w:t>
            </w:r>
          </w:p>
        </w:tc>
        <w:tc>
          <w:tcPr>
            <w:tcW w:type="dxa" w:w="2880"/>
          </w:tcPr>
          <w:p>
            <w:r>
              <w:t>Verificar documentos MongoDB y nodos/relaciones Neo4j después de la carga.</w:t>
            </w:r>
          </w:p>
        </w:tc>
        <w:tc>
          <w:tcPr>
            <w:tcW w:type="dxa" w:w="2880"/>
          </w:tcPr>
          <w:p>
            <w:r>
              <w:t>pp. 7–9 y 12</w:t>
            </w:r>
          </w:p>
        </w:tc>
      </w:tr>
      <w:tr>
        <w:tc>
          <w:tcPr>
            <w:tcW w:type="dxa" w:w="2880"/>
          </w:tcPr>
          <w:p>
            <w:r>
              <w:t>Dashboard, buscador y explorador</w:t>
            </w:r>
          </w:p>
        </w:tc>
        <w:tc>
          <w:tcPr>
            <w:tcW w:type="dxa" w:w="2880"/>
          </w:tcPr>
          <w:p>
            <w:r>
              <w:t>Usarlos con datos cargados; aplicar al menos un filtro al grafo.</w:t>
            </w:r>
          </w:p>
        </w:tc>
        <w:tc>
          <w:tcPr>
            <w:tcW w:type="dxa" w:w="2880"/>
          </w:tcPr>
          <w:p>
            <w:r>
              <w:t>pp. 9–10 y 12</w:t>
            </w:r>
          </w:p>
        </w:tc>
      </w:tr>
      <w:tr>
        <w:tc>
          <w:tcPr>
            <w:tcW w:type="dxa" w:w="2880"/>
          </w:tcPr>
          <w:p>
            <w:r>
              <w:t>20 consultas MongoDB</w:t>
            </w:r>
          </w:p>
        </w:tc>
        <w:tc>
          <w:tcPr>
            <w:tcW w:type="dxa" w:w="2880"/>
          </w:tcPr>
          <w:p>
            <w:r>
              <w:t>Ejecutar todas, revisar unidades y denominadores y visualizar resultados.</w:t>
            </w:r>
          </w:p>
        </w:tc>
        <w:tc>
          <w:tcPr>
            <w:tcW w:type="dxa" w:w="2880"/>
          </w:tcPr>
          <w:p>
            <w:r>
              <w:t>pp. 11–12</w:t>
            </w:r>
          </w:p>
        </w:tc>
      </w:tr>
      <w:tr>
        <w:tc>
          <w:tcPr>
            <w:tcW w:type="dxa" w:w="2880"/>
          </w:tcPr>
          <w:p>
            <w:r>
              <w:t>Mínimo cinco consultas Cypher distintas</w:t>
            </w:r>
          </w:p>
        </w:tc>
        <w:tc>
          <w:tcPr>
            <w:tcW w:type="dxa" w:w="2880"/>
          </w:tcPr>
          <w:p>
            <w:r>
              <w:t>Usar las siete disponibles; explicar nodos, relaciones, filtros y recorridos.</w:t>
            </w:r>
          </w:p>
        </w:tc>
        <w:tc>
          <w:tcPr>
            <w:tcW w:type="dxa" w:w="2880"/>
          </w:tcPr>
          <w:p>
            <w:r>
              <w:t>p. 13</w:t>
            </w:r>
          </w:p>
        </w:tc>
      </w:tr>
      <w:tr>
        <w:tc>
          <w:tcPr>
            <w:tcW w:type="dxa" w:w="2880"/>
          </w:tcPr>
          <w:p>
            <w:r>
              <w:t>Resultados y conclusiones</w:t>
            </w:r>
          </w:p>
        </w:tc>
        <w:tc>
          <w:tcPr>
            <w:tcW w:type="dxa" w:w="2880"/>
          </w:tcPr>
          <w:p>
            <w:r>
              <w:t>Analizar salidas reales y comparar utilidad/limitaciones de ambos modelos.</w:t>
            </w:r>
          </w:p>
        </w:tc>
        <w:tc>
          <w:tcPr>
            <w:tcW w:type="dxa" w:w="2880"/>
          </w:tcPr>
          <w:p>
            <w:r>
              <w:t>pp. 1 y 14</w:t>
            </w:r>
          </w:p>
        </w:tc>
      </w:tr>
      <w:tr>
        <w:tc>
          <w:tcPr>
            <w:tcW w:type="dxa" w:w="2880"/>
          </w:tcPr>
          <w:p>
            <w:r>
              <w:t>Repositorio GitHub y mínimo cinco commits significativos</w:t>
            </w:r>
          </w:p>
        </w:tc>
        <w:tc>
          <w:tcPr>
            <w:tcW w:type="dxa" w:w="2880"/>
          </w:tcPr>
          <w:p>
            <w:r>
              <w:t>Revisar archivos entregados, documentación visible y cambios comprendidos.</w:t>
            </w:r>
          </w:p>
        </w:tc>
        <w:tc>
          <w:tcPr>
            <w:tcW w:type="dxa" w:w="2880"/>
          </w:tcPr>
          <w:p>
            <w:r>
              <w:t>pp. 13–14</w:t>
            </w:r>
          </w:p>
        </w:tc>
      </w:tr>
    </w:tbl>
    <w:p/>
    <w:p>
      <w:r>
        <w:t>El PDF no impone un único tipo de gráfica para todas las consultas: tablas, indicadores y listados son válidos (p. 12). Tampoco fija una cantidad de capturas: las evidencias sugeridas aquí facilitan demostrar el trabajo, pero no son una rúbrica adicional inventada.</w:t>
      </w:r>
    </w:p>
    <w:p>
      <w:r>
        <w:t>El enunciado no enumera explícitamente los años 2015–2024 en el texto revisado. Esos son los archivos encontrados localmente; confirma que coincidan con todos los años/recursos indicados por el docente. No deduzcas cobertura obligatoria solo por los nombres de la carpeta.</w:t>
      </w:r>
    </w:p>
    <w:p>
      <w:pPr>
        <w:pStyle w:val="Heading1"/>
      </w:pPr>
      <w:r>
        <w:t>2. Inventario inicial: revisa lo que ya tienes</w:t>
      </w:r>
    </w:p>
    <w:p>
      <w:r>
        <w:t>Se localizaron diez archivos en etl/muestras/. La ubicación llamada muestras no prueba que sean sintéticos ni oficiales: verifica su procedencia. La inspección de esta edición leyó los archivos en UTF-8 y contó registros CSV no vacíos, respetando comillas; no se conectó a las bases.</w:t>
      </w:r>
    </w:p>
    <w:tbl>
      <w:tblPr>
        <w:tblW w:type="auto" w:w="0"/>
        <w:tblLook w:firstColumn="1" w:firstRow="1" w:lastColumn="0" w:lastRow="0" w:noHBand="0" w:noVBand="1" w:val="04A0"/>
      </w:tblPr>
      <w:tblGrid>
        <w:gridCol w:w="2160"/>
        <w:gridCol w:w="2160"/>
        <w:gridCol w:w="2160"/>
        <w:gridCol w:w="2160"/>
      </w:tblGrid>
      <w:tr>
        <w:tc>
          <w:tcPr>
            <w:tcW w:type="dxa" w:w="2160"/>
          </w:tcPr>
          <w:p>
            <w:r>
              <w:t>Archivo</w:t>
            </w:r>
          </w:p>
        </w:tc>
        <w:tc>
          <w:tcPr>
            <w:tcW w:type="dxa" w:w="2160"/>
          </w:tcPr>
          <w:p>
            <w:r>
              <w:t>Registros CSV</w:t>
            </w:r>
          </w:p>
        </w:tc>
        <w:tc>
          <w:tcPr>
            <w:tcW w:type="dxa" w:w="2160"/>
          </w:tcPr>
          <w:p>
            <w:r>
              <w:t>Tamaño MiB aprox.</w:t>
            </w:r>
          </w:p>
        </w:tc>
        <w:tc>
          <w:tcPr>
            <w:tcW w:type="dxa" w:w="2160"/>
          </w:tcPr>
          <w:p>
            <w:r>
              <w:t>Acción previa</w:t>
            </w:r>
          </w:p>
        </w:tc>
      </w:tr>
      <w:tr>
        <w:tc>
          <w:tcPr>
            <w:tcW w:type="dxa" w:w="2160"/>
          </w:tcPr>
          <w:p>
            <w:r>
              <w:t>pruebas_especificas_2015.csv</w:t>
            </w:r>
          </w:p>
        </w:tc>
        <w:tc>
          <w:tcPr>
            <w:tcW w:type="dxa" w:w="2160"/>
          </w:tcPr>
          <w:p>
            <w:r>
              <w:t>20,277</w:t>
            </w:r>
          </w:p>
        </w:tc>
        <w:tc>
          <w:tcPr>
            <w:tcW w:type="dxa" w:w="2160"/>
          </w:tcPr>
          <w:p>
            <w:r>
              <w:t>2.65</w:t>
            </w:r>
          </w:p>
        </w:tc>
        <w:tc>
          <w:tcPr>
            <w:tcW w:type="dxa" w:w="2160"/>
          </w:tcPr>
          <w:p>
            <w:r>
              <w:t>Conservar encabezados; revisar valores</w:t>
            </w:r>
          </w:p>
        </w:tc>
      </w:tr>
      <w:tr>
        <w:tc>
          <w:tcPr>
            <w:tcW w:type="dxa" w:w="2160"/>
          </w:tcPr>
          <w:p>
            <w:r>
              <w:t>pruebas_especificas_2016.csv</w:t>
            </w:r>
          </w:p>
        </w:tc>
        <w:tc>
          <w:tcPr>
            <w:tcW w:type="dxa" w:w="2160"/>
          </w:tcPr>
          <w:p>
            <w:r>
              <w:t>22,137</w:t>
            </w:r>
          </w:p>
        </w:tc>
        <w:tc>
          <w:tcPr>
            <w:tcW w:type="dxa" w:w="2160"/>
          </w:tcPr>
          <w:p>
            <w:r>
              <w:t>3.20</w:t>
            </w:r>
          </w:p>
        </w:tc>
        <w:tc>
          <w:tcPr>
            <w:tcW w:type="dxa" w:w="2160"/>
          </w:tcPr>
          <w:p>
            <w:r>
              <w:t>Conservar encabezados; revisar valores</w:t>
            </w:r>
          </w:p>
        </w:tc>
      </w:tr>
      <w:tr>
        <w:tc>
          <w:tcPr>
            <w:tcW w:type="dxa" w:w="2160"/>
          </w:tcPr>
          <w:p>
            <w:r>
              <w:t>pruebas_especificas_2017.csv</w:t>
            </w:r>
          </w:p>
        </w:tc>
        <w:tc>
          <w:tcPr>
            <w:tcW w:type="dxa" w:w="2160"/>
          </w:tcPr>
          <w:p>
            <w:r>
              <w:t>21,581</w:t>
            </w:r>
          </w:p>
        </w:tc>
        <w:tc>
          <w:tcPr>
            <w:tcW w:type="dxa" w:w="2160"/>
          </w:tcPr>
          <w:p>
            <w:r>
              <w:t>3.09</w:t>
            </w:r>
          </w:p>
        </w:tc>
        <w:tc>
          <w:tcPr>
            <w:tcW w:type="dxa" w:w="2160"/>
          </w:tcPr>
          <w:p>
            <w:r>
              <w:t>Conservar encabezados; revisar valores</w:t>
            </w:r>
          </w:p>
        </w:tc>
      </w:tr>
      <w:tr>
        <w:tc>
          <w:tcPr>
            <w:tcW w:type="dxa" w:w="2160"/>
          </w:tcPr>
          <w:p>
            <w:r>
              <w:t>pruebas_especificas_2018.csv</w:t>
            </w:r>
          </w:p>
        </w:tc>
        <w:tc>
          <w:tcPr>
            <w:tcW w:type="dxa" w:w="2160"/>
          </w:tcPr>
          <w:p>
            <w:r>
              <w:t>20,871</w:t>
            </w:r>
          </w:p>
        </w:tc>
        <w:tc>
          <w:tcPr>
            <w:tcW w:type="dxa" w:w="2160"/>
          </w:tcPr>
          <w:p>
            <w:r>
              <w:t>2.99</w:t>
            </w:r>
          </w:p>
        </w:tc>
        <w:tc>
          <w:tcPr>
            <w:tcW w:type="dxa" w:w="2160"/>
          </w:tcPr>
          <w:p>
            <w:r>
              <w:t>Conservar encabezados; revisar valores</w:t>
            </w:r>
          </w:p>
        </w:tc>
      </w:tr>
      <w:tr>
        <w:tc>
          <w:tcPr>
            <w:tcW w:type="dxa" w:w="2160"/>
          </w:tcPr>
          <w:p>
            <w:r>
              <w:t>pruebas_especificas_2019.csv</w:t>
            </w:r>
          </w:p>
        </w:tc>
        <w:tc>
          <w:tcPr>
            <w:tcW w:type="dxa" w:w="2160"/>
          </w:tcPr>
          <w:p>
            <w:r>
              <w:t>17,865</w:t>
            </w:r>
          </w:p>
        </w:tc>
        <w:tc>
          <w:tcPr>
            <w:tcW w:type="dxa" w:w="2160"/>
          </w:tcPr>
          <w:p>
            <w:r>
              <w:t>2.56</w:t>
            </w:r>
          </w:p>
        </w:tc>
        <w:tc>
          <w:tcPr>
            <w:tcW w:type="dxa" w:w="2160"/>
          </w:tcPr>
          <w:p>
            <w:r>
              <w:t>Conservar encabezados; revisar valores</w:t>
            </w:r>
          </w:p>
        </w:tc>
      </w:tr>
      <w:tr>
        <w:tc>
          <w:tcPr>
            <w:tcW w:type="dxa" w:w="2160"/>
          </w:tcPr>
          <w:p>
            <w:r>
              <w:t>pruebas_especificas_2020.csv</w:t>
            </w:r>
          </w:p>
        </w:tc>
        <w:tc>
          <w:tcPr>
            <w:tcW w:type="dxa" w:w="2160"/>
          </w:tcPr>
          <w:p>
            <w:r>
              <w:t>17,931</w:t>
            </w:r>
          </w:p>
        </w:tc>
        <w:tc>
          <w:tcPr>
            <w:tcW w:type="dxa" w:w="2160"/>
          </w:tcPr>
          <w:p>
            <w:r>
              <w:t>2.58</w:t>
            </w:r>
          </w:p>
        </w:tc>
        <w:tc>
          <w:tcPr>
            <w:tcW w:type="dxa" w:w="2160"/>
          </w:tcPr>
          <w:p>
            <w:r>
              <w:t>Conservar encabezados; revisar valores</w:t>
            </w:r>
          </w:p>
        </w:tc>
      </w:tr>
      <w:tr>
        <w:tc>
          <w:tcPr>
            <w:tcW w:type="dxa" w:w="2160"/>
          </w:tcPr>
          <w:p>
            <w:r>
              <w:t>pruebas_especificas_2021.csv</w:t>
            </w:r>
          </w:p>
        </w:tc>
        <w:tc>
          <w:tcPr>
            <w:tcW w:type="dxa" w:w="2160"/>
          </w:tcPr>
          <w:p>
            <w:r>
              <w:t>30,644</w:t>
            </w:r>
          </w:p>
        </w:tc>
        <w:tc>
          <w:tcPr>
            <w:tcW w:type="dxa" w:w="2160"/>
          </w:tcPr>
          <w:p>
            <w:r>
              <w:t>4.40</w:t>
            </w:r>
          </w:p>
        </w:tc>
        <w:tc>
          <w:tcPr>
            <w:tcW w:type="dxa" w:w="2160"/>
          </w:tcPr>
          <w:p>
            <w:r>
              <w:t>Conservar encabezados; revisar valores</w:t>
            </w:r>
          </w:p>
        </w:tc>
      </w:tr>
      <w:tr>
        <w:tc>
          <w:tcPr>
            <w:tcW w:type="dxa" w:w="2160"/>
          </w:tcPr>
          <w:p>
            <w:r>
              <w:t>pruebas_especificas_2022.csv</w:t>
            </w:r>
          </w:p>
        </w:tc>
        <w:tc>
          <w:tcPr>
            <w:tcW w:type="dxa" w:w="2160"/>
          </w:tcPr>
          <w:p>
            <w:r>
              <w:t>24,237</w:t>
            </w:r>
          </w:p>
        </w:tc>
        <w:tc>
          <w:tcPr>
            <w:tcW w:type="dxa" w:w="2160"/>
          </w:tcPr>
          <w:p>
            <w:r>
              <w:t>2.90</w:t>
            </w:r>
          </w:p>
        </w:tc>
        <w:tc>
          <w:tcPr>
            <w:tcW w:type="dxa" w:w="2160"/>
          </w:tcPr>
          <w:p>
            <w:r>
              <w:t>Corregir 3 encabezados en copia</w:t>
            </w:r>
          </w:p>
        </w:tc>
      </w:tr>
      <w:tr>
        <w:tc>
          <w:tcPr>
            <w:tcW w:type="dxa" w:w="2160"/>
          </w:tcPr>
          <w:p>
            <w:r>
              <w:t>pruebas_especificas_2023.csv</w:t>
            </w:r>
          </w:p>
        </w:tc>
        <w:tc>
          <w:tcPr>
            <w:tcW w:type="dxa" w:w="2160"/>
          </w:tcPr>
          <w:p>
            <w:r>
              <w:t>19,047</w:t>
            </w:r>
          </w:p>
        </w:tc>
        <w:tc>
          <w:tcPr>
            <w:tcW w:type="dxa" w:w="2160"/>
          </w:tcPr>
          <w:p>
            <w:r>
              <w:t>2.28</w:t>
            </w:r>
          </w:p>
        </w:tc>
        <w:tc>
          <w:tcPr>
            <w:tcW w:type="dxa" w:w="2160"/>
          </w:tcPr>
          <w:p>
            <w:r>
              <w:t>Corregir 3 encabezados en copia</w:t>
            </w:r>
          </w:p>
        </w:tc>
      </w:tr>
      <w:tr>
        <w:tc>
          <w:tcPr>
            <w:tcW w:type="dxa" w:w="2160"/>
          </w:tcPr>
          <w:p>
            <w:r>
              <w:t>pruebas_especificas_2024.csv</w:t>
            </w:r>
          </w:p>
        </w:tc>
        <w:tc>
          <w:tcPr>
            <w:tcW w:type="dxa" w:w="2160"/>
          </w:tcPr>
          <w:p>
            <w:r>
              <w:t>13,863</w:t>
            </w:r>
          </w:p>
        </w:tc>
        <w:tc>
          <w:tcPr>
            <w:tcW w:type="dxa" w:w="2160"/>
          </w:tcPr>
          <w:p>
            <w:r>
              <w:t>1.66</w:t>
            </w:r>
          </w:p>
        </w:tc>
        <w:tc>
          <w:tcPr>
            <w:tcW w:type="dxa" w:w="2160"/>
          </w:tcPr>
          <w:p>
            <w:r>
              <w:t>Corregir 3 encabezados en copia</w:t>
            </w:r>
          </w:p>
        </w:tc>
      </w:tr>
    </w:tbl>
    <w:p/>
    <w:p>
      <w:r>
        <w:t>Total de referencia local: 208,453 registros y 28.31 MiB entre los diez archivos. Todos tienen 12 columnas y cada archivo cabe bajo el límite local de 20 MiB de la UI. Estos totales son previos a deduplicación y validación de persistencia; no son aspirantes distintos ni documentos insertados.</w:t>
      </w:r>
    </w:p>
    <w:p>
      <w:r>
        <w:t>La revisión local con la misma función JavaScript del frontend no detectó filas inválidas tras sustituir los tres encabezados truncados SOLO EN MEMORIA. Los originales 2022–2024 sí se bloquean por oportunidad ausente. Esa prueba no ejecutó el ETL Java ni acredita carga exitosa en las bases.</w:t>
      </w:r>
    </w:p>
    <w:p>
      <w:pPr>
        <w:pStyle w:val="ListNumber"/>
      </w:pPr>
      <w:r>
        <w:t>Abre la fuente oficial: https://datosabiertos.ingenieria.usac.edu.gt/en/dataset/pruebas-especificas .</w:t>
      </w:r>
    </w:p>
    <w:p>
      <w:pPr>
        <w:pStyle w:val="ListNumber"/>
      </w:pPr>
      <w:r>
        <w:t>Por cada recurso registra URL, año, nombre original, fecha de descarga y tamaño. Si el portal falla, guarda fecha y evidencia del fallo y solicita al docente los recursos; no declares como oficiales archivos cuya procedencia no has comprobado.</w:t>
      </w:r>
    </w:p>
    <w:p>
      <w:pPr>
        <w:pStyle w:val="ListNumber"/>
      </w:pPr>
      <w:r>
        <w:t>Compara los archivos descargados con los locales. Si son diferentes, repite el inventario y no uses los conteos de esta guía como resultado esperado obligatorio.</w:t>
      </w:r>
    </w:p>
    <w:p>
      <w:pPr>
        <w:pStyle w:val="ListNumber"/>
      </w:pPr>
      <w:r>
        <w:t>Conserva una copia inmutable de cada original antes de abrirlo en una hoja de cálculo.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Archivo / año</w:t>
            </w:r>
          </w:p>
        </w:tc>
        <w:tc>
          <w:tcPr>
            <w:tcW w:type="dxa" w:w="1728"/>
          </w:tcPr>
          <w:p>
            <w:r>
              <w:t>URL o procedencia</w:t>
            </w:r>
          </w:p>
        </w:tc>
        <w:tc>
          <w:tcPr>
            <w:tcW w:type="dxa" w:w="1728"/>
          </w:tcPr>
          <w:p>
            <w:r>
              <w:t>Fecha de descarga</w:t>
            </w:r>
          </w:p>
        </w:tc>
        <w:tc>
          <w:tcPr>
            <w:tcW w:type="dxa" w:w="1728"/>
          </w:tcPr>
          <w:p>
            <w:r>
              <w:t>SHA-256 o referencia</w:t>
            </w:r>
          </w:p>
        </w:tc>
        <w:tc>
          <w:tcPr>
            <w:tcW w:type="dxa" w:w="1728"/>
          </w:tcPr>
          <w:p>
            <w:r>
              <w:t>Oficial verificado</w:t>
            </w:r>
          </w:p>
        </w:tc>
      </w:tr>
      <w:tr>
        <w:tc>
          <w:tcPr>
            <w:tcW w:type="dxa" w:w="1728"/>
          </w:tcPr>
          <w:p>
            <w:r>
              <w:t>[completar]</w:t>
            </w:r>
          </w:p>
        </w:tc>
        <w:tc>
          <w:tcPr>
            <w:tcW w:type="dxa" w:w="1728"/>
          </w:tcPr>
          <w:p>
            <w:r>
              <w:t>[completar]</w:t>
            </w:r>
          </w:p>
        </w:tc>
        <w:tc>
          <w:tcPr>
            <w:tcW w:type="dxa" w:w="1728"/>
          </w:tcPr>
          <w:p>
            <w:r>
              <w:t>[completar]</w:t>
            </w:r>
          </w:p>
        </w:tc>
        <w:tc>
          <w:tcPr>
            <w:tcW w:type="dxa" w:w="1728"/>
          </w:tcPr>
          <w:p>
            <w:r>
              <w:t>[completar]</w:t>
            </w:r>
          </w:p>
        </w:tc>
        <w:tc>
          <w:tcPr>
            <w:tcW w:type="dxa" w:w="1728"/>
          </w:tcPr>
          <w:p>
            <w:r>
              <w:t>Sí / pendiente</w:t>
            </w:r>
          </w:p>
        </w:tc>
      </w:tr>
    </w:tbl>
    <w:p/>
    <w:p>
      <w:r>
        <w:t>Resultado que debes conservar: Inventario de fuentes y originales conservados. No publiques información real sin revisar las condiciones de uso del dataset.</w:t>
      </w:r>
    </w:p>
    <w:p>
      <w:pPr>
        <w:pStyle w:val="Heading1"/>
      </w:pPr>
      <w:r>
        <w:t>3. Crea copias de trabajo sin modificar los originales</w:t>
      </w:r>
    </w:p>
    <w:p>
      <w:r>
        <w:t>Trabaja sobre copias. Un editor de texto conserva mejor correlativos y fechas que una hoja de cálculo con inferencia automática de tipos.</w:t>
      </w:r>
    </w:p>
    <w:p>
      <w:r>
        <w:t># Desde la raíz del repositorio, si aún no existen copias de trabajo:</w:t>
      </w:r>
    </w:p>
    <w:p>
      <w:r>
        <w:t>mkdir -p etl/entradas</w:t>
      </w:r>
    </w:p>
    <w:p>
      <w:r>
        <w:t>cp -n etl/muestras/pruebas_especificas_*.csv etl/entradas/</w:t>
      </w:r>
    </w:p>
    <w:p>
      <w:r>
        <w:t>cp -n evita sobrescribir una copia ya existente. Si repetiste el procedimiento, comprueba que no estés usando una versión antigua. etl/entradas/ está ignorado por Git: es una carpeta local de trabajo, no una entrega pública automática.</w:t>
      </w:r>
    </w:p>
    <w:p>
      <w:pPr>
        <w:pStyle w:val="ListBullet"/>
      </w:pPr>
      <w:r>
        <w:t>No conviertas correlativo_aspirante a número: conserva ceros y caracteres exactamente.</w:t>
      </w:r>
    </w:p>
    <w:p>
      <w:pPr>
        <w:pStyle w:val="ListBullet"/>
      </w:pPr>
      <w:r>
        <w:t>No elimines filas solo porque el mismo correlativo aparece varias veces; cada fila puede ser otra materia, año u oportunidad.</w:t>
      </w:r>
    </w:p>
    <w:p>
      <w:pPr>
        <w:pStyle w:val="ListBullet"/>
      </w:pPr>
      <w:r>
        <w:t>No uses buscar/reemplazar global sobre datos para cambiar encabezados: edita únicamente la primera fila.</w:t>
      </w:r>
    </w:p>
    <w:p>
      <w:pPr>
        <w:pStyle w:val="ListBullet"/>
      </w:pPr>
      <w:r>
        <w:t>No mezcles los archivos pegando texto bruto: 2022–2024 tienen un orden de columnas diferente. Cárgalos por separado; el sistema usa los encabezados.</w:t>
      </w:r>
    </w:p>
    <w:p>
      <w:pPr>
        <w:pStyle w:val="ListBullet"/>
      </w:pPr>
      <w:r>
        <w:t>Si usas LibreOffice/Excel, importa correlativo como texto, revisa UTF-8 y guarda solo la copia como CSV; verifica que no se hayan alterado fechas ni comillas.</w:t>
      </w:r>
    </w:p>
    <w:p>
      <w:r>
        <w:t>Resultado que debes conservar: Diez copias de trabajo identificables y un registro breve de cada corrección aplicada.</w:t>
      </w:r>
    </w:p>
    <w:p>
      <w:pPr>
        <w:pStyle w:val="Heading1"/>
      </w:pPr>
      <w:r>
        <w:t>4. Corrección obligatoria de los encabezados 2022–2024</w:t>
      </w:r>
    </w:p>
    <w:p>
      <w:r>
        <w:t>Con el código actual, estos tres encabezados truncados no son alias reconocidos por el frontend ni por el backend. La oportunidad truncada bloquea la carga; las columnas geográficas truncadas podrían terminar como SIN REGISTRO si solo corriges la oportunidad. Debes corregir las tres en las COPIAS de 2022, 2023 y 2024.</w:t>
      </w:r>
    </w:p>
    <w:tbl>
      <w:tblPr>
        <w:tblW w:type="auto" w:w="0"/>
        <w:tblLook w:firstColumn="1" w:firstRow="1" w:lastColumn="0" w:lastRow="0" w:noHBand="0" w:noVBand="1" w:val="04A0"/>
      </w:tblPr>
      <w:tblGrid>
        <w:gridCol w:w="4320"/>
        <w:gridCol w:w="4320"/>
      </w:tblGrid>
      <w:tr>
        <w:tc>
          <w:tcPr>
            <w:tcW w:type="dxa" w:w="4320"/>
          </w:tcPr>
          <w:p>
            <w:r>
              <w:t>Encabezado encontrado</w:t>
            </w:r>
          </w:p>
        </w:tc>
        <w:tc>
          <w:tcPr>
            <w:tcW w:type="dxa" w:w="4320"/>
          </w:tcPr>
          <w:p>
            <w:r>
              <w:t>Encabezado que debes dejar</w:t>
            </w:r>
          </w:p>
        </w:tc>
      </w:tr>
      <w:tr>
        <w:tc>
          <w:tcPr>
            <w:tcW w:type="dxa" w:w="4320"/>
          </w:tcPr>
          <w:p>
            <w:r>
              <w:t>numero_de_fecha_de_evaluaci</w:t>
            </w:r>
          </w:p>
        </w:tc>
        <w:tc>
          <w:tcPr>
            <w:tcW w:type="dxa" w:w="4320"/>
          </w:tcPr>
          <w:p>
            <w:r>
              <w:t>numero_de_fecha_de_evaluacion</w:t>
            </w:r>
          </w:p>
        </w:tc>
      </w:tr>
      <w:tr>
        <w:tc>
          <w:tcPr>
            <w:tcW w:type="dxa" w:w="4320"/>
          </w:tcPr>
          <w:p>
            <w:r>
              <w:t>departamento_institucion_ed</w:t>
            </w:r>
          </w:p>
        </w:tc>
        <w:tc>
          <w:tcPr>
            <w:tcW w:type="dxa" w:w="4320"/>
          </w:tcPr>
          <w:p>
            <w:r>
              <w:t>departamento_institucion_educativa</w:t>
            </w:r>
          </w:p>
        </w:tc>
      </w:tr>
      <w:tr>
        <w:tc>
          <w:tcPr>
            <w:tcW w:type="dxa" w:w="4320"/>
          </w:tcPr>
          <w:p>
            <w:r>
              <w:t>municipio_institucion_</w:t>
            </w:r>
          </w:p>
        </w:tc>
        <w:tc>
          <w:tcPr>
            <w:tcW w:type="dxa" w:w="4320"/>
          </w:tcPr>
          <w:p>
            <w:r>
              <w:t>municipio_institucion_educativa</w:t>
            </w:r>
          </w:p>
        </w:tc>
      </w:tr>
    </w:tbl>
    <w:p/>
    <w:p>
      <w:pPr>
        <w:pStyle w:val="ListNumber"/>
      </w:pPr>
      <w:r>
        <w:t>Abre etl/entradas/pruebas_especificas_2022.csv con un editor de texto.</w:t>
      </w:r>
    </w:p>
    <w:p>
      <w:pPr>
        <w:pStyle w:val="ListNumber"/>
      </w:pPr>
      <w:r>
        <w:t>En la primera fila sustituye únicamente esos tres nombres. No muevas columnas ni valores.</w:t>
      </w:r>
    </w:p>
    <w:p>
      <w:pPr>
        <w:pStyle w:val="ListNumber"/>
      </w:pPr>
      <w:r>
        <w:t>Guarda el archivo como UTF-8 y conserva comas/comillas correctamente.</w:t>
      </w:r>
    </w:p>
    <w:p>
      <w:pPr>
        <w:pStyle w:val="ListNumber"/>
      </w:pPr>
      <w:r>
        <w:t>Repite exactamente la corrección en las copias 2023 y 2024.</w:t>
      </w:r>
    </w:p>
    <w:p>
      <w:pPr>
        <w:pStyle w:val="ListNumber"/>
      </w:pPr>
      <w:r>
        <w:t>Deja intactos los encabezados completos de 2015–2021. El orden diferente de columnas no es un error mientras cada encabezado conserve su columna.</w:t>
      </w:r>
    </w:p>
    <w:p>
      <w:pPr>
        <w:pStyle w:val="ListNumber"/>
      </w:pPr>
      <w:r>
        <w:t>Documenta la modificación: archivo, encabezado original, encabezado corregido, razón y fecha.</w:t>
      </w:r>
    </w:p>
    <w:p>
      <w:r>
        <w:t>Los doce nombres completos definidos por el enunciado (p. 6) son:</w:t>
      </w:r>
    </w:p>
    <w:p>
      <w:pPr>
        <w:pStyle w:val="ListBullet"/>
      </w:pPr>
      <w:r>
        <w:t>fecha_asignacion</w:t>
      </w:r>
    </w:p>
    <w:p>
      <w:pPr>
        <w:pStyle w:val="ListBullet"/>
      </w:pPr>
      <w:r>
        <w:t>sexo</w:t>
      </w:r>
    </w:p>
    <w:p>
      <w:pPr>
        <w:pStyle w:val="ListBullet"/>
      </w:pPr>
      <w:r>
        <w:t>anio_nacimiento</w:t>
      </w:r>
    </w:p>
    <w:p>
      <w:pPr>
        <w:pStyle w:val="ListBullet"/>
      </w:pPr>
      <w:r>
        <w:t>materia</w:t>
      </w:r>
    </w:p>
    <w:p>
      <w:pPr>
        <w:pStyle w:val="ListBullet"/>
      </w:pPr>
      <w:r>
        <w:t>numero_de_fecha_de_evaluacion</w:t>
      </w:r>
    </w:p>
    <w:p>
      <w:pPr>
        <w:pStyle w:val="ListBullet"/>
      </w:pPr>
      <w:r>
        <w:t>anio_de_ingreso</w:t>
      </w:r>
    </w:p>
    <w:p>
      <w:pPr>
        <w:pStyle w:val="ListBullet"/>
      </w:pPr>
      <w:r>
        <w:t>aprobacion</w:t>
      </w:r>
    </w:p>
    <w:p>
      <w:pPr>
        <w:pStyle w:val="ListBullet"/>
      </w:pPr>
      <w:r>
        <w:t>carrera_objetivo</w:t>
      </w:r>
    </w:p>
    <w:p>
      <w:pPr>
        <w:pStyle w:val="ListBullet"/>
      </w:pPr>
      <w:r>
        <w:t>departamento_institucion_educativa</w:t>
      </w:r>
    </w:p>
    <w:p>
      <w:pPr>
        <w:pStyle w:val="ListBullet"/>
      </w:pPr>
      <w:r>
        <w:t>municipio_institucion_educativa</w:t>
      </w:r>
    </w:p>
    <w:p>
      <w:pPr>
        <w:pStyle w:val="ListBullet"/>
      </w:pPr>
      <w:r>
        <w:t>tipo_institucion_educativa</w:t>
      </w:r>
    </w:p>
    <w:p>
      <w:pPr>
        <w:pStyle w:val="ListBullet"/>
      </w:pPr>
      <w:r>
        <w:t>correlativo_aspirante</w:t>
      </w:r>
    </w:p>
    <w:p>
      <w:r>
        <w:t>No copies esta lista sobre un archivo si cambia el orden de las columnas: renombrar una columna no significa reubicar sus datos. No uses encabezados cortos de manera arbitraria.</w:t>
      </w:r>
    </w:p>
    <w:p>
      <w:r>
        <w:t>Antes de continuar: Las copias 2022–2024 ya tienen los tres nombres completos y los originales permanecen sin cambios.</w:t>
      </w:r>
    </w:p>
    <w:p>
      <w:pPr>
        <w:pStyle w:val="Heading1"/>
      </w:pPr>
      <w:r>
        <w:t>5. Qué hacer con SIN REGISTRO, NINGUNO y demás valores</w:t>
      </w:r>
    </w:p>
    <w:p>
      <w:r>
        <w:t>No tienes que limpiar todo manualmente: el proyecto ya implementa reglas. Tu tarea es comprenderlas, comprobarlas y documentarlas, no sustituir datos desconocidos con valores supuestos. El enunciado permite conservar registros incompletos si se justifica (p. 8).</w:t>
      </w:r>
    </w:p>
    <w:tbl>
      <w:tblPr>
        <w:tblW w:type="auto" w:w="0"/>
        <w:tblLook w:firstColumn="1" w:firstRow="1" w:lastColumn="0" w:lastRow="0" w:noHBand="0" w:noVBand="1" w:val="04A0"/>
      </w:tblPr>
      <w:tblGrid>
        <w:gridCol w:w="2880"/>
        <w:gridCol w:w="2880"/>
        <w:gridCol w:w="2880"/>
      </w:tblGrid>
      <w:tr>
        <w:tc>
          <w:tcPr>
            <w:tcW w:type="dxa" w:w="2880"/>
          </w:tcPr>
          <w:p>
            <w:r>
              <w:t>Situación</w:t>
            </w:r>
          </w:p>
        </w:tc>
        <w:tc>
          <w:tcPr>
            <w:tcW w:type="dxa" w:w="2880"/>
          </w:tcPr>
          <w:p>
            <w:r>
              <w:t>Qué debes hacer tú</w:t>
            </w:r>
          </w:p>
        </w:tc>
        <w:tc>
          <w:tcPr>
            <w:tcW w:type="dxa" w:w="2880"/>
          </w:tcPr>
          <w:p>
            <w:r>
              <w:t>Qué hará el sistema / cuidado analítico</w:t>
            </w:r>
          </w:p>
        </w:tc>
      </w:tr>
      <w:tr>
        <w:tc>
          <w:tcPr>
            <w:tcW w:type="dxa" w:w="2880"/>
          </w:tcPr>
          <w:p>
            <w:r>
              <w:t>Nacimiento SIN REGISTRO o vacío</w:t>
            </w:r>
          </w:p>
        </w:tc>
        <w:tc>
          <w:tcPr>
            <w:tcW w:type="dxa" w:w="2880"/>
          </w:tcPr>
          <w:p>
            <w:r>
              <w:t>Conservarlo; no inventar edad ni reemplazar por 0.</w:t>
            </w:r>
          </w:p>
        </w:tc>
        <w:tc>
          <w:tcPr>
            <w:tcW w:type="dxa" w:w="2880"/>
          </w:tcPr>
          <w:p>
            <w:r>
              <w:t>Se normaliza a null; edad desconocida se excluye de análisis por edad, no necesariamente del registro completo.</w:t>
            </w:r>
          </w:p>
        </w:tc>
      </w:tr>
      <w:tr>
        <w:tc>
          <w:tcPr>
            <w:tcW w:type="dxa" w:w="2880"/>
          </w:tcPr>
          <w:p>
            <w:r>
              <w:t>Carrera NINGUNO</w:t>
            </w:r>
          </w:p>
        </w:tc>
        <w:tc>
          <w:tcPr>
            <w:tcW w:type="dxa" w:w="2880"/>
          </w:tcPr>
          <w:p>
            <w:r>
              <w:t>Conservar categoría y documentar su significado.</w:t>
            </w:r>
          </w:p>
        </w:tc>
        <w:tc>
          <w:tcPr>
            <w:tcW w:type="dxa" w:w="2880"/>
          </w:tcPr>
          <w:p>
            <w:r>
              <w:t>No equivale a rechazo. Evitar interpretarla como una carrera académica real en conclusiones.</w:t>
            </w:r>
          </w:p>
        </w:tc>
      </w:tr>
      <w:tr>
        <w:tc>
          <w:tcPr>
            <w:tcW w:type="dxa" w:w="2880"/>
          </w:tcPr>
          <w:p>
            <w:r>
              <w:t>Carrera vacía</w:t>
            </w:r>
          </w:p>
        </w:tc>
        <w:tc>
          <w:tcPr>
            <w:tcW w:type="dxa" w:w="2880"/>
          </w:tcPr>
          <w:p>
            <w:r>
              <w:t>Revisar si la fuente realmente no tiene carrera.</w:t>
            </w:r>
          </w:p>
        </w:tc>
        <w:tc>
          <w:tcPr>
            <w:tcW w:type="dxa" w:w="2880"/>
          </w:tcPr>
          <w:p>
            <w:r>
              <w:t>Se convierte a NINGUNO. Documentar qué proporción de carreras es desconocida.</w:t>
            </w:r>
          </w:p>
        </w:tc>
      </w:tr>
      <w:tr>
        <w:tc>
          <w:tcPr>
            <w:tcW w:type="dxa" w:w="2880"/>
          </w:tcPr>
          <w:p>
            <w:r>
              <w:t>APROBADO / NO APROBADO</w:t>
            </w:r>
          </w:p>
        </w:tc>
        <w:tc>
          <w:tcPr>
            <w:tcW w:type="dxa" w:w="2880"/>
          </w:tcPr>
          <w:p>
            <w:r>
              <w:t>Conservar resultado de fuente.</w:t>
            </w:r>
          </w:p>
        </w:tc>
        <w:tc>
          <w:tcPr>
            <w:tcW w:type="dxa" w:w="2880"/>
          </w:tcPr>
          <w:p>
            <w:r>
              <w:t>Se normalizan también SI/SÍ/1, NO/0 y separadores _ o -. No se aceptan estados ambiguos.</w:t>
            </w:r>
          </w:p>
        </w:tc>
      </w:tr>
      <w:tr>
        <w:tc>
          <w:tcPr>
            <w:tcW w:type="dxa" w:w="2880"/>
          </w:tcPr>
          <w:p>
            <w:r>
              <w:t>Aprobación desconocida o vacía</w:t>
            </w:r>
          </w:p>
        </w:tc>
        <w:tc>
          <w:tcPr>
            <w:tcW w:type="dxa" w:w="2880"/>
          </w:tcPr>
          <w:p>
            <w:r>
              <w:t>Revisar original y evidencia antes de corregir.</w:t>
            </w:r>
          </w:p>
        </w:tc>
        <w:tc>
          <w:tcPr>
            <w:tcW w:type="dxa" w:w="2880"/>
          </w:tcPr>
          <w:p>
            <w:r>
              <w:t>Bloquea envío desde la UI; no inventes APROBADO para lograr cargarlo.</w:t>
            </w:r>
          </w:p>
        </w:tc>
      </w:tr>
      <w:tr>
        <w:tc>
          <w:tcPr>
            <w:tcW w:type="dxa" w:w="2880"/>
          </w:tcPr>
          <w:p>
            <w:r>
              <w:t>Fecha inválida</w:t>
            </w:r>
          </w:p>
        </w:tc>
        <w:tc>
          <w:tcPr>
            <w:tcW w:type="dxa" w:w="2880"/>
          </w:tcPr>
          <w:p>
            <w:r>
              <w:t>Revisar fuente. Si no puede recuperarse, documentar ausencia.</w:t>
            </w:r>
          </w:p>
        </w:tc>
        <w:tc>
          <w:tcPr>
            <w:tcW w:type="dxa" w:w="2880"/>
          </w:tcPr>
          <w:p>
            <w:r>
              <w:t>Puede quedar null con aviso. Afecta agrupaciones por mes.</w:t>
            </w:r>
          </w:p>
        </w:tc>
      </w:tr>
      <w:tr>
        <w:tc>
          <w:tcPr>
            <w:tcW w:type="dxa" w:w="2880"/>
          </w:tcPr>
          <w:p>
            <w:r>
              <w:t>Año de ingreso / oportunidad inválidos</w:t>
            </w:r>
          </w:p>
        </w:tc>
        <w:tc>
          <w:tcPr>
            <w:tcW w:type="dxa" w:w="2880"/>
          </w:tcPr>
          <w:p>
            <w:r>
              <w:t>Corregir solo si existe información verificable.</w:t>
            </w:r>
          </w:p>
        </w:tc>
        <w:tc>
          <w:tcPr>
            <w:tcW w:type="dxa" w:w="2880"/>
          </w:tcPr>
          <w:p>
            <w:r>
              <w:t>Son obligatorios. El backend exige ingreso 1990..2100 y oportunidad entera positiva.</w:t>
            </w:r>
          </w:p>
        </w:tc>
      </w:tr>
      <w:tr>
        <w:tc>
          <w:tcPr>
            <w:tcW w:type="dxa" w:w="2880"/>
          </w:tcPr>
          <w:p>
            <w:r>
              <w:t>Correlativo repetido</w:t>
            </w:r>
          </w:p>
        </w:tc>
        <w:tc>
          <w:tcPr>
            <w:tcW w:type="dxa" w:w="2880"/>
          </w:tcPr>
          <w:p>
            <w:r>
              <w:t>Conservar distintas evaluaciones y oportunidades.</w:t>
            </w:r>
          </w:p>
        </w:tc>
        <w:tc>
          <w:tcPr>
            <w:tcW w:type="dxa" w:w="2880"/>
          </w:tcPr>
          <w:p>
            <w:r>
              <w:t>La identidad del aspirante y la de la evaluación son diferentes.</w:t>
            </w:r>
          </w:p>
        </w:tc>
      </w:tr>
      <w:tr>
        <w:tc>
          <w:tcPr>
            <w:tcW w:type="dxa" w:w="2880"/>
          </w:tcPr>
          <w:p>
            <w:r>
              <w:t>Fila idéntica repetida</w:t>
            </w:r>
          </w:p>
        </w:tc>
        <w:tc>
          <w:tcPr>
            <w:tcW w:type="dxa" w:w="2880"/>
          </w:tcPr>
          <w:p>
            <w:r>
              <w:t>No prometer que fue insertada dos veces.</w:t>
            </w:r>
          </w:p>
        </w:tc>
        <w:tc>
          <w:tcPr>
            <w:tcW w:type="dxa" w:w="2880"/>
          </w:tcPr>
          <w:p>
            <w:r>
              <w:t>El hash normalizado deduplica evaluaciones. Registra duplicados en el reporte.</w:t>
            </w:r>
          </w:p>
        </w:tc>
      </w:tr>
      <w:tr>
        <w:tc>
          <w:tcPr>
            <w:tcW w:type="dxa" w:w="2880"/>
          </w:tcPr>
          <w:p>
            <w:r>
              <w:t>Datos geográficos vacíos</w:t>
            </w:r>
          </w:p>
        </w:tc>
        <w:tc>
          <w:tcPr>
            <w:tcW w:type="dxa" w:w="2880"/>
          </w:tcPr>
          <w:p>
            <w:r>
              <w:t>Revisar encabezados antes de asumir ausencia real.</w:t>
            </w:r>
          </w:p>
        </w:tc>
        <w:tc>
          <w:tcPr>
            <w:tcW w:type="dxa" w:w="2880"/>
          </w:tcPr>
          <w:p>
            <w:r>
              <w:t>Vacíos pasan a SIN REGISTRO. Corregir los encabezados truncados evita pérdida artificial de ubicación.</w:t>
            </w:r>
          </w:p>
        </w:tc>
      </w:tr>
    </w:tbl>
    <w:p/>
    <w:p>
      <w:r>
        <w:t>Atención específica a 2015: se observaron 14,192 registros con nacimiento ausente/especial y 20,275 con carrera exactamente NINGUNO. Son conteos del CSV original, no estadísticas finales de aspirantes únicos. Un año con poca información de edad/carrera no debe compararse sin advertencias con años de mayor completitud.</w:t>
      </w:r>
    </w:p>
    <w:p>
      <w:r>
        <w:t>Resultado que debes conservar: Una tabla de reglas y decisiones, explicando cuáles valores se conservan, cuáles se normalizan y qué análisis excluye nulos.</w:t>
      </w:r>
    </w:p>
    <w:p>
      <w:pPr>
        <w:pStyle w:val="Heading1"/>
      </w:pPr>
      <w:r>
        <w:t>6. Antes de cargar: verifica el entorno y el estado inicial</w:t>
      </w:r>
    </w:p>
    <w:p>
      <w:pPr>
        <w:pStyle w:val="ListNumber"/>
      </w:pPr>
      <w:r>
        <w:t>Si las bases no están iniciadas, desde la raíz ejecuta docker compose up -d y revisa docker compose ps.</w:t>
      </w:r>
    </w:p>
    <w:p>
      <w:pPr>
        <w:pStyle w:val="ListNumber"/>
      </w:pPr>
      <w:r>
        <w:t>Comprueba Spring Boot en su instancia habitual. No abras otra en el puerto 8080 si ya corre en el IDE.</w:t>
      </w:r>
    </w:p>
    <w:p>
      <w:pPr>
        <w:pStyle w:val="ListNumber"/>
      </w:pPr>
      <w:r>
        <w:t>Comprueba React. Usa la URL que indica Vite; si no corre, desde frontend-proyecto-final-db2 ejecuta npm run dev.</w:t>
      </w:r>
    </w:p>
    <w:p>
      <w:pPr>
        <w:pStyle w:val="ListNumber"/>
      </w:pPr>
      <w:r>
        <w:t>Revisa la salud desde la aplicación o GET /api/salud; ambas bases deben estar disponibles.</w:t>
      </w:r>
    </w:p>
    <w:p>
      <w:pPr>
        <w:pStyle w:val="ListNumber"/>
      </w:pPr>
      <w:r>
        <w:t>Anota los conteos iniciales de MongoDB y Neo4j y si hay datos previos. No asumas que las bases están vacías.</w:t>
      </w:r>
    </w:p>
    <w:p>
      <w:pPr>
        <w:pStyle w:val="ListNumber"/>
      </w:pPr>
      <w:r>
        <w:t>Verifica de forma privada que la URI del backend apunta a la base prevista. No copies .env ni credenciales en capturas o informes.</w:t>
      </w:r>
    </w:p>
    <w:p>
      <w:pPr>
        <w:pStyle w:val="ListNumber"/>
      </w:pPr>
      <w:r>
        <w:t>Si necesitas un entorno limpio, utiliza una instalación/base de trabajo separada y autorizada. No elimines datos o volúmenes de la instalación existente para seguir esta guía.</w:t>
      </w:r>
    </w:p>
    <w:p>
      <w:r>
        <w:t># Comprobación sin cargar datos, si el backend usa el puerto habitual:</w:t>
      </w:r>
    </w:p>
    <w:p>
      <w:r>
        <w:t>curl --fail-with-body http://localhost:8080/api/salud</w:t>
      </w:r>
    </w:p>
    <w:p>
      <w:r>
        <w:t>Los puertos habituales son frontend 5173, backend 8080, MongoDB 27017 y Neo4j Bolt 7687. La configuración privada puede cambiarlos. Los conteos de salud MongoDB son estimados; para conciliación exacta usa los controles de la sección 10.</w:t>
      </w:r>
    </w:p>
    <w:p>
      <w:r>
        <w:t>Antes de continuar: Las dos bases están disponibles y se conoce qué datos había antes de la carga. Si una base falla, resuélvelo antes de enviar CSV.</w:t>
      </w:r>
    </w:p>
    <w:p>
      <w:pPr>
        <w:pStyle w:val="Heading1"/>
      </w:pPr>
      <w:r>
        <w:t>7. Revisión previa: empieza por un archivo y no por todos</w:t>
      </w:r>
    </w:p>
    <w:p>
      <w:r>
        <w:t>Puedes cargar varios archivos, pero para la primera ejecución se recomienda uno por año y de manera secuencial. Facilita identificar fallos y evita reconstrucciones concurrentes de la colección aspirantes. Espera a que termine un job antes de iniciar el siguiente.</w:t>
      </w:r>
    </w:p>
    <w:p>
      <w:pPr>
        <w:pStyle w:val="ListNumber"/>
      </w:pPr>
      <w:r>
        <w:t>Abre la pantalla Carga de datos (/carga).</w:t>
      </w:r>
    </w:p>
    <w:p>
      <w:pPr>
        <w:pStyle w:val="ListNumber"/>
      </w:pPr>
      <w:r>
        <w:t>Selecciona la COPIA de pruebas_especificas_2015.csv. No selecciones originales y copias del mismo año en el mismo lote.</w:t>
      </w:r>
    </w:p>
    <w:p>
      <w:pPr>
        <w:pStyle w:val="ListNumber"/>
      </w:pPr>
      <w:r>
        <w:t>Pulsa Revisar antes de enviar.</w:t>
      </w:r>
    </w:p>
    <w:p>
      <w:pPr>
        <w:pStyle w:val="ListNumber"/>
      </w:pPr>
      <w:r>
        <w:t>Comprueba el resumen: nombre de archivo, leídos, registros inválidos, avisos y detalles.</w:t>
      </w:r>
    </w:p>
    <w:p>
      <w:pPr>
        <w:pStyle w:val="ListNumber"/>
      </w:pPr>
      <w:r>
        <w:t>Los avisos por nacimiento desconocido son esperables; revisa su causa y no los confundas con registros rechazados.</w:t>
      </w:r>
    </w:p>
    <w:p>
      <w:pPr>
        <w:pStyle w:val="ListNumber"/>
      </w:pPr>
      <w:r>
        <w:t>Si aparecen filas inválidas o errores de estructura, NO se envió el archivo: corrige la copia, vuelve a seleccionarla y repite la revisión.</w:t>
      </w:r>
    </w:p>
    <w:p>
      <w:pPr>
        <w:pStyle w:val="ListNumber"/>
      </w:pPr>
      <w:r>
        <w:t>Si estás de acuerdo con el resumen y no hay errores bloqueantes, pulsa Confirmar y enviar datos preparados.</w:t>
      </w:r>
    </w:p>
    <w:p>
      <w:r>
        <w:t>En los archivos locales inspeccionados, 2015 contiene 20,277 registros. Ese es un control previo de lectura, no una promesa de 20,277 inserciones: habrá que observar duplicados, rechazos y posibles fallos de persistencia.</w:t>
      </w:r>
    </w:p>
    <w:p>
      <w:r>
        <w:t>La UI bloquea todo el lote si encuentra al menos una fila inválida; no descarta filas silenciosamente. Por eso puedes tener cero rechazos backend si todas las incidencias se resolvieron antes. No fabriques rechazos para llenar una captura: documenta cuándo se detuvo la validación en cliente y cuándo actuó el backend.</w:t>
      </w:r>
    </w:p>
    <w:p>
      <w:r>
        <w:t>Límites locales: hasta 20 MiB por archivo, 20 archivos y 100 MiB por lote. Los límites multipart de Spring/proxy son independientes. Si otro archivo supera el límite, divídelo con una herramienta CSV que respete registros entrecomillados y repita encabezado en cada parte, no por un corte arbitrario de líneas/bytes.</w:t>
      </w:r>
    </w:p>
    <w:p>
      <w:r>
        <w:t>Resultado que debes conservar: Registro de revisión previa: archivo, conteo, avisos, correcciones aplicadas y decisión de enviar. Una captura es útil, pero no sustituye la explicación.</w:t>
      </w:r>
    </w:p>
    <w:p>
      <w:pPr>
        <w:pStyle w:val="Heading1"/>
      </w:pPr>
      <w:r>
        <w:t>8. Espera el resultado del backend y registra la carga</w:t>
      </w:r>
    </w:p>
    <w:p>
      <w:pPr>
        <w:pStyle w:val="ListNumber"/>
      </w:pPr>
      <w:r>
        <w:t>Tras confirmar, conserva el ID de carga que muestra la pantalla. La aceptación inicial no significa éxito final.</w:t>
      </w:r>
    </w:p>
    <w:p>
      <w:pPr>
        <w:pStyle w:val="ListNumber"/>
      </w:pPr>
      <w:r>
        <w:t>Espera a que desaparezca EN_PROCESO. El frontend consulta el reporte periódicamente.</w:t>
      </w:r>
    </w:p>
    <w:p>
      <w:pPr>
        <w:pStyle w:val="ListNumber"/>
      </w:pPr>
      <w:r>
        <w:t>Revisa tanto totales como la fila del archivo: leídos, procesados, rechazados, duplicados, duración y estado.</w:t>
      </w:r>
    </w:p>
    <w:p>
      <w:pPr>
        <w:pStyle w:val="ListNumber"/>
      </w:pPr>
      <w:r>
        <w:t>Si hay rechazos, pulsa Ver registros rechazados y registra sus causas. La pantalla solicita hasta 200; no presupongas que es toda la auditoría si hay más. La API permite paginar.</w:t>
      </w:r>
    </w:p>
    <w:p>
      <w:pPr>
        <w:pStyle w:val="ListNumber"/>
      </w:pPr>
      <w:r>
        <w:t>Revisa pendientes y sincronizados con Neo4j; si la carga está ERROR, no la cuentes como completada aunque procesados sea mayor que cero.</w:t>
      </w:r>
    </w:p>
    <w:p>
      <w:pPr>
        <w:pStyle w:val="ListNumber"/>
      </w:pPr>
      <w:r>
        <w:t>Cuando termine correctamente, continúa con 2016 y así hasta 2024, siempre usando las copias corregidas.</w:t>
      </w:r>
    </w:p>
    <w:p>
      <w:pPr>
        <w:pStyle w:val="ListNumber"/>
      </w:pPr>
      <w:r>
        <w:t>Guarda un registro por carga y por archivo. Si reintentas, conserva también el ID anterior para distinguir resultados.</w:t>
      </w:r>
    </w:p>
    <w:tbl>
      <w:tblPr>
        <w:tblW w:type="auto" w:w="0"/>
        <w:tblLook w:firstColumn="1" w:firstRow="1" w:lastColumn="0" w:lastRow="0" w:noHBand="0" w:noVBand="1" w:val="04A0"/>
      </w:tblPr>
      <w:tblGrid>
        <w:gridCol w:w="2880"/>
        <w:gridCol w:w="2880"/>
        <w:gridCol w:w="2880"/>
      </w:tblGrid>
      <w:tr>
        <w:tc>
          <w:tcPr>
            <w:tcW w:type="dxa" w:w="2880"/>
          </w:tcPr>
          <w:p>
            <w:r>
              <w:t>Estado</w:t>
            </w:r>
          </w:p>
        </w:tc>
        <w:tc>
          <w:tcPr>
            <w:tcW w:type="dxa" w:w="2880"/>
          </w:tcPr>
          <w:p>
            <w:r>
              <w:t>Significado</w:t>
            </w:r>
          </w:p>
        </w:tc>
        <w:tc>
          <w:tcPr>
            <w:tcW w:type="dxa" w:w="2880"/>
          </w:tcPr>
          <w:p>
            <w:r>
              <w:t>Siguiente acción</w:t>
            </w:r>
          </w:p>
        </w:tc>
      </w:tr>
      <w:tr>
        <w:tc>
          <w:tcPr>
            <w:tcW w:type="dxa" w:w="2880"/>
          </w:tcPr>
          <w:p>
            <w:r>
              <w:t>EN_PROCESO</w:t>
            </w:r>
          </w:p>
        </w:tc>
        <w:tc>
          <w:tcPr>
            <w:tcW w:type="dxa" w:w="2880"/>
          </w:tcPr>
          <w:p>
            <w:r>
              <w:t>Todavía está leyendo/escribiendo.</w:t>
            </w:r>
          </w:p>
        </w:tc>
        <w:tc>
          <w:tcPr>
            <w:tcW w:type="dxa" w:w="2880"/>
          </w:tcPr>
          <w:p>
            <w:r>
              <w:t>Esperar y no iniciar otro archivo.</w:t>
            </w:r>
          </w:p>
        </w:tc>
      </w:tr>
      <w:tr>
        <w:tc>
          <w:tcPr>
            <w:tcW w:type="dxa" w:w="2880"/>
          </w:tcPr>
          <w:p>
            <w:r>
              <w:t>EXITOSA</w:t>
            </w:r>
          </w:p>
        </w:tc>
        <w:tc>
          <w:tcPr>
            <w:tcW w:type="dxa" w:w="2880"/>
          </w:tcPr>
          <w:p>
            <w:r>
              <w:t>Se completó sin rechazos de filas.</w:t>
            </w:r>
          </w:p>
        </w:tc>
        <w:tc>
          <w:tcPr>
            <w:tcW w:type="dxa" w:w="2880"/>
          </w:tcPr>
          <w:p>
            <w:r>
              <w:t>Verificar métricas y ambas bases; registrar.</w:t>
            </w:r>
          </w:p>
        </w:tc>
      </w:tr>
      <w:tr>
        <w:tc>
          <w:tcPr>
            <w:tcW w:type="dxa" w:w="2880"/>
          </w:tcPr>
          <w:p>
            <w:r>
              <w:t>EXITOSA_CON_RECHAZOS</w:t>
            </w:r>
          </w:p>
        </w:tc>
        <w:tc>
          <w:tcPr>
            <w:tcW w:type="dxa" w:w="2880"/>
          </w:tcPr>
          <w:p>
            <w:r>
              <w:t>Terminó, pero descartó registros con causa.</w:t>
            </w:r>
          </w:p>
        </w:tc>
        <w:tc>
          <w:tcPr>
            <w:tcW w:type="dxa" w:w="2880"/>
          </w:tcPr>
          <w:p>
            <w:r>
              <w:t>Revisar cada causa relevante y justificar/corregir según fuente.</w:t>
            </w:r>
          </w:p>
        </w:tc>
      </w:tr>
      <w:tr>
        <w:tc>
          <w:tcPr>
            <w:tcW w:type="dxa" w:w="2880"/>
          </w:tcPr>
          <w:p>
            <w:r>
              <w:t>ERROR</w:t>
            </w:r>
          </w:p>
        </w:tc>
        <w:tc>
          <w:tcPr>
            <w:tcW w:type="dxa" w:w="2880"/>
          </w:tcPr>
          <w:p>
            <w:r>
              <w:t>Archivo o persistencia incompletos; puede haber datos parciales.</w:t>
            </w:r>
          </w:p>
        </w:tc>
        <w:tc>
          <w:tcPr>
            <w:tcW w:type="dxa" w:w="2880"/>
          </w:tcPr>
          <w:p>
            <w:r>
              <w:t>No seguir como si fuera éxito; recuperar, verificar y reintentar de forma controlada.</w:t>
            </w:r>
          </w:p>
        </w:tc>
      </w:tr>
    </w:tbl>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 de carga / archivo</w:t>
            </w:r>
          </w:p>
        </w:tc>
        <w:tc>
          <w:tcPr>
            <w:tcW w:type="dxa" w:w="1080"/>
          </w:tcPr>
          <w:p>
            <w:r>
              <w:t>Leídos</w:t>
            </w:r>
          </w:p>
        </w:tc>
        <w:tc>
          <w:tcPr>
            <w:tcW w:type="dxa" w:w="1080"/>
          </w:tcPr>
          <w:p>
            <w:r>
              <w:t>Procesados</w:t>
            </w:r>
          </w:p>
        </w:tc>
        <w:tc>
          <w:tcPr>
            <w:tcW w:type="dxa" w:w="1080"/>
          </w:tcPr>
          <w:p>
            <w:r>
              <w:t>Rechazados</w:t>
            </w:r>
          </w:p>
        </w:tc>
        <w:tc>
          <w:tcPr>
            <w:tcW w:type="dxa" w:w="1080"/>
          </w:tcPr>
          <w:p>
            <w:r>
              <w:t>Duplicados</w:t>
            </w:r>
          </w:p>
        </w:tc>
        <w:tc>
          <w:tcPr>
            <w:tcW w:type="dxa" w:w="1080"/>
          </w:tcPr>
          <w:p>
            <w:r>
              <w:t>Pendientes</w:t>
            </w:r>
          </w:p>
        </w:tc>
        <w:tc>
          <w:tcPr>
            <w:tcW w:type="dxa" w:w="1080"/>
          </w:tcPr>
          <w:p>
            <w:r>
              <w:t>Neo4j sincronizados</w:t>
            </w:r>
          </w:p>
        </w:tc>
        <w:tc>
          <w:tcPr>
            <w:tcW w:type="dxa" w:w="1080"/>
          </w:tcPr>
          <w:p>
            <w:r>
              <w:t>Duración y estado</w:t>
            </w:r>
          </w:p>
        </w:tc>
      </w:tr>
      <w:tr>
        <w:tc>
          <w:tcPr>
            <w:tcW w:type="dxa" w:w="1080"/>
          </w:tcPr>
          <w:p>
            <w:r>
              <w:t>[completar]</w:t>
            </w:r>
          </w:p>
        </w:tc>
        <w:tc>
          <w:tcPr>
            <w:tcW w:type="dxa" w:w="1080"/>
          </w:tcPr>
          <w:p>
            <w:r>
              <w:t>[ ]</w:t>
            </w:r>
          </w:p>
        </w:tc>
        <w:tc>
          <w:tcPr>
            <w:tcW w:type="dxa" w:w="1080"/>
          </w:tcPr>
          <w:p>
            <w:r>
              <w:t>[ ]</w:t>
            </w:r>
          </w:p>
        </w:tc>
        <w:tc>
          <w:tcPr>
            <w:tcW w:type="dxa" w:w="1080"/>
          </w:tcPr>
          <w:p>
            <w:r>
              <w:t>[ ]</w:t>
            </w:r>
          </w:p>
        </w:tc>
        <w:tc>
          <w:tcPr>
            <w:tcW w:type="dxa" w:w="1080"/>
          </w:tcPr>
          <w:p>
            <w:r>
              <w:t>[ ]</w:t>
            </w:r>
          </w:p>
        </w:tc>
        <w:tc>
          <w:tcPr>
            <w:tcW w:type="dxa" w:w="1080"/>
          </w:tcPr>
          <w:p>
            <w:r>
              <w:t>[ ]</w:t>
            </w:r>
          </w:p>
        </w:tc>
        <w:tc>
          <w:tcPr>
            <w:tcW w:type="dxa" w:w="1080"/>
          </w:tcPr>
          <w:p>
            <w:r>
              <w:t>[ ]</w:t>
            </w:r>
          </w:p>
        </w:tc>
        <w:tc>
          <w:tcPr>
            <w:tcW w:type="dxa" w:w="1080"/>
          </w:tcPr>
          <w:p>
            <w:r>
              <w:t>[ ]</w:t>
            </w:r>
          </w:p>
        </w:tc>
      </w:tr>
    </w:tbl>
    <w:p/>
    <w:p>
      <w:r>
        <w:t>Resultado que debes conservar: Bitácora completa de las diez cargas o de los lotes realmente utilizados, con incidencia y resolución asociadas.</w:t>
      </w:r>
    </w:p>
    <w:p>
      <w:pPr>
        <w:pStyle w:val="Heading1"/>
      </w:pPr>
      <w:r>
        <w:t>9. Cómo interpretar las métricas y resolver errores</w:t>
      </w:r>
    </w:p>
    <w:tbl>
      <w:tblPr>
        <w:tblW w:type="auto" w:w="0"/>
        <w:tblLook w:firstColumn="1" w:firstRow="1" w:lastColumn="0" w:lastRow="0" w:noHBand="0" w:noVBand="1" w:val="04A0"/>
      </w:tblPr>
      <w:tblGrid>
        <w:gridCol w:w="4320"/>
        <w:gridCol w:w="4320"/>
      </w:tblGrid>
      <w:tr>
        <w:tc>
          <w:tcPr>
            <w:tcW w:type="dxa" w:w="4320"/>
          </w:tcPr>
          <w:p>
            <w:r>
              <w:t>Métrica</w:t>
            </w:r>
          </w:p>
        </w:tc>
        <w:tc>
          <w:tcPr>
            <w:tcW w:type="dxa" w:w="4320"/>
          </w:tcPr>
          <w:p>
            <w:r>
              <w:t>Interpretación correcta</w:t>
            </w:r>
          </w:p>
        </w:tc>
      </w:tr>
      <w:tr>
        <w:tc>
          <w:tcPr>
            <w:tcW w:type="dxa" w:w="4320"/>
          </w:tcPr>
          <w:p>
            <w:r>
              <w:t>Leídos</w:t>
            </w:r>
          </w:p>
        </w:tc>
        <w:tc>
          <w:tcPr>
            <w:tcW w:type="dxa" w:w="4320"/>
          </w:tcPr>
          <w:p>
            <w:r>
              <w:t>Registros no vacíos extraídos completamente. No incluye automáticamente una cola no leída tras corrupción.</w:t>
            </w:r>
          </w:p>
        </w:tc>
      </w:tr>
      <w:tr>
        <w:tc>
          <w:tcPr>
            <w:tcW w:type="dxa" w:w="4320"/>
          </w:tcPr>
          <w:p>
            <w:r>
              <w:t>Procesados</w:t>
            </w:r>
          </w:p>
        </w:tc>
        <w:tc>
          <w:tcPr>
            <w:tcW w:type="dxa" w:w="4320"/>
          </w:tcPr>
          <w:p>
            <w:r>
              <w:t>Confirmados MongoDB más duplicados reconocidos. No equivale a nuevos documentos ni a éxito de Neo4j.</w:t>
            </w:r>
          </w:p>
        </w:tc>
      </w:tr>
      <w:tr>
        <w:tc>
          <w:tcPr>
            <w:tcW w:type="dxa" w:w="4320"/>
          </w:tcPr>
          <w:p>
            <w:r>
              <w:t>Duplicados</w:t>
            </w:r>
          </w:p>
        </w:tc>
        <w:tc>
          <w:tcPr>
            <w:tcW w:type="dxa" w:w="4320"/>
          </w:tcPr>
          <w:p>
            <w:r>
              <w:t>Parte de procesados que MongoDB no volvió a insertar.</w:t>
            </w:r>
          </w:p>
        </w:tc>
      </w:tr>
      <w:tr>
        <w:tc>
          <w:tcPr>
            <w:tcW w:type="dxa" w:w="4320"/>
          </w:tcPr>
          <w:p>
            <w:r>
              <w:t>Nuevos insertados</w:t>
            </w:r>
          </w:p>
        </w:tc>
        <w:tc>
          <w:tcPr>
            <w:tcW w:type="dxa" w:w="4320"/>
          </w:tcPr>
          <w:p>
            <w:r>
              <w:t>Procesados − duplicados, cuando hay confirmación y sin otros escritores concurrentes.</w:t>
            </w:r>
          </w:p>
        </w:tc>
      </w:tr>
      <w:tr>
        <w:tc>
          <w:tcPr>
            <w:tcW w:type="dxa" w:w="4320"/>
          </w:tcPr>
          <w:p>
            <w:r>
              <w:t>Rechazados</w:t>
            </w:r>
          </w:p>
        </w:tc>
        <w:tc>
          <w:tcPr>
            <w:tcW w:type="dxa" w:w="4320"/>
          </w:tcPr>
          <w:p>
            <w:r>
              <w:t>Filas inválidas o escrituras conocidas como fallidas. Revisa causas.</w:t>
            </w:r>
          </w:p>
        </w:tc>
      </w:tr>
      <w:tr>
        <w:tc>
          <w:tcPr>
            <w:tcW w:type="dxa" w:w="4320"/>
          </w:tcPr>
          <w:p>
            <w:r>
              <w:t>Pendientes</w:t>
            </w:r>
          </w:p>
        </w:tc>
        <w:tc>
          <w:tcPr>
            <w:tcW w:type="dxa" w:w="4320"/>
          </w:tcPr>
          <w:p>
            <w:r>
              <w:t>Leídos − procesados − rechazados, acotado a cero. Debe ser cero al cerrar correctamente.</w:t>
            </w:r>
          </w:p>
        </w:tc>
      </w:tr>
      <w:tr>
        <w:tc>
          <w:tcPr>
            <w:tcW w:type="dxa" w:w="4320"/>
          </w:tcPr>
          <w:p>
            <w:r>
              <w:t>SincronizadosNeo4j</w:t>
            </w:r>
          </w:p>
        </w:tc>
        <w:tc>
          <w:tcPr>
            <w:tcW w:type="dxa" w:w="4320"/>
          </w:tcPr>
          <w:p>
            <w:r>
              <w:t>Filas de lotes cuyo envío al grafo terminó correctamente, no cantidad de nodos nuevos.</w:t>
            </w:r>
          </w:p>
        </w:tc>
      </w:tr>
      <w:tr>
        <w:tc>
          <w:tcPr>
            <w:tcW w:type="dxa" w:w="4320"/>
          </w:tcPr>
          <w:p>
            <w:r>
              <w:t>Duración</w:t>
            </w:r>
          </w:p>
        </w:tc>
        <w:tc>
          <w:tcPr>
            <w:tcW w:type="dxa" w:w="4320"/>
          </w:tcPr>
          <w:p>
            <w:r>
              <w:t>Tiempo medido de la operación; registra por archivo y global.</w:t>
            </w:r>
          </w:p>
        </w:tc>
      </w:tr>
    </w:tbl>
    <w:p/>
    <w:p>
      <w:r>
        <w:t>En una carga terminada y contabilizada debe cumplirse leídos = procesados + rechazados + pendientes. En una carga totalmente sincronizada se espera sincronizadosNeo4j = procesados. Los duplicados pueden reintentarse en Neo4j sin crear nodos innecesarios. En estados transitorios lee los contadores como progreso, no como balance final.</w:t>
      </w:r>
    </w:p>
    <w:tbl>
      <w:tblPr>
        <w:tblW w:type="auto" w:w="0"/>
        <w:tblLook w:firstColumn="1" w:firstRow="1" w:lastColumn="0" w:lastRow="0" w:noHBand="0" w:noVBand="1" w:val="04A0"/>
      </w:tblPr>
      <w:tblGrid>
        <w:gridCol w:w="4320"/>
        <w:gridCol w:w="4320"/>
      </w:tblGrid>
      <w:tr>
        <w:tc>
          <w:tcPr>
            <w:tcW w:type="dxa" w:w="4320"/>
          </w:tcPr>
          <w:p>
            <w:r>
              <w:t>Problema</w:t>
            </w:r>
          </w:p>
        </w:tc>
        <w:tc>
          <w:tcPr>
            <w:tcW w:type="dxa" w:w="4320"/>
          </w:tcPr>
          <w:p>
            <w:r>
              <w:t>Qué revisar y hacer</w:t>
            </w:r>
          </w:p>
        </w:tc>
      </w:tr>
      <w:tr>
        <w:tc>
          <w:tcPr>
            <w:tcW w:type="dxa" w:w="4320"/>
          </w:tcPr>
          <w:p>
            <w:r>
              <w:t>Falta oportunidad en 2022–2024</w:t>
            </w:r>
          </w:p>
        </w:tc>
        <w:tc>
          <w:tcPr>
            <w:tcW w:type="dxa" w:w="4320"/>
          </w:tcPr>
          <w:p>
            <w:r>
              <w:t>Corregir numero_de_fecha_de_evaluaci en el encabezado de la copia. Corregir también departamento y municipio.</w:t>
            </w:r>
          </w:p>
        </w:tc>
      </w:tr>
      <w:tr>
        <w:tc>
          <w:tcPr>
            <w:tcW w:type="dxa" w:w="4320"/>
          </w:tcPr>
          <w:p>
            <w:r>
              <w:t>Todo aparece SIN REGISTRO en geografía</w:t>
            </w:r>
          </w:p>
        </w:tc>
        <w:tc>
          <w:tcPr>
            <w:tcW w:type="dxa" w:w="4320"/>
          </w:tcPr>
          <w:p>
            <w:r>
              <w:t>Revisar si los encabezados geográficos siguen truncados. No aceptar un grafo sin ubicaciones por una pérdida de mapeo.</w:t>
            </w:r>
          </w:p>
        </w:tc>
      </w:tr>
      <w:tr>
        <w:tc>
          <w:tcPr>
            <w:tcW w:type="dxa" w:w="4320"/>
          </w:tcPr>
          <w:p>
            <w:r>
              <w:t>Codificación inválida o comillas corruptas</w:t>
            </w:r>
          </w:p>
        </w:tc>
        <w:tc>
          <w:tcPr>
            <w:tcW w:type="dxa" w:w="4320"/>
          </w:tcPr>
          <w:p>
            <w:r>
              <w:t>Guardar copia UTF-8 y revisar delimitador/comillas; no eliminar caracteres o filas sin registrar la decisión.</w:t>
            </w:r>
          </w:p>
        </w:tc>
      </w:tr>
      <w:tr>
        <w:tc>
          <w:tcPr>
            <w:tcW w:type="dxa" w:w="4320"/>
          </w:tcPr>
          <w:p>
            <w:r>
              <w:t>Nacimiento convertido a null</w:t>
            </w:r>
          </w:p>
        </w:tc>
        <w:tc>
          <w:tcPr>
            <w:tcW w:type="dxa" w:w="4320"/>
          </w:tcPr>
          <w:p>
            <w:r>
              <w:t>Puede ser aviso normal, especialmente en 2015. Conservar el registro y justificar exclusión de edad.</w:t>
            </w:r>
          </w:p>
        </w:tc>
      </w:tr>
      <w:tr>
        <w:tc>
          <w:tcPr>
            <w:tcW w:type="dxa" w:w="4320"/>
          </w:tcPr>
          <w:p>
            <w:r>
              <w:t>Neo4j falla después de MongoDB</w:t>
            </w:r>
          </w:p>
        </w:tc>
        <w:tc>
          <w:tcPr>
            <w:tcW w:type="dxa" w:w="4320"/>
          </w:tcPr>
          <w:p>
            <w:r>
              <w:t>Hay carga parcial. Restaurar disponibilidad y reenviar el mismo archivo aprobado; MongoDB reconocerá duplicados y se reintentará el grafo.</w:t>
            </w:r>
          </w:p>
        </w:tc>
      </w:tr>
      <w:tr>
        <w:tc>
          <w:tcPr>
            <w:tcW w:type="dxa" w:w="4320"/>
          </w:tcPr>
          <w:p>
            <w:r>
              <w:t>MongoDB falla o write concern incierto</w:t>
            </w:r>
          </w:p>
        </w:tc>
        <w:tc>
          <w:tcPr>
            <w:tcW w:type="dxa" w:w="4320"/>
          </w:tcPr>
          <w:p>
            <w:r>
              <w:t>No asumir que todas las escrituras fallaron o todas tuvieron éxito. Revisar pendientes y base antes del reintento.</w:t>
            </w:r>
          </w:p>
        </w:tc>
      </w:tr>
      <w:tr>
        <w:tc>
          <w:tcPr>
            <w:tcW w:type="dxa" w:w="4320"/>
          </w:tcPr>
          <w:p>
            <w:r>
              <w:t>Corrección de valores después de una carga</w:t>
            </w:r>
          </w:p>
        </w:tc>
        <w:tc>
          <w:tcPr>
            <w:tcW w:type="dxa" w:w="4320"/>
          </w:tcPr>
          <w:p>
            <w:r>
              <w:t>Cambiar un dato normalizado puede cambiar hash y crear otro documento. No es una actualización automática; planificar reconciliación o entorno separado con autorización.</w:t>
            </w:r>
          </w:p>
        </w:tc>
      </w:tr>
      <w:tr>
        <w:tc>
          <w:tcPr>
            <w:tcW w:type="dxa" w:w="4320"/>
          </w:tcPr>
          <w:p>
            <w:r>
              <w:t>Backend reiniciado a mitad de carga</w:t>
            </w:r>
          </w:p>
        </w:tc>
        <w:tc>
          <w:tcPr>
            <w:tcW w:type="dxa" w:w="4320"/>
          </w:tcPr>
          <w:p>
            <w:r>
              <w:t>El executor no es una cola durable; no reanuda automáticamente. Revisar reportes/datos y planificar reintento.</w:t>
            </w:r>
          </w:p>
        </w:tc>
      </w:tr>
      <w:tr>
        <w:tc>
          <w:tcPr>
            <w:tcW w:type="dxa" w:w="4320"/>
          </w:tcPr>
          <w:p>
            <w:r>
              <w:t>HTTP 413</w:t>
            </w:r>
          </w:p>
        </w:tc>
        <w:tc>
          <w:tcPr>
            <w:tcW w:type="dxa" w:w="4320"/>
          </w:tcPr>
          <w:p>
            <w:r>
              <w:t>Revisar tamaño y límites frontend, Spring y proxy. No subir límites a ciegas ni usar archivos mal divididos.</w:t>
            </w:r>
          </w:p>
        </w:tc>
      </w:tr>
    </w:tbl>
    <w:p/>
    <w:p>
      <w:r>
        <w:t>Cambiar solo un encabezado de origen no autoriza borrar documentos ya cargados con un mapeo incorrecto. Si ya cargaste 2022–2024 perdiendo geografía, documenta el problema y decide una corrección controlada antes del análisis definitivo. Esta guía no ejecuta borrados.</w:t>
      </w:r>
    </w:p>
    <w:p>
      <w:pPr>
        <w:pStyle w:val="Heading1"/>
      </w:pPr>
      <w:r>
        <w:t>10. Verifica ambas bases antes de analizar</w:t>
      </w:r>
    </w:p>
    <w:p>
      <w:r>
        <w:t>La aplicación es la vía normal de carga y consulta. Las verificaciones administrativas siguientes son opcionales, de solo lectura y se ejecutan en el cliente de cada base con la conexión privada correcta, nunca dentro del navegador React.</w:t>
      </w:r>
    </w:p>
    <w:p>
      <w:pPr>
        <w:pStyle w:val="Heading2"/>
      </w:pPr>
      <w:r>
        <w:t>10.1 Comprobaciones desde la interfaz</w:t>
      </w:r>
    </w:p>
    <w:p>
      <w:pPr>
        <w:pStyle w:val="ListNumber"/>
      </w:pPr>
      <w:r>
        <w:t>Actualiza la salud/historial: ambas bases deben estar disponibles y todas las cargas analizadas en estado final.</w:t>
      </w:r>
    </w:p>
    <w:p>
      <w:pPr>
        <w:pStyle w:val="ListNumber"/>
      </w:pPr>
      <w:r>
        <w:t>En el buscador selecciona un aspirante real que aparezca en los CSV; copia su correlativo sin modificarlo.</w:t>
      </w:r>
    </w:p>
    <w:p>
      <w:pPr>
        <w:pStyle w:val="ListNumber"/>
      </w:pPr>
      <w:r>
        <w:t>Abre C11 y C15 con ese correlativo: revisa materia, oportunidad, año, resultado y geografía de sus evaluaciones.</w:t>
      </w:r>
    </w:p>
    <w:p>
      <w:pPr>
        <w:pStyle w:val="ListNumber"/>
      </w:pPr>
      <w:r>
        <w:t>Verifica un aspirante con varias filas: debe ser una persona con varias evaluaciones, no varias personas.</w:t>
      </w:r>
    </w:p>
    <w:p>
      <w:pPr>
        <w:pStyle w:val="ListNumber"/>
      </w:pPr>
      <w:r>
        <w:t>En el explorador confirma que existan relaciones aspirante–evaluación–materia y carrera/geografía.</w:t>
      </w:r>
    </w:p>
    <w:p>
      <w:pPr>
        <w:pStyle w:val="ListNumber"/>
      </w:pPr>
      <w:r>
        <w:t>Revisa explícitamente registros de 2022–2024 para comprobar que departamento y municipio se preservaron.</w:t>
      </w:r>
    </w:p>
    <w:p>
      <w:pPr>
        <w:pStyle w:val="Heading2"/>
      </w:pPr>
      <w:r>
        <w:t>10.2 Controles de solo lectura en MongoDB</w:t>
      </w:r>
    </w:p>
    <w:p>
      <w:r>
        <w:t>Ejecutar en mongosh/Compass sobre la base seleccionada, sin publicar URI ni credenciales:</w:t>
      </w:r>
    </w:p>
    <w:p>
      <w:r>
        <w:t>db.evaluaciones.countDocuments({})</w:t>
      </w:r>
    </w:p>
    <w:p>
      <w:r>
        <w:t>db.aspirantes.countDocuments({})</w:t>
      </w:r>
    </w:p>
    <w:p>
      <w:r>
        <w:t>db.evaluaciones.aggregate([</w:t>
      </w:r>
    </w:p>
    <w:p>
      <w:r>
        <w:t xml:space="preserve">  { $group: { _id: "$correlativo_aspirante" } },</w:t>
      </w:r>
    </w:p>
    <w:p>
      <w:r>
        <w:t xml:space="preserve">  { $count: "aspirantes_unicos" }</w:t>
      </w:r>
    </w:p>
    <w:p>
      <w:r>
        <w:t>])</w:t>
      </w:r>
    </w:p>
    <w:p>
      <w:r>
        <w:t>db.evaluaciones.aggregate([</w:t>
      </w:r>
    </w:p>
    <w:p>
      <w:r>
        <w:t xml:space="preserve">  { $group: { _id: "$anio_ingreso", evaluaciones: { $sum: 1 } } },</w:t>
      </w:r>
    </w:p>
    <w:p>
      <w:r>
        <w:t xml:space="preserve">  { $sort: { _id: 1 } }</w:t>
      </w:r>
    </w:p>
    <w:p>
      <w:r>
        <w:t>])</w:t>
      </w:r>
    </w:p>
    <w:p>
      <w:r>
        <w:t>La cantidad de documentos aspirantes debe ser coherente con los correlativos distintos después de reconstruir esa colección. No debe igualarse al número de evaluaciones. La diferencia de evaluaciones antes/después debe corresponder a nuevas inserciones si no hubo otras escrituras concurrentes. Si la base ya tenía datos, no compares su total con la suma de CSV como si hubiera empezado vacía.</w:t>
      </w:r>
    </w:p>
    <w:p>
      <w:pPr>
        <w:pStyle w:val="Heading2"/>
      </w:pPr>
      <w:r>
        <w:t>10.3 Controles de solo lectura en Neo4j</w:t>
      </w:r>
    </w:p>
    <w:p>
      <w:r>
        <w:t>MATCH (a:Aspirante) RETURN count(a) AS aspirantes;</w:t>
      </w:r>
    </w:p>
    <w:p>
      <w:r>
        <w:t>MATCH (e:Evaluacion) RETURN count(e) AS evaluaciones;</w:t>
      </w:r>
    </w:p>
    <w:p>
      <w:r>
        <w:t>MATCH ()-[r]-&gt;() RETURN type(r) AS relacion, count(*) AS total ORDER BY relacion;</w:t>
      </w:r>
    </w:p>
    <w:p>
      <w:r>
        <w:t>Ejecuta cada sentencia por separado en Neo4j Browser o cliente administrativo. Los nodos Evaluacion no tienen por qué igualar los documentos MongoDB si varias filas diferentes describen el mismo intento: el grafo usa clave correlativo/materia/año/oportunidad y MongoDB usa hash de los campos normalizados. No fuerces coincidencias borrando datos.</w:t>
      </w:r>
    </w:p>
    <w:p>
      <w:pPr>
        <w:pStyle w:val="Heading2"/>
      </w:pPr>
      <w:r>
        <w:t>10.4 Prueba controlada de idempotencia</w:t>
      </w:r>
    </w:p>
    <w:p>
      <w:r>
        <w:t>Opcional para verificar el requisito de evitar duplicados: anota los conteos, reenvía una sola copia SIN CAMBIOS cuando no haya otros trabajos y vuelve a contarlos. Espera principalmente duplicados y no nuevos documentos idénticos; los nodos/relaciones deben mantenerse coherentes con MERGE. Registra el nuevo ID como reintento, no como un año adicional. Si el original nunca terminó, el reenvío también puede completar datos pendientes y no es una prueba pura de duplicación.</w:t>
      </w:r>
    </w:p>
    <w:p>
      <w:r>
        <w:t>Resultado que debes conservar: Conciliación de evaluaciones, aspirantes, años y relaciones, explicando cualquier diferencia entre modelos.</w:t>
      </w:r>
    </w:p>
    <w:p>
      <w:pPr>
        <w:pStyle w:val="Heading1"/>
      </w:pPr>
      <w:r>
        <w:t>11. Regenera la colección auxiliar antes de sacar conclusiones</w:t>
      </w:r>
    </w:p>
    <w:p>
      <w:pPr>
        <w:pStyle w:val="ListNumber"/>
      </w:pPr>
      <w:r>
        <w:t>Después de la última carga completada, abre Consultas MongoDB.</w:t>
      </w:r>
    </w:p>
    <w:p>
      <w:pPr>
        <w:pStyle w:val="ListNumber"/>
      </w:pPr>
      <w:r>
        <w:t>Selecciona 06 — Resumen por carrera ($merge).</w:t>
      </w:r>
    </w:p>
    <w:p>
      <w:pPr>
        <w:pStyle w:val="ListNumber"/>
      </w:pPr>
      <w:r>
        <w:t>Pulsa Regenerar resumen y espera el resultado.</w:t>
      </w:r>
    </w:p>
    <w:p>
      <w:pPr>
        <w:pStyle w:val="ListNumber"/>
      </w:pPr>
      <w:r>
        <w:t>Revisa total_evaluaciones, total_aspirantes, aprobados, reprobados, tasa y edad promedio.</w:t>
      </w:r>
    </w:p>
    <w:p>
      <w:pPr>
        <w:pStyle w:val="ListNumber"/>
      </w:pPr>
      <w:r>
        <w:t>Si vuelves a cargar datos, repite la regeneración antes de comparar resultados finales.</w:t>
      </w:r>
    </w:p>
    <w:p>
      <w:r>
        <w:t>C6 usa todos los datos, no los filtros de las otras consultas. La colección resumen_carrera es derivada: no se regenera automáticamente por cada carga. Su tasa usa evaluaciones; sus edades pueden estar ponderadas por registros y no son necesariamente equivalentes a la población deduplicada de C5. No presentes ambos promedios como idénticos sin comprobar la definición.</w:t>
      </w:r>
    </w:p>
    <w:p>
      <w:r>
        <w:t>Antes de continuar: Tienes un resumen reciente y conoces el corte de datos al que corresponde.</w:t>
      </w:r>
    </w:p>
    <w:p>
      <w:pPr>
        <w:pStyle w:val="Heading1"/>
      </w:pPr>
      <w:r>
        <w:t>12. Ejecuta las veinte consultas MongoDB con un plan</w:t>
      </w:r>
    </w:p>
    <w:p>
      <w:r>
        <w:t>Abre Consultas MongoDB. Para un resultado general limpia filtros; para comparar años usa exactamente el mismo conjunto de filtros en cada comparación. La selección/cambio de filtros ejecuta la consulta; Ejecutar de nuevo actualiza. En C11/C15 debes introducir un correlativo real. Algunas salidas son tablas, no todas tienen una gráfica y eso es válido según el PDF.</w:t>
      </w:r>
    </w:p>
    <w:p>
      <w:r>
        <w:t>Registra los filtros, tamaño/denominador, fecha de ejecución y si existe límite de resultados. Las gráficas de barras de la pantalla muestran como máximo las primeras 20 categorías; para cobertura completa revisa la tabla o respuesta de la API. Un grafo o tabla limitada no representa automáticamente el universo completo.</w:t>
      </w:r>
    </w:p>
    <w:tbl>
      <w:tblPr>
        <w:tblW w:type="auto" w:w="0"/>
        <w:tblLook w:firstColumn="1" w:firstRow="1" w:lastColumn="0" w:lastRow="0" w:noHBand="0" w:noVBand="1" w:val="04A0"/>
      </w:tblPr>
      <w:tblGrid>
        <w:gridCol w:w="2160"/>
        <w:gridCol w:w="2160"/>
        <w:gridCol w:w="2160"/>
        <w:gridCol w:w="2160"/>
      </w:tblGrid>
      <w:tr>
        <w:tc>
          <w:tcPr>
            <w:tcW w:type="dxa" w:w="2160"/>
          </w:tcPr>
          <w:p>
            <w:r>
              <w:t>C</w:t>
            </w:r>
          </w:p>
        </w:tc>
        <w:tc>
          <w:tcPr>
            <w:tcW w:type="dxa" w:w="2160"/>
          </w:tcPr>
          <w:p>
            <w:r>
              <w:t>Consulta exigida</w:t>
            </w:r>
          </w:p>
        </w:tc>
        <w:tc>
          <w:tcPr>
            <w:tcW w:type="dxa" w:w="2160"/>
          </w:tcPr>
          <w:p>
            <w:r>
              <w:t>Cómo ejecutarla</w:t>
            </w:r>
          </w:p>
        </w:tc>
        <w:tc>
          <w:tcPr>
            <w:tcW w:type="dxa" w:w="2160"/>
          </w:tcPr>
          <w:p>
            <w:r>
              <w:t>Qué comprobar / explicar</w:t>
            </w:r>
          </w:p>
        </w:tc>
      </w:tr>
      <w:tr>
        <w:tc>
          <w:tcPr>
            <w:tcW w:type="dxa" w:w="2160"/>
          </w:tcPr>
          <w:p>
            <w:r>
              <w:t>1</w:t>
            </w:r>
          </w:p>
        </w:tc>
        <w:tc>
          <w:tcPr>
            <w:tcW w:type="dxa" w:w="2160"/>
          </w:tcPr>
          <w:p>
            <w:r>
              <w:t>Aspirantes por tipo de institución</w:t>
            </w:r>
          </w:p>
        </w:tc>
        <w:tc>
          <w:tcPr>
            <w:tcW w:type="dxa" w:w="2160"/>
          </w:tcPr>
          <w:p>
            <w:r>
              <w:t>Sin filtros; después un año.</w:t>
            </w:r>
          </w:p>
        </w:tc>
        <w:tc>
          <w:tcPr>
            <w:tcW w:type="dxa" w:w="2160"/>
          </w:tcPr>
          <w:p>
            <w:r>
              <w:t>Aspirantes distintos dentro de cada tipo, no filas. No sumar categorías como personas globales si una persona cambia de categoría.</w:t>
            </w:r>
          </w:p>
        </w:tc>
      </w:tr>
      <w:tr>
        <w:tc>
          <w:tcPr>
            <w:tcW w:type="dxa" w:w="2160"/>
          </w:tcPr>
          <w:p>
            <w:r>
              <w:t>2</w:t>
            </w:r>
          </w:p>
        </w:tc>
        <w:tc>
          <w:tcPr>
            <w:tcW w:type="dxa" w:w="2160"/>
          </w:tcPr>
          <w:p>
            <w:r>
              <w:t>Aprobados por materia</w:t>
            </w:r>
          </w:p>
        </w:tc>
        <w:tc>
          <w:tcPr>
            <w:tcW w:type="dxa" w:w="2160"/>
          </w:tcPr>
          <w:p>
            <w:r>
              <w:t>Sin filtros o por año.</w:t>
            </w:r>
          </w:p>
        </w:tc>
        <w:tc>
          <w:tcPr>
            <w:tcW w:type="dxa" w:w="2160"/>
          </w:tcPr>
          <w:p>
            <w:r>
              <w:t>Evaluaciones aprobadas, no necesariamente aspirantes distintos.</w:t>
            </w:r>
          </w:p>
        </w:tc>
      </w:tr>
      <w:tr>
        <w:tc>
          <w:tcPr>
            <w:tcW w:type="dxa" w:w="2160"/>
          </w:tcPr>
          <w:p>
            <w:r>
              <w:t>3</w:t>
            </w:r>
          </w:p>
        </w:tc>
        <w:tc>
          <w:tcPr>
            <w:tcW w:type="dxa" w:w="2160"/>
          </w:tcPr>
          <w:p>
            <w:r>
              <w:t>Aprobados por carrera y año</w:t>
            </w:r>
          </w:p>
        </w:tc>
        <w:tc>
          <w:tcPr>
            <w:tcW w:type="dxa" w:w="2160"/>
          </w:tcPr>
          <w:p>
            <w:r>
              <w:t>Carrera concreta y luego todas.</w:t>
            </w:r>
          </w:p>
        </w:tc>
        <w:tc>
          <w:tcPr>
            <w:tcW w:type="dxa" w:w="2160"/>
          </w:tcPr>
          <w:p>
            <w:r>
              <w:t>Aspirantes distintos aprobados en cada grupo carrera/año.</w:t>
            </w:r>
          </w:p>
        </w:tc>
      </w:tr>
      <w:tr>
        <w:tc>
          <w:tcPr>
            <w:tcW w:type="dxa" w:w="2160"/>
          </w:tcPr>
          <w:p>
            <w:r>
              <w:t>4</w:t>
            </w:r>
          </w:p>
        </w:tc>
        <w:tc>
          <w:tcPr>
            <w:tcW w:type="dxa" w:w="2160"/>
          </w:tcPr>
          <w:p>
            <w:r>
              <w:t>Porcentaje de aprobación por materia</w:t>
            </w:r>
          </w:p>
        </w:tc>
        <w:tc>
          <w:tcPr>
            <w:tcW w:type="dxa" w:w="2160"/>
          </w:tcPr>
          <w:p>
            <w:r>
              <w:t>Mismo año y contexto para comparar materias.</w:t>
            </w:r>
          </w:p>
        </w:tc>
        <w:tc>
          <w:tcPr>
            <w:tcW w:type="dxa" w:w="2160"/>
          </w:tcPr>
          <w:p>
            <w:r>
              <w:t>aprobados/total de evaluaciones × 100; informa denominador.</w:t>
            </w:r>
          </w:p>
        </w:tc>
      </w:tr>
      <w:tr>
        <w:tc>
          <w:tcPr>
            <w:tcW w:type="dxa" w:w="2160"/>
          </w:tcPr>
          <w:p>
            <w:r>
              <w:t>5</w:t>
            </w:r>
          </w:p>
        </w:tc>
        <w:tc>
          <w:tcPr>
            <w:tcW w:type="dxa" w:w="2160"/>
          </w:tcPr>
          <w:p>
            <w:r>
              <w:t>Promedio de edad por carrera</w:t>
            </w:r>
          </w:p>
        </w:tc>
        <w:tc>
          <w:tcPr>
            <w:tcW w:type="dxa" w:w="2160"/>
          </w:tcPr>
          <w:p>
            <w:r>
              <w:t>Preferiblemente por año.</w:t>
            </w:r>
          </w:p>
        </w:tc>
        <w:tc>
          <w:tcPr>
            <w:tcW w:type="dxa" w:w="2160"/>
          </w:tcPr>
          <w:p>
            <w:r>
              <w:t>Solo edades válidas; muestra tamaño de muestra. Sin filtro anual revisa cómo se toma la edad de personas con varios años.</w:t>
            </w:r>
          </w:p>
        </w:tc>
      </w:tr>
      <w:tr>
        <w:tc>
          <w:tcPr>
            <w:tcW w:type="dxa" w:w="2160"/>
          </w:tcPr>
          <w:p>
            <w:r>
              <w:t>6</w:t>
            </w:r>
          </w:p>
        </w:tc>
        <w:tc>
          <w:tcPr>
            <w:tcW w:type="dxa" w:w="2160"/>
          </w:tcPr>
          <w:p>
            <w:r>
              <w:t>Colección auxiliar resumen_carrera</w:t>
            </w:r>
          </w:p>
        </w:tc>
        <w:tc>
          <w:tcPr>
            <w:tcW w:type="dxa" w:w="2160"/>
          </w:tcPr>
          <w:p>
            <w:r>
              <w:t>Regenerar al finalizar cargas.</w:t>
            </w:r>
          </w:p>
        </w:tc>
        <w:tc>
          <w:tcPr>
            <w:tcW w:type="dxa" w:w="2160"/>
          </w:tcPr>
          <w:p>
            <w:r>
              <w:t>Comprobar persistencia de resumen; distinguir personas de evaluaciones y promedios ponderados por registros.</w:t>
            </w:r>
          </w:p>
        </w:tc>
      </w:tr>
      <w:tr>
        <w:tc>
          <w:tcPr>
            <w:tcW w:type="dxa" w:w="2160"/>
          </w:tcPr>
          <w:p>
            <w:r>
              <w:t>7</w:t>
            </w:r>
          </w:p>
        </w:tc>
        <w:tc>
          <w:tcPr>
            <w:tcW w:type="dxa" w:w="2160"/>
          </w:tcPr>
          <w:p>
            <w:r>
              <w:t>Edad de aprobados por carrera y tipo</w:t>
            </w:r>
          </w:p>
        </w:tc>
        <w:tc>
          <w:tcPr>
            <w:tcW w:type="dxa" w:w="2160"/>
          </w:tcPr>
          <w:p>
            <w:r>
              <w:t>Un año y tipos comparables.</w:t>
            </w:r>
          </w:p>
        </w:tc>
        <w:tc>
          <w:tcPr>
            <w:tcW w:type="dxa" w:w="2160"/>
          </w:tcPr>
          <w:p>
            <w:r>
              <w:t>Comparar medias de población con edad disponible y explicitar grupos.</w:t>
            </w:r>
          </w:p>
        </w:tc>
      </w:tr>
      <w:tr>
        <w:tc>
          <w:tcPr>
            <w:tcW w:type="dxa" w:w="2160"/>
          </w:tcPr>
          <w:p>
            <w:r>
              <w:t>8</w:t>
            </w:r>
          </w:p>
        </w:tc>
        <w:tc>
          <w:tcPr>
            <w:tcW w:type="dxa" w:w="2160"/>
          </w:tcPr>
          <w:p>
            <w:r>
              <w:t>Aprobados por municipio y carrera</w:t>
            </w:r>
          </w:p>
        </w:tc>
        <w:tc>
          <w:tcPr>
            <w:tcW w:type="dxa" w:w="2160"/>
          </w:tcPr>
          <w:p>
            <w:r>
              <w:t>Carrera/departamento que existan.</w:t>
            </w:r>
          </w:p>
        </w:tc>
        <w:tc>
          <w:tcPr>
            <w:tcW w:type="dxa" w:w="2160"/>
          </w:tcPr>
          <w:p>
            <w:r>
              <w:t>Ubicación corresponde a la institución, no necesariamente residencia personal.</w:t>
            </w:r>
          </w:p>
        </w:tc>
      </w:tr>
      <w:tr>
        <w:tc>
          <w:tcPr>
            <w:tcW w:type="dxa" w:w="2160"/>
          </w:tcPr>
          <w:p>
            <w:r>
              <w:t>9</w:t>
            </w:r>
          </w:p>
        </w:tc>
        <w:tc>
          <w:tcPr>
            <w:tcW w:type="dxa" w:w="2160"/>
          </w:tcPr>
          <w:p>
            <w:r>
              <w:t>Evaluaciones por mes y materia, públicas</w:t>
            </w:r>
          </w:p>
        </w:tc>
        <w:tc>
          <w:tcPr>
            <w:tcW w:type="dxa" w:w="2160"/>
          </w:tcPr>
          <w:p>
            <w:r>
              <w:t>Año y tipo PUBLICO, sin filtro incompatible.</w:t>
            </w:r>
          </w:p>
        </w:tc>
        <w:tc>
          <w:tcPr>
            <w:tcW w:type="dxa" w:w="2160"/>
          </w:tcPr>
          <w:p>
            <w:r>
              <w:t>Usa mes de fecha_asignacion; es fecha de asignación, no fecha real del examen. Sin año puede mezclar eneros de varios años.</w:t>
            </w:r>
          </w:p>
        </w:tc>
      </w:tr>
      <w:tr>
        <w:tc>
          <w:tcPr>
            <w:tcW w:type="dxa" w:w="2160"/>
          </w:tcPr>
          <w:p>
            <w:r>
              <w:t>10</w:t>
            </w:r>
          </w:p>
        </w:tc>
        <w:tc>
          <w:tcPr>
            <w:tcW w:type="dxa" w:w="2160"/>
          </w:tcPr>
          <w:p>
            <w:r>
              <w:t>Top 5 carreras de 16–18 años</w:t>
            </w:r>
          </w:p>
        </w:tc>
        <w:tc>
          <w:tcPr>
            <w:tcW w:type="dxa" w:w="2160"/>
          </w:tcPr>
          <w:p>
            <w:r>
              <w:t>Un año; revisar NINGUNO.</w:t>
            </w:r>
          </w:p>
        </w:tc>
        <w:tc>
          <w:tcPr>
            <w:tcW w:type="dxa" w:w="2160"/>
          </w:tcPr>
          <w:p>
            <w:r>
              <w:t>Aspirantes distintos de edad válida. Una categoría NINGUNO no es una carrera real.</w:t>
            </w:r>
          </w:p>
        </w:tc>
      </w:tr>
      <w:tr>
        <w:tc>
          <w:tcPr>
            <w:tcW w:type="dxa" w:w="2160"/>
          </w:tcPr>
          <w:p>
            <w:r>
              <w:t>11</w:t>
            </w:r>
          </w:p>
        </w:tc>
        <w:tc>
          <w:tcPr>
            <w:tcW w:type="dxa" w:w="2160"/>
          </w:tcPr>
          <w:p>
            <w:r>
              <w:t>Historial de desempeño</w:t>
            </w:r>
          </w:p>
        </w:tc>
        <w:tc>
          <w:tcPr>
            <w:tcW w:type="dxa" w:w="2160"/>
          </w:tcPr>
          <w:p>
            <w:r>
              <w:t>Correlativo real encontrado en buscador.</w:t>
            </w:r>
          </w:p>
        </w:tc>
        <w:tc>
          <w:tcPr>
            <w:tcW w:type="dxa" w:w="2160"/>
          </w:tcPr>
          <w:p>
            <w:r>
              <w:t>Materias, años, oportunidades y resultados de la misma persona.</w:t>
            </w:r>
          </w:p>
        </w:tc>
      </w:tr>
      <w:tr>
        <w:tc>
          <w:tcPr>
            <w:tcW w:type="dxa" w:w="2160"/>
          </w:tcPr>
          <w:p>
            <w:r>
              <w:t>12</w:t>
            </w:r>
          </w:p>
        </w:tc>
        <w:tc>
          <w:tcPr>
            <w:tcW w:type="dxa" w:w="2160"/>
          </w:tcPr>
          <w:p>
            <w:r>
              <w:t>Distribución por sexo y tipo</w:t>
            </w:r>
          </w:p>
        </w:tc>
        <w:tc>
          <w:tcPr>
            <w:tcW w:type="dxa" w:w="2160"/>
          </w:tcPr>
          <w:p>
            <w:r>
              <w:t>Sin filtros y luego por año.</w:t>
            </w:r>
          </w:p>
        </w:tc>
        <w:tc>
          <w:tcPr>
            <w:tcW w:type="dxa" w:w="2160"/>
          </w:tcPr>
          <w:p>
            <w:r>
              <w:t>Personas por grupo; revisar DESCONOCIDO y cambios de grupo.</w:t>
            </w:r>
          </w:p>
        </w:tc>
      </w:tr>
      <w:tr>
        <w:tc>
          <w:tcPr>
            <w:tcW w:type="dxa" w:w="2160"/>
          </w:tcPr>
          <w:p>
            <w:r>
              <w:t>13</w:t>
            </w:r>
          </w:p>
        </w:tc>
        <w:tc>
          <w:tcPr>
            <w:tcW w:type="dxa" w:w="2160"/>
          </w:tcPr>
          <w:p>
            <w:r>
              <w:t>Tasa de aprobación por edad</w:t>
            </w:r>
          </w:p>
        </w:tc>
        <w:tc>
          <w:tcPr>
            <w:tcW w:type="dxa" w:w="2160"/>
          </w:tcPr>
          <w:p>
            <w:r>
              <w:t>Año concreto si es posible.</w:t>
            </w:r>
          </w:p>
        </w:tc>
        <w:tc>
          <w:tcPr>
            <w:tcW w:type="dxa" w:w="2160"/>
          </w:tcPr>
          <w:p>
            <w:r>
              <w:t>Porcentaje de evaluaciones por edad con tamaño de muestra; no imputar nacimiento desconocido.</w:t>
            </w:r>
          </w:p>
        </w:tc>
      </w:tr>
      <w:tr>
        <w:tc>
          <w:tcPr>
            <w:tcW w:type="dxa" w:w="2160"/>
          </w:tcPr>
          <w:p>
            <w:r>
              <w:t>14</w:t>
            </w:r>
          </w:p>
        </w:tc>
        <w:tc>
          <w:tcPr>
            <w:tcW w:type="dxa" w:w="2160"/>
          </w:tcPr>
          <w:p>
            <w:r>
              <w:t>Intentos promedio por materia</w:t>
            </w:r>
          </w:p>
        </w:tc>
        <w:tc>
          <w:tcPr>
            <w:tcW w:type="dxa" w:w="2160"/>
          </w:tcPr>
          <w:p>
            <w:r>
              <w:t>General y por año.</w:t>
            </w:r>
          </w:p>
        </w:tc>
        <w:tc>
          <w:tcPr>
            <w:tcW w:type="dxa" w:w="2160"/>
          </w:tcPr>
          <w:p>
            <w:r>
              <w:t>Oportunidades observadas distintas por persona/materia/año. No confundir oportunidad 4 aislada con cuatro intentos observados.</w:t>
            </w:r>
          </w:p>
        </w:tc>
      </w:tr>
      <w:tr>
        <w:tc>
          <w:tcPr>
            <w:tcW w:type="dxa" w:w="2160"/>
          </w:tcPr>
          <w:p>
            <w:r>
              <w:t>15</w:t>
            </w:r>
          </w:p>
        </w:tc>
        <w:tc>
          <w:tcPr>
            <w:tcW w:type="dxa" w:w="2160"/>
          </w:tcPr>
          <w:p>
            <w:r>
              <w:t>Historial completo del aspirante</w:t>
            </w:r>
          </w:p>
        </w:tc>
        <w:tc>
          <w:tcPr>
            <w:tcW w:type="dxa" w:w="2160"/>
          </w:tcPr>
          <w:p>
            <w:r>
              <w:t>Mismo correlativo de C11.</w:t>
            </w:r>
          </w:p>
        </w:tc>
        <w:tc>
          <w:tcPr>
            <w:tcW w:type="dxa" w:w="2160"/>
          </w:tcPr>
          <w:p>
            <w:r>
              <w:t>Revisar ficha, historial completo y documento técnico; contrastar geografía y procedencia.</w:t>
            </w:r>
          </w:p>
        </w:tc>
      </w:tr>
      <w:tr>
        <w:tc>
          <w:tcPr>
            <w:tcW w:type="dxa" w:w="2160"/>
          </w:tcPr>
          <w:p>
            <w:r>
              <w:t>16</w:t>
            </w:r>
          </w:p>
        </w:tc>
        <w:tc>
          <w:tcPr>
            <w:tcW w:type="dxa" w:w="2160"/>
          </w:tcPr>
          <w:p>
            <w:r>
              <w:t>Reprobados en primer intento</w:t>
            </w:r>
          </w:p>
        </w:tc>
        <w:tc>
          <w:tcPr>
            <w:tcW w:type="dxa" w:w="2160"/>
          </w:tcPr>
          <w:p>
            <w:r>
              <w:t>Año y carrera.</w:t>
            </w:r>
          </w:p>
        </w:tc>
        <w:tc>
          <w:tcPr>
            <w:tcW w:type="dxa" w:w="2160"/>
          </w:tcPr>
          <w:p>
            <w:r>
              <w:t>Personas que tienen registro no aprobado en oportunidad 1. No equivale a nunca haber aprobado después.</w:t>
            </w:r>
          </w:p>
        </w:tc>
      </w:tr>
      <w:tr>
        <w:tc>
          <w:tcPr>
            <w:tcW w:type="dxa" w:w="2160"/>
          </w:tcPr>
          <w:p>
            <w:r>
              <w:t>17</w:t>
            </w:r>
          </w:p>
        </w:tc>
        <w:tc>
          <w:tcPr>
            <w:tcW w:type="dxa" w:w="2160"/>
          </w:tcPr>
          <w:p>
            <w:r>
              <w:t>Top 5 municipios por aspirantes</w:t>
            </w:r>
          </w:p>
        </w:tc>
        <w:tc>
          <w:tcPr>
            <w:tcW w:type="dxa" w:w="2160"/>
          </w:tcPr>
          <w:p>
            <w:r>
              <w:t>General y departamento.</w:t>
            </w:r>
          </w:p>
        </w:tc>
        <w:tc>
          <w:tcPr>
            <w:tcW w:type="dxa" w:w="2160"/>
          </w:tcPr>
          <w:p>
            <w:r>
              <w:t>Personas distintas por municipio institucional; nombres iguales pueden pertenecer a distintos departamentos.</w:t>
            </w:r>
          </w:p>
        </w:tc>
      </w:tr>
      <w:tr>
        <w:tc>
          <w:tcPr>
            <w:tcW w:type="dxa" w:w="2160"/>
          </w:tcPr>
          <w:p>
            <w:r>
              <w:t>18</w:t>
            </w:r>
          </w:p>
        </w:tc>
        <w:tc>
          <w:tcPr>
            <w:tcW w:type="dxa" w:w="2160"/>
          </w:tcPr>
          <w:p>
            <w:r>
              <w:t>Tasa por tipo de institución</w:t>
            </w:r>
          </w:p>
        </w:tc>
        <w:tc>
          <w:tcPr>
            <w:tcW w:type="dxa" w:w="2160"/>
          </w:tcPr>
          <w:p>
            <w:r>
              <w:t>Mismo año para PUBLICO/PRIVADO.</w:t>
            </w:r>
          </w:p>
        </w:tc>
        <w:tc>
          <w:tcPr>
            <w:tcW w:type="dxa" w:w="2160"/>
          </w:tcPr>
          <w:p>
            <w:r>
              <w:t>Porcentaje con denominador de evaluaciones; no concluir causalidad por tipo de establecimiento.</w:t>
            </w:r>
          </w:p>
        </w:tc>
      </w:tr>
      <w:tr>
        <w:tc>
          <w:tcPr>
            <w:tcW w:type="dxa" w:w="2160"/>
          </w:tcPr>
          <w:p>
            <w:r>
              <w:t>19</w:t>
            </w:r>
          </w:p>
        </w:tc>
        <w:tc>
          <w:tcPr>
            <w:tcW w:type="dxa" w:w="2160"/>
          </w:tcPr>
          <w:p>
            <w:r>
              <w:t>Carreras por departamento</w:t>
            </w:r>
          </w:p>
        </w:tc>
        <w:tc>
          <w:tcPr>
            <w:tcW w:type="dxa" w:w="2160"/>
          </w:tcPr>
          <w:p>
            <w:r>
              <w:t>Departamento real; luego comparación.</w:t>
            </w:r>
          </w:p>
        </w:tc>
        <w:tc>
          <w:tcPr>
            <w:tcW w:type="dxa" w:w="2160"/>
          </w:tcPr>
          <w:p>
            <w:r>
              <w:t>La UI muestra ranking de principales carreras por departamento; empates/límites deben mencionarse.</w:t>
            </w:r>
          </w:p>
        </w:tc>
      </w:tr>
      <w:tr>
        <w:tc>
          <w:tcPr>
            <w:tcW w:type="dxa" w:w="2160"/>
          </w:tcPr>
          <w:p>
            <w:r>
              <w:t>20</w:t>
            </w:r>
          </w:p>
        </w:tc>
        <w:tc>
          <w:tcPr>
            <w:tcW w:type="dxa" w:w="2160"/>
          </w:tcPr>
          <w:p>
            <w:r>
              <w:t>Evolución anual</w:t>
            </w:r>
          </w:p>
        </w:tc>
        <w:tc>
          <w:tcPr>
            <w:tcW w:type="dxa" w:w="2160"/>
          </w:tcPr>
          <w:p>
            <w:r>
              <w:t>Todos los años sin filtro anual para la serie.</w:t>
            </w:r>
          </w:p>
        </w:tc>
        <w:tc>
          <w:tcPr>
            <w:tcW w:type="dxa" w:w="2160"/>
          </w:tcPr>
          <w:p>
            <w:r>
              <w:t>Cantidades y ambos porcentajes; aprobados + no_aprobados = total; tasas suman ≈100 por redondeo.</w:t>
            </w:r>
          </w:p>
        </w:tc>
      </w:tr>
    </w:tbl>
    <w:p/>
    <w:p>
      <w:r>
        <w:t>Resultado que debes conservar: Matriz C01–C20 con ejecución, filtros y resultado. Conserva pipeline documentado y al menos una interpretación útil de cada salida; tablas o gráficas según corresponda.</w:t>
      </w:r>
    </w:p>
    <w:p>
      <w:pPr>
        <w:pStyle w:val="Heading1"/>
      </w:pPr>
      <w:r>
        <w:t>13. Verifica Neo4j: grafo filtrado y consultas distintas</w:t>
      </w:r>
    </w:p>
    <w:p>
      <w:pPr>
        <w:pStyle w:val="Heading2"/>
      </w:pPr>
      <w:r>
        <w:t>13.1 Explorador visual</w:t>
      </w:r>
    </w:p>
    <w:p>
      <w:pPr>
        <w:pStyle w:val="ListNumber"/>
      </w:pPr>
      <w:r>
        <w:t>Abre Explorador de grafos (/grafos).</w:t>
      </w:r>
    </w:p>
    <w:p>
      <w:pPr>
        <w:pStyle w:val="ListNumber"/>
      </w:pPr>
      <w:r>
        <w:t>Selecciona una carrera o departamento realmente presente; no escribas un ejemplo que no exista en tu conjunto.</w:t>
      </w:r>
    </w:p>
    <w:p>
      <w:pPr>
        <w:pStyle w:val="ListNumber"/>
      </w:pPr>
      <w:r>
        <w:t>Aplica filtros con el botón de la pantalla y espera a que el grafo se actualice.</w:t>
      </w:r>
    </w:p>
    <w:p>
      <w:pPr>
        <w:pStyle w:val="ListNumber"/>
      </w:pPr>
      <w:r>
        <w:t>Haz clic en un nodo y revisa sus propiedades y conexiones.</w:t>
      </w:r>
    </w:p>
    <w:p>
      <w:pPr>
        <w:pStyle w:val="ListNumber"/>
      </w:pPr>
      <w:r>
        <w:t>Registra qué filtro usaste, qué tipos de nodos aparecen y qué recorrido se interpreta.</w:t>
      </w:r>
    </w:p>
    <w:p>
      <w:pPr>
        <w:pStyle w:val="ListNumber"/>
      </w:pPr>
      <w:r>
        <w:t>Mantén un límite manejable de nodos/filas: mostrar menos mejora la exploración y no elimina datos de la base.</w:t>
      </w:r>
    </w:p>
    <w:p>
      <w:r>
        <w:t>Al menos un grafo y un filtro son obligatorios (PDF p. 12). No basta con una captura de Neo4j Browser: la visualización requerida debe funcionar desde tu aplicación.</w:t>
      </w:r>
    </w:p>
    <w:p>
      <w:pPr>
        <w:pStyle w:val="Heading2"/>
      </w:pPr>
      <w:r>
        <w:t>13.2 Consultas Cypher disponibles</w:t>
      </w:r>
    </w:p>
    <w:p>
      <w:r>
        <w:t>En la sección de consultas del explorador elige la consulta y ejecútala. No todos los filtros visibles se aplican a todas las sentencias: utiliza los que realmente aparecen en su Cypher y documenta el alcance.</w:t>
      </w:r>
    </w:p>
    <w:tbl>
      <w:tblPr>
        <w:tblW w:type="auto" w:w="0"/>
        <w:tblLook w:firstColumn="1" w:firstRow="1" w:lastColumn="0" w:lastRow="0" w:noHBand="0" w:noVBand="1" w:val="04A0"/>
      </w:tblPr>
      <w:tblGrid>
        <w:gridCol w:w="2160"/>
        <w:gridCol w:w="2160"/>
        <w:gridCol w:w="2160"/>
        <w:gridCol w:w="2160"/>
      </w:tblGrid>
      <w:tr>
        <w:tc>
          <w:tcPr>
            <w:tcW w:type="dxa" w:w="2160"/>
          </w:tcPr>
          <w:p>
            <w:r>
              <w:t>G</w:t>
            </w:r>
          </w:p>
        </w:tc>
        <w:tc>
          <w:tcPr>
            <w:tcW w:type="dxa" w:w="2160"/>
          </w:tcPr>
          <w:p>
            <w:r>
              <w:t>Consulta</w:t>
            </w:r>
          </w:p>
        </w:tc>
        <w:tc>
          <w:tcPr>
            <w:tcW w:type="dxa" w:w="2160"/>
          </w:tcPr>
          <w:p>
            <w:r>
              <w:t>Filtro relevante</w:t>
            </w:r>
          </w:p>
        </w:tc>
        <w:tc>
          <w:tcPr>
            <w:tcW w:type="dxa" w:w="2160"/>
          </w:tcPr>
          <w:p>
            <w:r>
              <w:t>Qué mostrar y explicar</w:t>
            </w:r>
          </w:p>
        </w:tc>
      </w:tr>
      <w:tr>
        <w:tc>
          <w:tcPr>
            <w:tcW w:type="dxa" w:w="2160"/>
          </w:tcPr>
          <w:p>
            <w:r>
              <w:t>G1</w:t>
            </w:r>
          </w:p>
        </w:tc>
        <w:tc>
          <w:tcPr>
            <w:tcW w:type="dxa" w:w="2160"/>
          </w:tcPr>
          <w:p>
            <w:r>
              <w:t>Subgrafo por carrera</w:t>
            </w:r>
          </w:p>
        </w:tc>
        <w:tc>
          <w:tcPr>
            <w:tcW w:type="dxa" w:w="2160"/>
          </w:tcPr>
          <w:p>
            <w:r>
              <w:t>Carrera.</w:t>
            </w:r>
          </w:p>
        </w:tc>
        <w:tc>
          <w:tcPr>
            <w:tcW w:type="dxa" w:w="2160"/>
          </w:tcPr>
          <w:p>
            <w:r>
              <w:t>Aspirantes, evaluaciones y materias; relaciones ASPIRA_A, REALIZO y DE_MATERIA.</w:t>
            </w:r>
          </w:p>
        </w:tc>
      </w:tr>
      <w:tr>
        <w:tc>
          <w:tcPr>
            <w:tcW w:type="dxa" w:w="2160"/>
          </w:tcPr>
          <w:p>
            <w:r>
              <w:t>G2</w:t>
            </w:r>
          </w:p>
        </w:tc>
        <w:tc>
          <w:tcPr>
            <w:tcW w:type="dxa" w:w="2160"/>
          </w:tcPr>
          <w:p>
            <w:r>
              <w:t>Carreras por departamento</w:t>
            </w:r>
          </w:p>
        </w:tc>
        <w:tc>
          <w:tcPr>
            <w:tcW w:type="dxa" w:w="2160"/>
          </w:tcPr>
          <w:p>
            <w:r>
              <w:t>Departamento.</w:t>
            </w:r>
          </w:p>
        </w:tc>
        <w:tc>
          <w:tcPr>
            <w:tcW w:type="dxa" w:w="2160"/>
          </w:tcPr>
          <w:p>
            <w:r>
              <w:t>Recorrido desde ubicación institucional hasta carrera; count(DISTINCT aspirante).</w:t>
            </w:r>
          </w:p>
        </w:tc>
      </w:tr>
      <w:tr>
        <w:tc>
          <w:tcPr>
            <w:tcW w:type="dxa" w:w="2160"/>
          </w:tcPr>
          <w:p>
            <w:r>
              <w:t>G3</w:t>
            </w:r>
          </w:p>
        </w:tc>
        <w:tc>
          <w:tcPr>
            <w:tcW w:type="dxa" w:w="2160"/>
          </w:tcPr>
          <w:p>
            <w:r>
              <w:t>Aprobados por materia</w:t>
            </w:r>
          </w:p>
        </w:tc>
        <w:tc>
          <w:tcPr>
            <w:tcW w:type="dxa" w:w="2160"/>
          </w:tcPr>
          <w:p>
            <w:r>
              <w:t>Año; aprobado=true fijo.</w:t>
            </w:r>
          </w:p>
        </w:tc>
        <w:tc>
          <w:tcPr>
            <w:tcW w:type="dxa" w:w="2160"/>
          </w:tcPr>
          <w:p>
            <w:r>
              <w:t>Propiedad de evaluación y agregación por materia. Comparación con C2 solo si coinciden unidades, filtros y granularidad.</w:t>
            </w:r>
          </w:p>
        </w:tc>
      </w:tr>
      <w:tr>
        <w:tc>
          <w:tcPr>
            <w:tcW w:type="dxa" w:w="2160"/>
          </w:tcPr>
          <w:p>
            <w:r>
              <w:t>G4</w:t>
            </w:r>
          </w:p>
        </w:tc>
        <w:tc>
          <w:tcPr>
            <w:tcW w:type="dxa" w:w="2160"/>
          </w:tcPr>
          <w:p>
            <w:r>
              <w:t>Aspirantes que comparten institución</w:t>
            </w:r>
          </w:p>
        </w:tc>
        <w:tc>
          <w:tcPr>
            <w:tcW w:type="dxa" w:w="2160"/>
          </w:tcPr>
          <w:p>
            <w:r>
              <w:t>Carrera y tipo institucional.</w:t>
            </w:r>
          </w:p>
        </w:tc>
        <w:tc>
          <w:tcPr>
            <w:tcW w:type="dxa" w:w="2160"/>
          </w:tcPr>
          <w:p>
            <w:r>
              <w:t>Patrón compartido. Institucion es agrupación tipo/municipio/departamento: no demuestra mismo colegio físico.</w:t>
            </w:r>
          </w:p>
        </w:tc>
      </w:tr>
      <w:tr>
        <w:tc>
          <w:tcPr>
            <w:tcW w:type="dxa" w:w="2160"/>
          </w:tcPr>
          <w:p>
            <w:r>
              <w:t>G5</w:t>
            </w:r>
          </w:p>
        </w:tc>
        <w:tc>
          <w:tcPr>
            <w:tcW w:type="dxa" w:w="2160"/>
          </w:tcPr>
          <w:p>
            <w:r>
              <w:t>Materias compartidas entre carreras</w:t>
            </w:r>
          </w:p>
        </w:tc>
        <w:tc>
          <w:tcPr>
            <w:tcW w:type="dxa" w:w="2160"/>
          </w:tcPr>
          <w:p>
            <w:r>
              <w:t>No tiene filtros globales de año/departamento en su sentencia actual.</w:t>
            </w:r>
          </w:p>
        </w:tc>
        <w:tc>
          <w:tcPr>
            <w:tcW w:type="dxa" w:w="2160"/>
          </w:tcPr>
          <w:p>
            <w:r>
              <w:t>Recorrido entre carreras a través de materias; lista de materias y total distintos.</w:t>
            </w:r>
          </w:p>
        </w:tc>
      </w:tr>
      <w:tr>
        <w:tc>
          <w:tcPr>
            <w:tcW w:type="dxa" w:w="2160"/>
          </w:tcPr>
          <w:p>
            <w:r>
              <w:t>G6</w:t>
            </w:r>
          </w:p>
        </w:tc>
        <w:tc>
          <w:tcPr>
            <w:tcW w:type="dxa" w:w="2160"/>
          </w:tcPr>
          <w:p>
            <w:r>
              <w:t>Ruta departamento → carrera</w:t>
            </w:r>
          </w:p>
        </w:tc>
        <w:tc>
          <w:tcPr>
            <w:tcW w:type="dxa" w:w="2160"/>
          </w:tcPr>
          <w:p>
            <w:r>
              <w:t>Departamento y carrera.</w:t>
            </w:r>
          </w:p>
        </w:tc>
        <w:tc>
          <w:tcPr>
            <w:tcW w:type="dxa" w:w="2160"/>
          </w:tcPr>
          <w:p>
            <w:r>
              <w:t>Departamento, municipio, tipo institucional y carrera con aspirantes distintos.</w:t>
            </w:r>
          </w:p>
        </w:tc>
      </w:tr>
      <w:tr>
        <w:tc>
          <w:tcPr>
            <w:tcW w:type="dxa" w:w="2160"/>
          </w:tcPr>
          <w:p>
            <w:r>
              <w:t>G7</w:t>
            </w:r>
          </w:p>
        </w:tc>
        <w:tc>
          <w:tcPr>
            <w:tcW w:type="dxa" w:w="2160"/>
          </w:tcPr>
          <w:p>
            <w:r>
              <w:t>Ruta más corta</w:t>
            </w:r>
          </w:p>
        </w:tc>
        <w:tc>
          <w:tcPr>
            <w:tcW w:type="dxa" w:w="2160"/>
          </w:tcPr>
          <w:p>
            <w:r>
              <w:t>Departamento Y carrera obligatorios.</w:t>
            </w:r>
          </w:p>
        </w:tc>
        <w:tc>
          <w:tcPr>
            <w:tcW w:type="dxa" w:w="2160"/>
          </w:tcPr>
          <w:p>
            <w:r>
              <w:t>shortestPath, secuencia de nodos y saltos. Ausencia de camino es un resultado válido, no inventes una ruta.</w:t>
            </w:r>
          </w:p>
        </w:tc>
      </w:tr>
    </w:tbl>
    <w:p/>
    <w:p>
      <w:r>
        <w:t>El enunciado exige mínimo cinco; tienes siete disponibles. Usa las siete para verificar y documenta como mínimo cinco diferentes con sentencia Cypher y explicación. No cuentes cambiar el filtro de una misma consulta como cinco consultas diferentes.</w:t>
      </w:r>
    </w:p>
    <w:p>
      <w:r>
        <w:t>Las consultas completas están en proyecto-final-db2/src/main/java/com/db2/proyectofinaldb2/neo4j/CypherCatalog.java. El modelo usa Aspirante, Evaluacion, Materia, Carrera, Institucion, Municipio y Departamento; debes poder explicar la dirección y sentido de cada relación.</w:t>
      </w:r>
    </w:p>
    <w:p>
      <w:r>
        <w:t>Resultado que debes conservar: Grafo filtrado y matriz G1–G7 con filtro, resultado, Cypher y explicación del recorrido, sin afirmar que filtros no implementados se aplicaron.</w:t>
      </w:r>
    </w:p>
    <w:p>
      <w:pPr>
        <w:pStyle w:val="Heading1"/>
      </w:pPr>
      <w:r>
        <w:t>14. Escribe el análisis usando resultados reales</w:t>
      </w:r>
    </w:p>
    <w:p>
      <w:r>
        <w:t>El análisis no consiste en pegar veinte capturas ni describir botones. Explica qué significa cada resultado, cuál es su población y qué límites tiene. Esta guía no inventa porcentajes finales ni concluye que ya se cargó el dataset.</w:t>
      </w:r>
    </w:p>
    <w:p>
      <w:pPr>
        <w:pStyle w:val="ListNumber"/>
      </w:pPr>
      <w:r>
        <w:t>Define el universo analizado: recursos, años realmente cargados, fecha de corte, filas leídas, evaluaciones únicas y aspirantes distintos.</w:t>
      </w:r>
    </w:p>
    <w:p>
      <w:pPr>
        <w:pStyle w:val="ListNumber"/>
      </w:pPr>
      <w:r>
        <w:t>Resume calidad: encabezados corregidos, nacimientos desconocidos, NINGUNO, rechazos y duplicados; separa el conteo de registros del conteo de personas.</w:t>
      </w:r>
    </w:p>
    <w:p>
      <w:pPr>
        <w:pStyle w:val="ListNumber"/>
      </w:pPr>
      <w:r>
        <w:t>Describe distribución de participantes y demanda usando C1, C3, C8, C10, C12, C17 y C19 con grupos y filtros identificados.</w:t>
      </w:r>
    </w:p>
    <w:p>
      <w:pPr>
        <w:pStyle w:val="ListNumber"/>
      </w:pPr>
      <w:r>
        <w:t>Compara aprobación con C2/C4/C13/C18/C20. Distingue cantidad absoluta y tasa: un grupo grande puede tener más aprobados y una tasa menor.</w:t>
      </w:r>
    </w:p>
    <w:p>
      <w:pPr>
        <w:pStyle w:val="ListNumber"/>
      </w:pPr>
      <w:r>
        <w:t>Explica intentos e historial con C11/C14/C15/C16, sin asumir que un rechazo inicial significa fracaso definitivo.</w:t>
      </w:r>
    </w:p>
    <w:p>
      <w:pPr>
        <w:pStyle w:val="ListNumber"/>
      </w:pPr>
      <w:r>
        <w:t>Explica relaciones con al menos cinco consultas Cypher y un grafo filtrado; distingue ubicación institucional de residencia.</w:t>
      </w:r>
    </w:p>
    <w:p>
      <w:pPr>
        <w:pStyle w:val="ListNumber"/>
      </w:pPr>
      <w:r>
        <w:t>Compara MongoDB y Neo4j por el tipo de pregunta resuelta, modelo, consultas y mantenimiento; no declares que uno es más rápido sin una medición equivalente.</w:t>
      </w:r>
    </w:p>
    <w:p>
      <w:pPr>
        <w:pStyle w:val="ListNumber"/>
      </w:pPr>
      <w:r>
        <w:t>Redacta conclusiones que se desprendan de esas salidas y límites, no de intuición o de datos sintéticos ajenos al conjunto validado.</w:t>
      </w:r>
    </w:p>
    <w:tbl>
      <w:tblPr>
        <w:tblW w:type="auto" w:w="0"/>
        <w:tblLook w:firstColumn="1" w:firstRow="1" w:lastColumn="0" w:lastRow="0" w:noHBand="0" w:noVBand="1" w:val="04A0"/>
      </w:tblPr>
      <w:tblGrid>
        <w:gridCol w:w="4320"/>
        <w:gridCol w:w="4320"/>
      </w:tblGrid>
      <w:tr>
        <w:tc>
          <w:tcPr>
            <w:tcW w:type="dxa" w:w="4320"/>
          </w:tcPr>
          <w:p>
            <w:r>
              <w:t>Ficha de hallazgo</w:t>
            </w:r>
          </w:p>
        </w:tc>
        <w:tc>
          <w:tcPr>
            <w:tcW w:type="dxa" w:w="4320"/>
          </w:tcPr>
          <w:p>
            <w:r>
              <w:t>Completar con tus datos</w:t>
            </w:r>
          </w:p>
        </w:tc>
      </w:tr>
      <w:tr>
        <w:tc>
          <w:tcPr>
            <w:tcW w:type="dxa" w:w="4320"/>
          </w:tcPr>
          <w:p>
            <w:r>
              <w:t>Pregunta</w:t>
            </w:r>
          </w:p>
        </w:tc>
        <w:tc>
          <w:tcPr>
            <w:tcW w:type="dxa" w:w="4320"/>
          </w:tcPr>
          <w:p>
            <w:r>
              <w:t>[¿Qué querías conocer?]</w:t>
            </w:r>
          </w:p>
        </w:tc>
      </w:tr>
      <w:tr>
        <w:tc>
          <w:tcPr>
            <w:tcW w:type="dxa" w:w="4320"/>
          </w:tcPr>
          <w:p>
            <w:r>
              <w:t>Fuente y corte</w:t>
            </w:r>
          </w:p>
        </w:tc>
        <w:tc>
          <w:tcPr>
            <w:tcW w:type="dxa" w:w="4320"/>
          </w:tcPr>
          <w:p>
            <w:r>
              <w:t>[Archivos, años, fecha y estado de carga]</w:t>
            </w:r>
          </w:p>
        </w:tc>
      </w:tr>
      <w:tr>
        <w:tc>
          <w:tcPr>
            <w:tcW w:type="dxa" w:w="4320"/>
          </w:tcPr>
          <w:p>
            <w:r>
              <w:t>Consulta y filtros</w:t>
            </w:r>
          </w:p>
        </w:tc>
        <w:tc>
          <w:tcPr>
            <w:tcW w:type="dxa" w:w="4320"/>
          </w:tcPr>
          <w:p>
            <w:r>
              <w:t>[Cxx/Gx; año, materia, carrera, tipo; límites]</w:t>
            </w:r>
          </w:p>
        </w:tc>
      </w:tr>
      <w:tr>
        <w:tc>
          <w:tcPr>
            <w:tcW w:type="dxa" w:w="4320"/>
          </w:tcPr>
          <w:p>
            <w:r>
              <w:t>Unidad y denominador</w:t>
            </w:r>
          </w:p>
        </w:tc>
        <w:tc>
          <w:tcPr>
            <w:tcW w:type="dxa" w:w="4320"/>
          </w:tcPr>
          <w:p>
            <w:r>
              <w:t>[Personas únicas / evaluaciones / intentos / pares / nodos; N=...]</w:t>
            </w:r>
          </w:p>
        </w:tc>
      </w:tr>
      <w:tr>
        <w:tc>
          <w:tcPr>
            <w:tcW w:type="dxa" w:w="4320"/>
          </w:tcPr>
          <w:p>
            <w:r>
              <w:t>Resultado observado</w:t>
            </w:r>
          </w:p>
        </w:tc>
        <w:tc>
          <w:tcPr>
            <w:tcW w:type="dxa" w:w="4320"/>
          </w:tcPr>
          <w:p>
            <w:r>
              <w:t>[Cantidad y porcentaje reales; no rellenar sin ejecutar]</w:t>
            </w:r>
          </w:p>
        </w:tc>
      </w:tr>
      <w:tr>
        <w:tc>
          <w:tcPr>
            <w:tcW w:type="dxa" w:w="4320"/>
          </w:tcPr>
          <w:p>
            <w:r>
              <w:t>Interpretación</w:t>
            </w:r>
          </w:p>
        </w:tc>
        <w:tc>
          <w:tcPr>
            <w:tcW w:type="dxa" w:w="4320"/>
          </w:tcPr>
          <w:p>
            <w:r>
              <w:t>[Qué patrón muestran los datos]</w:t>
            </w:r>
          </w:p>
        </w:tc>
      </w:tr>
      <w:tr>
        <w:tc>
          <w:tcPr>
            <w:tcW w:type="dxa" w:w="4320"/>
          </w:tcPr>
          <w:p>
            <w:r>
              <w:t>Limitación</w:t>
            </w:r>
          </w:p>
        </w:tc>
        <w:tc>
          <w:tcPr>
            <w:tcW w:type="dxa" w:w="4320"/>
          </w:tcPr>
          <w:p>
            <w:r>
              <w:t>[Faltantes, categorías desconocidas, muestra pequeña, filtro, truncamiento]</w:t>
            </w:r>
          </w:p>
        </w:tc>
      </w:tr>
      <w:tr>
        <w:tc>
          <w:tcPr>
            <w:tcW w:type="dxa" w:w="4320"/>
          </w:tcPr>
          <w:p>
            <w:r>
              <w:t>Evidencia</w:t>
            </w:r>
          </w:p>
        </w:tc>
        <w:tc>
          <w:tcPr>
            <w:tcW w:type="dxa" w:w="4320"/>
          </w:tcPr>
          <w:p>
            <w:r>
              <w:t>[Tabla exportada, respuesta JSON, captura o identificación de consulta]</w:t>
            </w:r>
          </w:p>
        </w:tc>
      </w:tr>
    </w:tbl>
    <w:p/>
    <w:p>
      <w:r>
        <w:t>Evita conclusiones causales: el dataset es observacional. Diferencias entre público y privado o entre años pueden relacionarse con cobertura, composición y calidad, no necesariamente con efectos causales. Nacimiento desconocido reduce la población de análisis de edad. NINGUNO en 2015 impide una comparación de demanda por carrera sin advertir la falta de especificación.</w:t>
      </w:r>
    </w:p>
    <w:p>
      <w:pPr>
        <w:pStyle w:val="Heading1"/>
      </w:pPr>
      <w:r>
        <w:t>15. Documenta las consultas y prepara la entrega</w:t>
      </w:r>
    </w:p>
    <w:p>
      <w:r>
        <w:t>Además de usar la aplicación, el PDF exige documentar consultas, análisis y conclusiones. La documentación técnica completa permanece en manual_tecnico.docx; este informe es la guía de ejecución y sus plantillas, no lo sustituye.</w:t>
      </w:r>
    </w:p>
    <w:tbl>
      <w:tblPr>
        <w:tblW w:type="auto" w:w="0"/>
        <w:tblLook w:firstColumn="1" w:firstRow="1" w:lastColumn="0" w:lastRow="0" w:noHBand="0" w:noVBand="1" w:val="04A0"/>
      </w:tblPr>
      <w:tblGrid>
        <w:gridCol w:w="4320"/>
        <w:gridCol w:w="4320"/>
      </w:tblGrid>
      <w:tr>
        <w:tc>
          <w:tcPr>
            <w:tcW w:type="dxa" w:w="4320"/>
          </w:tcPr>
          <w:p>
            <w:r>
              <w:t>Elemento del repositorio exigido</w:t>
            </w:r>
          </w:p>
        </w:tc>
        <w:tc>
          <w:tcPr>
            <w:tcW w:type="dxa" w:w="4320"/>
          </w:tcPr>
          <w:p>
            <w:r>
              <w:t>Qué debes comprobar o completar</w:t>
            </w:r>
          </w:p>
        </w:tc>
      </w:tr>
      <w:tr>
        <w:tc>
          <w:tcPr>
            <w:tcW w:type="dxa" w:w="4320"/>
          </w:tcPr>
          <w:p>
            <w:r>
              <w:t>Frontend y backend</w:t>
            </w:r>
          </w:p>
        </w:tc>
        <w:tc>
          <w:tcPr>
            <w:tcW w:type="dxa" w:w="4320"/>
          </w:tcPr>
          <w:p>
            <w:r>
              <w:t>Código final que ejecutaste; versiones y comandos coherentes.</w:t>
            </w:r>
          </w:p>
        </w:tc>
      </w:tr>
      <w:tr>
        <w:tc>
          <w:tcPr>
            <w:tcW w:type="dxa" w:w="4320"/>
          </w:tcPr>
          <w:p>
            <w:r>
              <w:t>Carga y transformación</w:t>
            </w:r>
          </w:p>
        </w:tc>
        <w:tc>
          <w:tcPr>
            <w:tcW w:type="dxa" w:w="4320"/>
          </w:tcPr>
          <w:p>
            <w:r>
              <w:t>Servicios ETL Java, CsvSupport y TransformationService documentados. No necesitas inventar scripts Python separados: explica dónde está implementado el ETL.</w:t>
            </w:r>
          </w:p>
        </w:tc>
      </w:tr>
      <w:tr>
        <w:tc>
          <w:tcPr>
            <w:tcW w:type="dxa" w:w="4320"/>
          </w:tcPr>
          <w:p>
            <w:r>
              <w:t>Consultas MongoDB</w:t>
            </w:r>
          </w:p>
        </w:tc>
        <w:tc>
          <w:tcPr>
            <w:tcW w:type="dxa" w:w="4320"/>
          </w:tcPr>
          <w:p>
            <w:r>
              <w:t>Veinte pipelines/operaciones con propósito, filtros, unidad de conteo y lectura de resultados.</w:t>
            </w:r>
          </w:p>
        </w:tc>
      </w:tr>
      <w:tr>
        <w:tc>
          <w:tcPr>
            <w:tcW w:type="dxa" w:w="4320"/>
          </w:tcPr>
          <w:p>
            <w:r>
              <w:t>Consultas Cypher</w:t>
            </w:r>
          </w:p>
        </w:tc>
        <w:tc>
          <w:tcPr>
            <w:tcW w:type="dxa" w:w="4320"/>
          </w:tcPr>
          <w:p>
            <w:r>
              <w:t>Al menos cinco sentencias diferentes y su explicación; el código actual contiene siete.</w:t>
            </w:r>
          </w:p>
        </w:tc>
      </w:tr>
      <w:tr>
        <w:tc>
          <w:tcPr>
            <w:tcW w:type="dxa" w:w="4320"/>
          </w:tcPr>
          <w:p>
            <w:r>
              <w:t>Análisis de resultados</w:t>
            </w:r>
          </w:p>
        </w:tc>
        <w:tc>
          <w:tcPr>
            <w:tcW w:type="dxa" w:w="4320"/>
          </w:tcPr>
          <w:p>
            <w:r>
              <w:t>Universo real, calidad de datos, hallazgos de consultas, tablas/gráficas pertinentes y límites.</w:t>
            </w:r>
          </w:p>
        </w:tc>
      </w:tr>
      <w:tr>
        <w:tc>
          <w:tcPr>
            <w:tcW w:type="dxa" w:w="4320"/>
          </w:tcPr>
          <w:p>
            <w:r>
              <w:t>Conclusiones</w:t>
            </w:r>
          </w:p>
        </w:tc>
        <w:tc>
          <w:tcPr>
            <w:tcW w:type="dxa" w:w="4320"/>
          </w:tcPr>
          <w:p>
            <w:r>
              <w:t>Comparación razonada de MongoDB y Neo4j y límites de esta implementación.</w:t>
            </w:r>
          </w:p>
        </w:tc>
      </w:tr>
      <w:tr>
        <w:tc>
          <w:tcPr>
            <w:tcW w:type="dxa" w:w="4320"/>
          </w:tcPr>
          <w:p>
            <w:r>
              <w:t>Configuración reproducible</w:t>
            </w:r>
          </w:p>
        </w:tc>
        <w:tc>
          <w:tcPr>
            <w:tcW w:type="dxa" w:w="4320"/>
          </w:tcPr>
          <w:p>
            <w:r>
              <w:t>Instrucciones y nombres de variables. No versionar .env ni credenciales; quien evalúa debe saber cómo completar su instalación.</w:t>
            </w:r>
          </w:p>
        </w:tc>
      </w:tr>
      <w:tr>
        <w:tc>
          <w:tcPr>
            <w:tcW w:type="dxa" w:w="4320"/>
          </w:tcPr>
          <w:p>
            <w:r>
              <w:t>Manual técnico</w:t>
            </w:r>
          </w:p>
        </w:tc>
        <w:tc>
          <w:tcPr>
            <w:tcW w:type="dxa" w:w="4320"/>
          </w:tcPr>
          <w:p>
            <w:r>
              <w:t>documentacion/manual_tecnico.docx y diagramas actualizados.</w:t>
            </w:r>
          </w:p>
        </w:tc>
      </w:tr>
      <w:tr>
        <w:tc>
          <w:tcPr>
            <w:tcW w:type="dxa" w:w="4320"/>
          </w:tcPr>
          <w:p>
            <w:r>
              <w:t>Manual de usuario</w:t>
            </w:r>
          </w:p>
        </w:tc>
        <w:tc>
          <w:tcPr>
            <w:tcW w:type="dxa" w:w="4320"/>
          </w:tcPr>
          <w:p>
            <w:r>
              <w:t>Pasos de carga, consulta, filtros, búsqueda y errores desde la UI.</w:t>
            </w:r>
          </w:p>
        </w:tc>
      </w:tr>
      <w:tr>
        <w:tc>
          <w:tcPr>
            <w:tcW w:type="dxa" w:w="4320"/>
          </w:tcPr>
          <w:p>
            <w:r>
              <w:t>GitHub</w:t>
            </w:r>
          </w:p>
        </w:tc>
        <w:tc>
          <w:tcPr>
            <w:tcW w:type="dxa" w:w="4320"/>
          </w:tcPr>
          <w:p>
            <w:r>
              <w:t>Al menos cinco commits significativos y archivos necesarios realmente visibles desde el repositorio remoto.</w:t>
            </w:r>
          </w:p>
        </w:tc>
      </w:tr>
    </w:tbl>
    <w:p/>
    <w:p>
      <w:r>
        <w:t>IMPORTANTE: docs/ continúa ignorado por Git. Si redactas análisis, conclusiones o manual de usuario solo ahí, no aparecerán en la entrega. Copia las versiones finales aprobadas a documentacion/ (que no está ignorado) o al formato de entrega acordado, y verifica GitHub. No des por cumplido ese requisito solo porque exista el archivo en tu equipo.</w:t>
      </w:r>
    </w:p>
    <w:p>
      <w:r>
        <w:t>Las evidencias de origen/carga pueden contener datos o claves. Selecciona qué publicar y anonimiza capturas si corresponde. No subas volcados, rechazos con datos reales ni .env sin revisar condiciones de uso. Conservar fuentes reproducibles no exige publicar todas las filas.</w:t>
      </w:r>
    </w:p>
    <w:p>
      <w:r>
        <w:t># Solo inspección del repositorio; no publica archivos ni crea commits:</w:t>
      </w:r>
    </w:p>
    <w:p>
      <w:r>
        <w:t>git status --short</w:t>
      </w:r>
    </w:p>
    <w:p>
      <w:r>
        <w:t>git log --oneline</w:t>
      </w:r>
    </w:p>
    <w:p>
      <w:r>
        <w:t>git ls-files documentacion</w:t>
      </w:r>
    </w:p>
    <w:p>
      <w:r>
        <w:t>git check-ignore -v docs/analisis-resultados.md</w:t>
      </w:r>
    </w:p>
    <w:p>
      <w:r>
        <w:t>git ls-files muestra archivos ya seguidos: un documento nuevo debe añadirse y confirmarse para aparecer en el remoto. No crear commits vacíos o artificiales para simular trabajo; completar cambios reales y poder explicarlos. El PDF exige comprender, revisar y justificar el código y permite solicitar modificaciones durante la calificación (pp. 13–14).</w:t>
      </w:r>
    </w:p>
    <w:p>
      <w:pPr>
        <w:pStyle w:val="Heading1"/>
      </w:pPr>
      <w:r>
        <w:t>16. Lista final para ejecutar y defender</w:t>
      </w:r>
    </w:p>
    <w:p>
      <w:r>
        <w:t>☐ Confirmé procedencia y años requeridos; no confundí nombres locales con fuente oficial verificada.</w:t>
      </w:r>
    </w:p>
    <w:p>
      <w:r>
        <w:t>☐ Conservé originales y trabajé con copias identificadas.</w:t>
      </w:r>
    </w:p>
    <w:p>
      <w:r>
        <w:t>☐ Corregí los tres encabezados de 2022–2024 sin cambiar el orden de los valores.</w:t>
      </w:r>
    </w:p>
    <w:p>
      <w:r>
        <w:t>☐ Expliqué SIN REGISTRO, NINGUNO, nulos, edad, aprobación y duplicados.</w:t>
      </w:r>
    </w:p>
    <w:p>
      <w:r>
        <w:t>☐ Registré estado inicial y cargué los archivos de forma secuencial.</w:t>
      </w:r>
    </w:p>
    <w:p>
      <w:r>
        <w:t>☐ Guardé ID, archivo, leídos, procesados, rechazados, duplicados, pendientes, duración y estado.</w:t>
      </w:r>
    </w:p>
    <w:p>
      <w:r>
        <w:t>☐ Resolví o justifiqué errores; no presenté ERROR como carga exitosa.</w:t>
      </w:r>
    </w:p>
    <w:p>
      <w:r>
        <w:t>☐ Verifiqué documentos y grafo y documenté diferencias de granularidad.</w:t>
      </w:r>
    </w:p>
    <w:p>
      <w:r>
        <w:t>☐ Regeneré resumen_carrera después de la última carga.</w:t>
      </w:r>
    </w:p>
    <w:p>
      <w:r>
        <w:t>☐ Ejecuté C01–C20 con filtros, unidades y resultados identificados.</w:t>
      </w:r>
    </w:p>
    <w:p>
      <w:r>
        <w:t>☐ Mostré un grafo filtrado desde React y al menos cinco consultas Cypher distintas.</w:t>
      </w:r>
    </w:p>
    <w:p>
      <w:r>
        <w:t>☐ Probé buscador y un aspirante con varias evaluaciones usando su correlativo anónimo.</w:t>
      </w:r>
    </w:p>
    <w:p>
      <w:r>
        <w:t>☐ Redacté hallazgos y conclusiones con cifras realmente observadas y limitaciones.</w:t>
      </w:r>
    </w:p>
    <w:p>
      <w:r>
        <w:t>☐ Preparé manual técnico y manual de usuario; los documentos finales no quedaron solo en docs/ ignorado.</w:t>
      </w:r>
    </w:p>
    <w:p>
      <w:r>
        <w:t>☐ Comprobé al menos cinco commits significativos y revisé el contenido remoto sin secretos.</w:t>
      </w:r>
    </w:p>
    <w:p>
      <w:r>
        <w:t>☐ Puedo explicar el ETL y modificar una consulta MongoDB o Cypher durante la defensa.</w:t>
      </w:r>
    </w:p>
    <w:p>
      <w:r>
        <w:t>Orden sugerido para la demostración: salud de bases → carga de un CSV aprobado o historial si ya está cargado → reglas y métricas → dashboard → C4 y C20 → C11/C15 con correlativo real → C6 → grafo con filtro → recorrido Cypher → conclusiones y límites. No recargues todo el dataset durante la defensa si no lo solicitan.</w:t>
      </w:r>
    </w:p>
    <w:p>
      <w:pPr>
        <w:pStyle w:val="Heading1"/>
      </w:pPr>
      <w:r>
        <w:t>Anexo A. Plantillas de evidencia que puedes completar</w:t>
      </w:r>
    </w:p>
    <w:tbl>
      <w:tblPr>
        <w:tblW w:type="auto" w:w="0"/>
        <w:tblLook w:firstColumn="1" w:firstRow="1" w:lastColumn="0" w:lastRow="0" w:noHBand="0" w:noVBand="1" w:val="04A0"/>
      </w:tblPr>
      <w:tblGrid>
        <w:gridCol w:w="4320"/>
        <w:gridCol w:w="4320"/>
      </w:tblGrid>
      <w:tr>
        <w:tc>
          <w:tcPr>
            <w:tcW w:type="dxa" w:w="4320"/>
          </w:tcPr>
          <w:p>
            <w:r>
              <w:t>Documento sugerido</w:t>
            </w:r>
          </w:p>
        </w:tc>
        <w:tc>
          <w:tcPr>
            <w:tcW w:type="dxa" w:w="4320"/>
          </w:tcPr>
          <w:p>
            <w:r>
              <w:t>Contenido mínimo</w:t>
            </w:r>
          </w:p>
        </w:tc>
      </w:tr>
      <w:tr>
        <w:tc>
          <w:tcPr>
            <w:tcW w:type="dxa" w:w="4320"/>
          </w:tcPr>
          <w:p>
            <w:r>
              <w:t>Inventario_fuentes</w:t>
            </w:r>
          </w:p>
        </w:tc>
        <w:tc>
          <w:tcPr>
            <w:tcW w:type="dxa" w:w="4320"/>
          </w:tcPr>
          <w:p>
            <w:r>
              <w:t>Año, URL/procedencia, archivo, fecha, tamaño, hash y cobertura.</w:t>
            </w:r>
          </w:p>
        </w:tc>
      </w:tr>
      <w:tr>
        <w:tc>
          <w:tcPr>
            <w:tcW w:type="dxa" w:w="4320"/>
          </w:tcPr>
          <w:p>
            <w:r>
              <w:t>Bitacora_correcciones</w:t>
            </w:r>
          </w:p>
        </w:tc>
        <w:tc>
          <w:tcPr>
            <w:tcW w:type="dxa" w:w="4320"/>
          </w:tcPr>
          <w:p>
            <w:r>
              <w:t>Archivo, campo/cabecera, valor original, nuevo valor, razón, fuente y fecha.</w:t>
            </w:r>
          </w:p>
        </w:tc>
      </w:tr>
      <w:tr>
        <w:tc>
          <w:tcPr>
            <w:tcW w:type="dxa" w:w="4320"/>
          </w:tcPr>
          <w:p>
            <w:r>
              <w:t>Bitacora_cargas</w:t>
            </w:r>
          </w:p>
        </w:tc>
        <w:tc>
          <w:tcPr>
            <w:tcW w:type="dxa" w:w="4320"/>
          </w:tcPr>
          <w:p>
            <w:r>
              <w:t>ID y métricas reales, estado, errores y resolución; distinguir primera carga y reintentos.</w:t>
            </w:r>
          </w:p>
        </w:tc>
      </w:tr>
      <w:tr>
        <w:tc>
          <w:tcPr>
            <w:tcW w:type="dxa" w:w="4320"/>
          </w:tcPr>
          <w:p>
            <w:r>
              <w:t>Matriz_MongoDB</w:t>
            </w:r>
          </w:p>
        </w:tc>
        <w:tc>
          <w:tcPr>
            <w:tcW w:type="dxa" w:w="4320"/>
          </w:tcPr>
          <w:p>
            <w:r>
              <w:t>C01–C20, pregunta, pipeline, filtros, unidad/denominador, resultado e interpretación.</w:t>
            </w:r>
          </w:p>
        </w:tc>
      </w:tr>
      <w:tr>
        <w:tc>
          <w:tcPr>
            <w:tcW w:type="dxa" w:w="4320"/>
          </w:tcPr>
          <w:p>
            <w:r>
              <w:t>Matriz_Neo4j</w:t>
            </w:r>
          </w:p>
        </w:tc>
        <w:tc>
          <w:tcPr>
            <w:tcW w:type="dxa" w:w="4320"/>
          </w:tcPr>
          <w:p>
            <w:r>
              <w:t>G1–G7, Cypher, recorrido, filtros efectivos, resultado y limitación.</w:t>
            </w:r>
          </w:p>
        </w:tc>
      </w:tr>
      <w:tr>
        <w:tc>
          <w:tcPr>
            <w:tcW w:type="dxa" w:w="4320"/>
          </w:tcPr>
          <w:p>
            <w:r>
              <w:t>Analisis_y_conclusiones</w:t>
            </w:r>
          </w:p>
        </w:tc>
        <w:tc>
          <w:tcPr>
            <w:tcW w:type="dxa" w:w="4320"/>
          </w:tcPr>
          <w:p>
            <w:r>
              <w:t>Hallazgos, calidad de datos, comparación de modelos y límites.</w:t>
            </w:r>
          </w:p>
        </w:tc>
      </w:tr>
    </w:tbl>
    <w:p/>
    <w:p>
      <w:r>
        <w:t>Los nombres son sugerencias de organización, no formatos adicionales obligatorios. Puedes integrar las tablas en un solo documento final si conserva trazabilidad. Elige una ubicación publicable para lo que deba entregarse y una privada para fuentes sensibles.</w:t>
      </w:r>
    </w:p>
    <w:p>
      <w:pPr>
        <w:pStyle w:val="Heading1"/>
      </w:pPr>
      <w:r>
        <w:t>Anexo B. Identidad de los archivos locales inspeccionados</w:t>
      </w:r>
    </w:p>
    <w:p>
      <w:r>
        <w:t>Estas huellas permiten reconocer la edición de los CSV usada para preparar esta guía. No certifican procedencia oficial ni sustituyen la verificación de fuente. Si modificas una copia, su hash cambiará y debe quedar registrado como copia de trabajo.</w:t>
      </w:r>
    </w:p>
    <w:tbl>
      <w:tblPr>
        <w:tblW w:type="auto" w:w="0"/>
        <w:tblLook w:firstColumn="1" w:firstRow="1" w:lastColumn="0" w:lastRow="0" w:noHBand="0" w:noVBand="1" w:val="04A0"/>
      </w:tblPr>
      <w:tblGrid>
        <w:gridCol w:w="4320"/>
        <w:gridCol w:w="4320"/>
      </w:tblGrid>
      <w:tr>
        <w:tc>
          <w:tcPr>
            <w:tcW w:type="dxa" w:w="4320"/>
          </w:tcPr>
          <w:p>
            <w:r>
              <w:t>Archivo original local</w:t>
            </w:r>
          </w:p>
        </w:tc>
        <w:tc>
          <w:tcPr>
            <w:tcW w:type="dxa" w:w="4320"/>
          </w:tcPr>
          <w:p>
            <w:r>
              <w:t>SHA-256</w:t>
            </w:r>
          </w:p>
        </w:tc>
      </w:tr>
      <w:tr>
        <w:tc>
          <w:tcPr>
            <w:tcW w:type="dxa" w:w="4320"/>
          </w:tcPr>
          <w:p>
            <w:r>
              <w:t>pruebas_especificas_2015.csv</w:t>
            </w:r>
          </w:p>
        </w:tc>
        <w:tc>
          <w:tcPr>
            <w:tcW w:type="dxa" w:w="4320"/>
          </w:tcPr>
          <w:p>
            <w:r>
              <w:t>b35a6e65432dc910e1e5712285959603d27fec939944d2b2939f54166821e671</w:t>
            </w:r>
          </w:p>
        </w:tc>
      </w:tr>
      <w:tr>
        <w:tc>
          <w:tcPr>
            <w:tcW w:type="dxa" w:w="4320"/>
          </w:tcPr>
          <w:p>
            <w:r>
              <w:t>pruebas_especificas_2016.csv</w:t>
            </w:r>
          </w:p>
        </w:tc>
        <w:tc>
          <w:tcPr>
            <w:tcW w:type="dxa" w:w="4320"/>
          </w:tcPr>
          <w:p>
            <w:r>
              <w:t>fd67d7d40fc712cda5b136a4a58e19440bf526ee39eead22c3b643c41cc7344d</w:t>
            </w:r>
          </w:p>
        </w:tc>
      </w:tr>
      <w:tr>
        <w:tc>
          <w:tcPr>
            <w:tcW w:type="dxa" w:w="4320"/>
          </w:tcPr>
          <w:p>
            <w:r>
              <w:t>pruebas_especificas_2017.csv</w:t>
            </w:r>
          </w:p>
        </w:tc>
        <w:tc>
          <w:tcPr>
            <w:tcW w:type="dxa" w:w="4320"/>
          </w:tcPr>
          <w:p>
            <w:r>
              <w:t>c736f200c4c66ae2f95cf89c26b8cf959db33e6d53e1d87bb81a7d9ce8a294b4</w:t>
            </w:r>
          </w:p>
        </w:tc>
      </w:tr>
      <w:tr>
        <w:tc>
          <w:tcPr>
            <w:tcW w:type="dxa" w:w="4320"/>
          </w:tcPr>
          <w:p>
            <w:r>
              <w:t>pruebas_especificas_2018.csv</w:t>
            </w:r>
          </w:p>
        </w:tc>
        <w:tc>
          <w:tcPr>
            <w:tcW w:type="dxa" w:w="4320"/>
          </w:tcPr>
          <w:p>
            <w:r>
              <w:t>67dbc435adf585c5ea1a6308b4346c06a976e2a784e0c320176dc27464ece959</w:t>
            </w:r>
          </w:p>
        </w:tc>
      </w:tr>
      <w:tr>
        <w:tc>
          <w:tcPr>
            <w:tcW w:type="dxa" w:w="4320"/>
          </w:tcPr>
          <w:p>
            <w:r>
              <w:t>pruebas_especificas_2019.csv</w:t>
            </w:r>
          </w:p>
        </w:tc>
        <w:tc>
          <w:tcPr>
            <w:tcW w:type="dxa" w:w="4320"/>
          </w:tcPr>
          <w:p>
            <w:r>
              <w:t>21cce9739af997df0db8b9da43dfae991e830facede3320fd7d8a1a249af26d5</w:t>
            </w:r>
          </w:p>
        </w:tc>
      </w:tr>
      <w:tr>
        <w:tc>
          <w:tcPr>
            <w:tcW w:type="dxa" w:w="4320"/>
          </w:tcPr>
          <w:p>
            <w:r>
              <w:t>pruebas_especificas_2020.csv</w:t>
            </w:r>
          </w:p>
        </w:tc>
        <w:tc>
          <w:tcPr>
            <w:tcW w:type="dxa" w:w="4320"/>
          </w:tcPr>
          <w:p>
            <w:r>
              <w:t>af6ccfdc041fa779506449ba1a2538881a506a1b3c06ed55ee5a502f0b7c75d3</w:t>
            </w:r>
          </w:p>
        </w:tc>
      </w:tr>
      <w:tr>
        <w:tc>
          <w:tcPr>
            <w:tcW w:type="dxa" w:w="4320"/>
          </w:tcPr>
          <w:p>
            <w:r>
              <w:t>pruebas_especificas_2021.csv</w:t>
            </w:r>
          </w:p>
        </w:tc>
        <w:tc>
          <w:tcPr>
            <w:tcW w:type="dxa" w:w="4320"/>
          </w:tcPr>
          <w:p>
            <w:r>
              <w:t>cbab5af2ccd24582f68db9de5fc0609194ff8939afa7dfa56909243655f49ab2</w:t>
            </w:r>
          </w:p>
        </w:tc>
      </w:tr>
      <w:tr>
        <w:tc>
          <w:tcPr>
            <w:tcW w:type="dxa" w:w="4320"/>
          </w:tcPr>
          <w:p>
            <w:r>
              <w:t>pruebas_especificas_2022.csv</w:t>
            </w:r>
          </w:p>
        </w:tc>
        <w:tc>
          <w:tcPr>
            <w:tcW w:type="dxa" w:w="4320"/>
          </w:tcPr>
          <w:p>
            <w:r>
              <w:t>49b111c3733bbc00b0d86a99ea4ffd44e20d72260d4dbba48114c3085bef379f</w:t>
            </w:r>
          </w:p>
        </w:tc>
      </w:tr>
      <w:tr>
        <w:tc>
          <w:tcPr>
            <w:tcW w:type="dxa" w:w="4320"/>
          </w:tcPr>
          <w:p>
            <w:r>
              <w:t>pruebas_especificas_2023.csv</w:t>
            </w:r>
          </w:p>
        </w:tc>
        <w:tc>
          <w:tcPr>
            <w:tcW w:type="dxa" w:w="4320"/>
          </w:tcPr>
          <w:p>
            <w:r>
              <w:t>e7496fab700cacde76d201b848db1184498e704237dc24055c1747205cd54df3</w:t>
            </w:r>
          </w:p>
        </w:tc>
      </w:tr>
      <w:tr>
        <w:tc>
          <w:tcPr>
            <w:tcW w:type="dxa" w:w="4320"/>
          </w:tcPr>
          <w:p>
            <w:r>
              <w:t>pruebas_especificas_2024.csv</w:t>
            </w:r>
          </w:p>
        </w:tc>
        <w:tc>
          <w:tcPr>
            <w:tcW w:type="dxa" w:w="4320"/>
          </w:tcPr>
          <w:p>
            <w:r>
              <w:t>c33873a374b7c28cc479359bb6f58199a6419fdddf636fc160ff216af9335dad</w:t>
            </w:r>
          </w:p>
        </w:tc>
      </w:tr>
    </w:tbl>
    <w:p/>
    <w:p>
      <w:pPr>
        <w:pStyle w:val="Heading1"/>
      </w:pPr>
      <w:r>
        <w:t>Anexo C. Qué se hizo y qué no se hizo al preparar esta guía</w:t>
      </w:r>
    </w:p>
    <w:p>
      <w:pPr>
        <w:pStyle w:val="ListBullet"/>
      </w:pPr>
      <w:r>
        <w:t>Se leyó el PDF original, se revisó el flujo de UI/código y se inspeccionaron los diez CSV locales.</w:t>
      </w:r>
    </w:p>
    <w:p>
      <w:pPr>
        <w:pStyle w:val="ListBullet"/>
      </w:pPr>
      <w:r>
        <w:t>Se hizo una revisión local de JavaScript, con correcciones de encabezados solo en memoria para evaluar compatibilidad.</w:t>
      </w:r>
    </w:p>
    <w:p>
      <w:pPr>
        <w:pStyle w:val="ListBullet"/>
      </w:pPr>
      <w:r>
        <w:t>No se alteraron los CSV originales ni las copias de trabajo, ni se cargaron datos en MongoDB/Neo4j.</w:t>
      </w:r>
    </w:p>
    <w:p>
      <w:pPr>
        <w:pStyle w:val="ListBullet"/>
      </w:pPr>
      <w:r>
        <w:t>No se certificó la descarga oficial ni se sustituyeron pasos del usuario por resultados inventados.</w:t>
      </w:r>
    </w:p>
    <w:p>
      <w:pPr>
        <w:pStyle w:val="ListBullet"/>
      </w:pPr>
      <w:r>
        <w:t>Este informe reemplaza el anterior a solicitud del usuario. El manual técnico y los diagramas se conservan.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Guía de trabajo con CSV — Pruebas específicas USAC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ejecución del proyecto con archivos CSV</dc:title>
  <dc:subject>Pasos desde los CSV hasta la validación, análisis y entrega</dc:subject>
  <dc:creator>Proyecto Final - Sistemas de Bases de Datos 2</dc:creator>
  <cp:keywords/>
  <dc:description>generated by python-docx</dc:description>
  <cp:lastModifiedBy/>
  <cp:revision>1</cp:revision>
  <dcterms:created xsi:type="dcterms:W3CDTF">2013-12-23T23:15:00Z</dcterms:created>
  <dcterms:modified xsi:type="dcterms:W3CDTF">2013-12-23T23:15:00Z</dcterms:modified>
  <cp:category/>
</cp:coreProperties>
</file>