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0EA" w:rsidRDefault="009231AD" w:rsidP="0095324B">
      <w:pPr>
        <w:pStyle w:val="Titel"/>
      </w:pPr>
      <w:r>
        <w:t>Da</w:t>
      </w:r>
      <w:r w:rsidR="00CE0E31">
        <w:t>ta i den udvidede matrikel</w:t>
      </w:r>
    </w:p>
    <w:p w:rsidR="009231AD" w:rsidRDefault="009231AD" w:rsidP="009231AD"/>
    <w:p w:rsidR="00101D62" w:rsidRPr="00FD18A0" w:rsidRDefault="00101D62" w:rsidP="00101D62">
      <w:pPr>
        <w:rPr>
          <w:b/>
        </w:rPr>
      </w:pPr>
      <w:r w:rsidRPr="00FD18A0">
        <w:rPr>
          <w:b/>
        </w:rPr>
        <w:t>Dokumenthistorik</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5"/>
        <w:gridCol w:w="1245"/>
        <w:gridCol w:w="5027"/>
        <w:gridCol w:w="1263"/>
      </w:tblGrid>
      <w:tr w:rsidR="00101D62" w:rsidRPr="00FD18A0" w:rsidTr="00EC11E6">
        <w:tc>
          <w:tcPr>
            <w:tcW w:w="875" w:type="dxa"/>
            <w:shd w:val="clear" w:color="auto" w:fill="CCFFFF"/>
            <w:tcMar>
              <w:top w:w="57" w:type="dxa"/>
              <w:left w:w="85" w:type="dxa"/>
              <w:bottom w:w="57" w:type="dxa"/>
              <w:right w:w="85" w:type="dxa"/>
            </w:tcMar>
            <w:vAlign w:val="center"/>
          </w:tcPr>
          <w:p w:rsidR="00101D62" w:rsidRPr="00FD18A0" w:rsidRDefault="00101D62" w:rsidP="00EC11E6">
            <w:pPr>
              <w:pStyle w:val="BrdtekstTabel"/>
              <w:jc w:val="center"/>
              <w:rPr>
                <w:b/>
              </w:rPr>
            </w:pPr>
            <w:r w:rsidRPr="00FD18A0">
              <w:rPr>
                <w:b/>
              </w:rPr>
              <w:t>Version</w:t>
            </w:r>
          </w:p>
        </w:tc>
        <w:tc>
          <w:tcPr>
            <w:tcW w:w="1245" w:type="dxa"/>
            <w:shd w:val="clear" w:color="auto" w:fill="CCFFFF"/>
            <w:tcMar>
              <w:top w:w="57" w:type="dxa"/>
              <w:left w:w="85" w:type="dxa"/>
              <w:bottom w:w="57" w:type="dxa"/>
              <w:right w:w="85" w:type="dxa"/>
            </w:tcMar>
            <w:vAlign w:val="center"/>
          </w:tcPr>
          <w:p w:rsidR="00101D62" w:rsidRPr="00FD18A0" w:rsidRDefault="00101D62" w:rsidP="00EC11E6">
            <w:pPr>
              <w:pStyle w:val="BrdtekstTabel"/>
              <w:jc w:val="center"/>
              <w:rPr>
                <w:b/>
              </w:rPr>
            </w:pPr>
            <w:r w:rsidRPr="00FD18A0">
              <w:rPr>
                <w:b/>
              </w:rPr>
              <w:t>Dato</w:t>
            </w:r>
          </w:p>
        </w:tc>
        <w:tc>
          <w:tcPr>
            <w:tcW w:w="5027" w:type="dxa"/>
            <w:shd w:val="clear" w:color="auto" w:fill="CCFFFF"/>
            <w:tcMar>
              <w:top w:w="57" w:type="dxa"/>
              <w:left w:w="85" w:type="dxa"/>
              <w:bottom w:w="57" w:type="dxa"/>
              <w:right w:w="85" w:type="dxa"/>
            </w:tcMar>
            <w:vAlign w:val="center"/>
          </w:tcPr>
          <w:p w:rsidR="00101D62" w:rsidRPr="00FD18A0" w:rsidRDefault="00101D62" w:rsidP="00EC11E6">
            <w:pPr>
              <w:pStyle w:val="BrdtekstTabel"/>
              <w:rPr>
                <w:b/>
              </w:rPr>
            </w:pPr>
            <w:r w:rsidRPr="00FD18A0">
              <w:rPr>
                <w:b/>
              </w:rPr>
              <w:t>Beskrivelse</w:t>
            </w:r>
          </w:p>
        </w:tc>
        <w:tc>
          <w:tcPr>
            <w:tcW w:w="1263" w:type="dxa"/>
            <w:shd w:val="clear" w:color="auto" w:fill="CCFFFF"/>
            <w:tcMar>
              <w:top w:w="57" w:type="dxa"/>
              <w:left w:w="85" w:type="dxa"/>
              <w:bottom w:w="57" w:type="dxa"/>
              <w:right w:w="85" w:type="dxa"/>
            </w:tcMar>
            <w:vAlign w:val="center"/>
          </w:tcPr>
          <w:p w:rsidR="00101D62" w:rsidRPr="00FD18A0" w:rsidRDefault="00101D62" w:rsidP="00EC11E6">
            <w:pPr>
              <w:pStyle w:val="BrdtekstTabel"/>
              <w:rPr>
                <w:b/>
              </w:rPr>
            </w:pPr>
            <w:r w:rsidRPr="00FD18A0">
              <w:rPr>
                <w:b/>
              </w:rPr>
              <w:t>Initialer</w:t>
            </w:r>
          </w:p>
        </w:tc>
      </w:tr>
      <w:tr w:rsidR="00101D62" w:rsidRPr="008142BA" w:rsidTr="00EC11E6">
        <w:tc>
          <w:tcPr>
            <w:tcW w:w="875" w:type="dxa"/>
            <w:tcMar>
              <w:top w:w="57" w:type="dxa"/>
              <w:left w:w="85" w:type="dxa"/>
              <w:bottom w:w="57" w:type="dxa"/>
              <w:right w:w="85" w:type="dxa"/>
            </w:tcMar>
          </w:tcPr>
          <w:p w:rsidR="00101D62" w:rsidRPr="008142BA" w:rsidRDefault="00101D62" w:rsidP="00EC11E6">
            <w:pPr>
              <w:pStyle w:val="BrdtekstTabel"/>
              <w:jc w:val="center"/>
            </w:pPr>
            <w:r w:rsidRPr="008142BA">
              <w:t>0.1</w:t>
            </w:r>
          </w:p>
        </w:tc>
        <w:tc>
          <w:tcPr>
            <w:tcW w:w="1245" w:type="dxa"/>
            <w:tcMar>
              <w:top w:w="57" w:type="dxa"/>
              <w:left w:w="85" w:type="dxa"/>
              <w:bottom w:w="57" w:type="dxa"/>
              <w:right w:w="85" w:type="dxa"/>
            </w:tcMar>
          </w:tcPr>
          <w:p w:rsidR="00101D62" w:rsidRPr="008142BA" w:rsidRDefault="00845013" w:rsidP="00EC11E6">
            <w:pPr>
              <w:pStyle w:val="BrdtekstTabel"/>
              <w:jc w:val="center"/>
            </w:pPr>
            <w:r>
              <w:t>29</w:t>
            </w:r>
            <w:r w:rsidR="00101D62">
              <w:t>-12-2016</w:t>
            </w:r>
          </w:p>
        </w:tc>
        <w:tc>
          <w:tcPr>
            <w:tcW w:w="5027" w:type="dxa"/>
            <w:tcMar>
              <w:top w:w="57" w:type="dxa"/>
              <w:left w:w="85" w:type="dxa"/>
              <w:bottom w:w="57" w:type="dxa"/>
              <w:right w:w="85" w:type="dxa"/>
            </w:tcMar>
          </w:tcPr>
          <w:p w:rsidR="00101D62" w:rsidRPr="008142BA" w:rsidRDefault="00101D62" w:rsidP="00101D62">
            <w:pPr>
              <w:pStyle w:val="BrdtekstTabel"/>
            </w:pPr>
            <w:r>
              <w:t>Første udkast.</w:t>
            </w:r>
          </w:p>
        </w:tc>
        <w:tc>
          <w:tcPr>
            <w:tcW w:w="1263" w:type="dxa"/>
            <w:tcMar>
              <w:top w:w="57" w:type="dxa"/>
              <w:left w:w="85" w:type="dxa"/>
              <w:bottom w:w="57" w:type="dxa"/>
              <w:right w:w="85" w:type="dxa"/>
            </w:tcMar>
          </w:tcPr>
          <w:p w:rsidR="00101D62" w:rsidRPr="008142BA" w:rsidRDefault="00101D62" w:rsidP="00EC11E6">
            <w:pPr>
              <w:pStyle w:val="BrdtekstTabel"/>
            </w:pPr>
            <w:r>
              <w:t>XKLHA</w:t>
            </w:r>
          </w:p>
        </w:tc>
      </w:tr>
      <w:tr w:rsidR="00CD3CC8" w:rsidRPr="008142BA" w:rsidTr="00EC11E6">
        <w:tc>
          <w:tcPr>
            <w:tcW w:w="875" w:type="dxa"/>
            <w:tcMar>
              <w:top w:w="57" w:type="dxa"/>
              <w:left w:w="85" w:type="dxa"/>
              <w:bottom w:w="57" w:type="dxa"/>
              <w:right w:w="85" w:type="dxa"/>
            </w:tcMar>
          </w:tcPr>
          <w:p w:rsidR="00CD3CC8" w:rsidRPr="008142BA" w:rsidRDefault="00CE0E31" w:rsidP="00EC11E6">
            <w:pPr>
              <w:pStyle w:val="BrdtekstTabel"/>
              <w:jc w:val="center"/>
            </w:pPr>
            <w:r>
              <w:t>0.9</w:t>
            </w:r>
          </w:p>
        </w:tc>
        <w:tc>
          <w:tcPr>
            <w:tcW w:w="1245" w:type="dxa"/>
            <w:tcMar>
              <w:top w:w="57" w:type="dxa"/>
              <w:left w:w="85" w:type="dxa"/>
              <w:bottom w:w="57" w:type="dxa"/>
              <w:right w:w="85" w:type="dxa"/>
            </w:tcMar>
          </w:tcPr>
          <w:p w:rsidR="00CD3CC8" w:rsidRDefault="00A8207A" w:rsidP="00EC11E6">
            <w:pPr>
              <w:pStyle w:val="BrdtekstTabel"/>
              <w:jc w:val="center"/>
            </w:pPr>
            <w:r>
              <w:t>0</w:t>
            </w:r>
            <w:r w:rsidR="006163F4">
              <w:t>4</w:t>
            </w:r>
            <w:r>
              <w:t>-01-2017</w:t>
            </w:r>
          </w:p>
        </w:tc>
        <w:tc>
          <w:tcPr>
            <w:tcW w:w="5027" w:type="dxa"/>
            <w:tcMar>
              <w:top w:w="57" w:type="dxa"/>
              <w:left w:w="85" w:type="dxa"/>
              <w:bottom w:w="57" w:type="dxa"/>
              <w:right w:w="85" w:type="dxa"/>
            </w:tcMar>
          </w:tcPr>
          <w:p w:rsidR="009D6480" w:rsidRDefault="00C66988" w:rsidP="00101D62">
            <w:pPr>
              <w:pStyle w:val="BrdtekstTabel"/>
            </w:pPr>
            <w:r>
              <w:t>Tilføjet overordnet livscyklus</w:t>
            </w:r>
            <w:r w:rsidR="0036669D">
              <w:t>. Mindre rettelser i beskrivelser.</w:t>
            </w:r>
          </w:p>
        </w:tc>
        <w:tc>
          <w:tcPr>
            <w:tcW w:w="1263" w:type="dxa"/>
            <w:tcMar>
              <w:top w:w="57" w:type="dxa"/>
              <w:left w:w="85" w:type="dxa"/>
              <w:bottom w:w="57" w:type="dxa"/>
              <w:right w:w="85" w:type="dxa"/>
            </w:tcMar>
          </w:tcPr>
          <w:p w:rsidR="00CD3CC8" w:rsidRDefault="00A8207A" w:rsidP="00EC11E6">
            <w:pPr>
              <w:pStyle w:val="BrdtekstTabel"/>
            </w:pPr>
            <w:r>
              <w:t>XKLHA</w:t>
            </w:r>
          </w:p>
        </w:tc>
      </w:tr>
      <w:tr w:rsidR="006B4080" w:rsidRPr="008142BA" w:rsidTr="00EC11E6">
        <w:tc>
          <w:tcPr>
            <w:tcW w:w="875" w:type="dxa"/>
            <w:tcMar>
              <w:top w:w="57" w:type="dxa"/>
              <w:left w:w="85" w:type="dxa"/>
              <w:bottom w:w="57" w:type="dxa"/>
              <w:right w:w="85" w:type="dxa"/>
            </w:tcMar>
          </w:tcPr>
          <w:p w:rsidR="006B4080" w:rsidRDefault="004617BC" w:rsidP="00EC11E6">
            <w:pPr>
              <w:pStyle w:val="BrdtekstTabel"/>
              <w:jc w:val="center"/>
            </w:pPr>
            <w:r>
              <w:t>1.0</w:t>
            </w:r>
          </w:p>
        </w:tc>
        <w:tc>
          <w:tcPr>
            <w:tcW w:w="1245" w:type="dxa"/>
            <w:tcMar>
              <w:top w:w="57" w:type="dxa"/>
              <w:left w:w="85" w:type="dxa"/>
              <w:bottom w:w="57" w:type="dxa"/>
              <w:right w:w="85" w:type="dxa"/>
            </w:tcMar>
          </w:tcPr>
          <w:p w:rsidR="006B4080" w:rsidRDefault="004617BC" w:rsidP="00EC11E6">
            <w:pPr>
              <w:pStyle w:val="BrdtekstTabel"/>
              <w:jc w:val="center"/>
            </w:pPr>
            <w:r>
              <w:t>26-02-2018</w:t>
            </w:r>
          </w:p>
        </w:tc>
        <w:tc>
          <w:tcPr>
            <w:tcW w:w="5027" w:type="dxa"/>
            <w:tcMar>
              <w:top w:w="57" w:type="dxa"/>
              <w:left w:w="85" w:type="dxa"/>
              <w:bottom w:w="57" w:type="dxa"/>
              <w:right w:w="85" w:type="dxa"/>
            </w:tcMar>
          </w:tcPr>
          <w:p w:rsidR="006B4080" w:rsidRDefault="004617BC" w:rsidP="00101D62">
            <w:pPr>
              <w:pStyle w:val="BrdtekstTabel"/>
            </w:pPr>
            <w:r>
              <w:t>Livscyklus for sag tilføjet.</w:t>
            </w:r>
            <w:r w:rsidR="00842FE4">
              <w:t xml:space="preserve"> Indsat state diagram.</w:t>
            </w:r>
          </w:p>
        </w:tc>
        <w:tc>
          <w:tcPr>
            <w:tcW w:w="1263" w:type="dxa"/>
            <w:tcMar>
              <w:top w:w="57" w:type="dxa"/>
              <w:left w:w="85" w:type="dxa"/>
              <w:bottom w:w="57" w:type="dxa"/>
              <w:right w:w="85" w:type="dxa"/>
            </w:tcMar>
          </w:tcPr>
          <w:p w:rsidR="006B4080" w:rsidRDefault="004617BC" w:rsidP="00EC11E6">
            <w:pPr>
              <w:pStyle w:val="BrdtekstTabel"/>
            </w:pPr>
            <w:r>
              <w:t>XKLHA</w:t>
            </w:r>
          </w:p>
        </w:tc>
      </w:tr>
    </w:tbl>
    <w:p w:rsidR="00101D62" w:rsidRDefault="00101D62" w:rsidP="00101D62"/>
    <w:sdt>
      <w:sdtPr>
        <w:rPr>
          <w:rFonts w:ascii="Arial" w:eastAsiaTheme="minorHAnsi" w:hAnsi="Arial" w:cstheme="minorBidi"/>
          <w:b w:val="0"/>
          <w:bCs w:val="0"/>
          <w:color w:val="auto"/>
          <w:sz w:val="20"/>
          <w:szCs w:val="22"/>
          <w:lang w:eastAsia="en-US"/>
        </w:rPr>
        <w:id w:val="-1919779225"/>
        <w:docPartObj>
          <w:docPartGallery w:val="Table of Contents"/>
          <w:docPartUnique/>
        </w:docPartObj>
      </w:sdtPr>
      <w:sdtEndPr/>
      <w:sdtContent>
        <w:p w:rsidR="00101D62" w:rsidRDefault="00101D62" w:rsidP="00101D62">
          <w:pPr>
            <w:pStyle w:val="Overskrift"/>
          </w:pPr>
          <w:r>
            <w:t>Indhold</w:t>
          </w:r>
        </w:p>
        <w:p w:rsidR="00842FE4" w:rsidRDefault="00101D62">
          <w:pPr>
            <w:pStyle w:val="Indholdsfortegnelse1"/>
            <w:rPr>
              <w:rFonts w:asciiTheme="minorHAnsi" w:eastAsiaTheme="minorEastAsia" w:hAnsiTheme="minorHAnsi"/>
              <w:noProof/>
              <w:sz w:val="22"/>
              <w:lang w:eastAsia="da-DK"/>
            </w:rPr>
          </w:pPr>
          <w:r>
            <w:fldChar w:fldCharType="begin"/>
          </w:r>
          <w:r>
            <w:instrText xml:space="preserve"> TOC \o "1-3" \h \z \u </w:instrText>
          </w:r>
          <w:r>
            <w:fldChar w:fldCharType="separate"/>
          </w:r>
          <w:hyperlink w:anchor="_Toc507578170" w:history="1">
            <w:r w:rsidR="00842FE4" w:rsidRPr="005908BF">
              <w:rPr>
                <w:rStyle w:val="Hyperlink"/>
                <w:noProof/>
              </w:rPr>
              <w:t>Baggrund</w:t>
            </w:r>
            <w:r w:rsidR="00842FE4">
              <w:rPr>
                <w:noProof/>
                <w:webHidden/>
              </w:rPr>
              <w:tab/>
            </w:r>
            <w:r w:rsidR="00842FE4">
              <w:rPr>
                <w:noProof/>
                <w:webHidden/>
              </w:rPr>
              <w:fldChar w:fldCharType="begin"/>
            </w:r>
            <w:r w:rsidR="00842FE4">
              <w:rPr>
                <w:noProof/>
                <w:webHidden/>
              </w:rPr>
              <w:instrText xml:space="preserve"> PAGEREF _Toc507578170 \h </w:instrText>
            </w:r>
            <w:r w:rsidR="00842FE4">
              <w:rPr>
                <w:noProof/>
                <w:webHidden/>
              </w:rPr>
            </w:r>
            <w:r w:rsidR="00842FE4">
              <w:rPr>
                <w:noProof/>
                <w:webHidden/>
              </w:rPr>
              <w:fldChar w:fldCharType="separate"/>
            </w:r>
            <w:r w:rsidR="00842FE4">
              <w:rPr>
                <w:noProof/>
                <w:webHidden/>
              </w:rPr>
              <w:t>2</w:t>
            </w:r>
            <w:r w:rsidR="00842FE4">
              <w:rPr>
                <w:noProof/>
                <w:webHidden/>
              </w:rPr>
              <w:fldChar w:fldCharType="end"/>
            </w:r>
          </w:hyperlink>
        </w:p>
        <w:p w:rsidR="00842FE4" w:rsidRDefault="0053407F">
          <w:pPr>
            <w:pStyle w:val="Indholdsfortegnelse1"/>
            <w:rPr>
              <w:rFonts w:asciiTheme="minorHAnsi" w:eastAsiaTheme="minorEastAsia" w:hAnsiTheme="minorHAnsi"/>
              <w:noProof/>
              <w:sz w:val="22"/>
              <w:lang w:eastAsia="da-DK"/>
            </w:rPr>
          </w:pPr>
          <w:hyperlink w:anchor="_Toc507578171" w:history="1">
            <w:r w:rsidR="00842FE4" w:rsidRPr="005908BF">
              <w:rPr>
                <w:rStyle w:val="Hyperlink"/>
                <w:noProof/>
              </w:rPr>
              <w:t>Formål med udstilling af Matriklens data</w:t>
            </w:r>
            <w:r w:rsidR="00842FE4">
              <w:rPr>
                <w:noProof/>
                <w:webHidden/>
              </w:rPr>
              <w:tab/>
            </w:r>
            <w:r w:rsidR="00842FE4">
              <w:rPr>
                <w:noProof/>
                <w:webHidden/>
              </w:rPr>
              <w:fldChar w:fldCharType="begin"/>
            </w:r>
            <w:r w:rsidR="00842FE4">
              <w:rPr>
                <w:noProof/>
                <w:webHidden/>
              </w:rPr>
              <w:instrText xml:space="preserve"> PAGEREF _Toc507578171 \h </w:instrText>
            </w:r>
            <w:r w:rsidR="00842FE4">
              <w:rPr>
                <w:noProof/>
                <w:webHidden/>
              </w:rPr>
            </w:r>
            <w:r w:rsidR="00842FE4">
              <w:rPr>
                <w:noProof/>
                <w:webHidden/>
              </w:rPr>
              <w:fldChar w:fldCharType="separate"/>
            </w:r>
            <w:r w:rsidR="00842FE4">
              <w:rPr>
                <w:noProof/>
                <w:webHidden/>
              </w:rPr>
              <w:t>2</w:t>
            </w:r>
            <w:r w:rsidR="00842FE4">
              <w:rPr>
                <w:noProof/>
                <w:webHidden/>
              </w:rPr>
              <w:fldChar w:fldCharType="end"/>
            </w:r>
          </w:hyperlink>
        </w:p>
        <w:p w:rsidR="00842FE4" w:rsidRDefault="0053407F">
          <w:pPr>
            <w:pStyle w:val="Indholdsfortegnelse1"/>
            <w:rPr>
              <w:rFonts w:asciiTheme="minorHAnsi" w:eastAsiaTheme="minorEastAsia" w:hAnsiTheme="minorHAnsi"/>
              <w:noProof/>
              <w:sz w:val="22"/>
              <w:lang w:eastAsia="da-DK"/>
            </w:rPr>
          </w:pPr>
          <w:hyperlink w:anchor="_Toc507578172" w:history="1">
            <w:r w:rsidR="00842FE4" w:rsidRPr="005908BF">
              <w:rPr>
                <w:rStyle w:val="Hyperlink"/>
                <w:noProof/>
              </w:rPr>
              <w:t>Matrikulær sag</w:t>
            </w:r>
            <w:r w:rsidR="00842FE4">
              <w:rPr>
                <w:noProof/>
                <w:webHidden/>
              </w:rPr>
              <w:tab/>
            </w:r>
            <w:r w:rsidR="00842FE4">
              <w:rPr>
                <w:noProof/>
                <w:webHidden/>
              </w:rPr>
              <w:fldChar w:fldCharType="begin"/>
            </w:r>
            <w:r w:rsidR="00842FE4">
              <w:rPr>
                <w:noProof/>
                <w:webHidden/>
              </w:rPr>
              <w:instrText xml:space="preserve"> PAGEREF _Toc507578172 \h </w:instrText>
            </w:r>
            <w:r w:rsidR="00842FE4">
              <w:rPr>
                <w:noProof/>
                <w:webHidden/>
              </w:rPr>
            </w:r>
            <w:r w:rsidR="00842FE4">
              <w:rPr>
                <w:noProof/>
                <w:webHidden/>
              </w:rPr>
              <w:fldChar w:fldCharType="separate"/>
            </w:r>
            <w:r w:rsidR="00842FE4">
              <w:rPr>
                <w:noProof/>
                <w:webHidden/>
              </w:rPr>
              <w:t>2</w:t>
            </w:r>
            <w:r w:rsidR="00842FE4">
              <w:rPr>
                <w:noProof/>
                <w:webHidden/>
              </w:rPr>
              <w:fldChar w:fldCharType="end"/>
            </w:r>
          </w:hyperlink>
        </w:p>
        <w:p w:rsidR="00842FE4" w:rsidRDefault="0053407F">
          <w:pPr>
            <w:pStyle w:val="Indholdsfortegnelse2"/>
            <w:tabs>
              <w:tab w:val="right" w:leader="dot" w:pos="9628"/>
            </w:tabs>
            <w:rPr>
              <w:rFonts w:asciiTheme="minorHAnsi" w:eastAsiaTheme="minorEastAsia" w:hAnsiTheme="minorHAnsi"/>
              <w:noProof/>
              <w:sz w:val="22"/>
              <w:lang w:eastAsia="da-DK"/>
            </w:rPr>
          </w:pPr>
          <w:hyperlink w:anchor="_Toc507578173" w:history="1">
            <w:r w:rsidR="00842FE4" w:rsidRPr="005908BF">
              <w:rPr>
                <w:rStyle w:val="Hyperlink"/>
                <w:noProof/>
              </w:rPr>
              <w:t>Livscyklus for Matrikulær sag</w:t>
            </w:r>
            <w:r w:rsidR="00842FE4">
              <w:rPr>
                <w:noProof/>
                <w:webHidden/>
              </w:rPr>
              <w:tab/>
            </w:r>
            <w:r w:rsidR="00842FE4">
              <w:rPr>
                <w:noProof/>
                <w:webHidden/>
              </w:rPr>
              <w:fldChar w:fldCharType="begin"/>
            </w:r>
            <w:r w:rsidR="00842FE4">
              <w:rPr>
                <w:noProof/>
                <w:webHidden/>
              </w:rPr>
              <w:instrText xml:space="preserve"> PAGEREF _Toc507578173 \h </w:instrText>
            </w:r>
            <w:r w:rsidR="00842FE4">
              <w:rPr>
                <w:noProof/>
                <w:webHidden/>
              </w:rPr>
            </w:r>
            <w:r w:rsidR="00842FE4">
              <w:rPr>
                <w:noProof/>
                <w:webHidden/>
              </w:rPr>
              <w:fldChar w:fldCharType="separate"/>
            </w:r>
            <w:r w:rsidR="00842FE4">
              <w:rPr>
                <w:noProof/>
                <w:webHidden/>
              </w:rPr>
              <w:t>3</w:t>
            </w:r>
            <w:r w:rsidR="00842FE4">
              <w:rPr>
                <w:noProof/>
                <w:webHidden/>
              </w:rPr>
              <w:fldChar w:fldCharType="end"/>
            </w:r>
          </w:hyperlink>
        </w:p>
        <w:p w:rsidR="00842FE4" w:rsidRDefault="0053407F">
          <w:pPr>
            <w:pStyle w:val="Indholdsfortegnelse1"/>
            <w:rPr>
              <w:rFonts w:asciiTheme="minorHAnsi" w:eastAsiaTheme="minorEastAsia" w:hAnsiTheme="minorHAnsi"/>
              <w:noProof/>
              <w:sz w:val="22"/>
              <w:lang w:eastAsia="da-DK"/>
            </w:rPr>
          </w:pPr>
          <w:hyperlink w:anchor="_Toc507578174" w:history="1">
            <w:r w:rsidR="00842FE4" w:rsidRPr="005908BF">
              <w:rPr>
                <w:rStyle w:val="Hyperlink"/>
                <w:noProof/>
              </w:rPr>
              <w:t>Matrikulære elementer</w:t>
            </w:r>
            <w:r w:rsidR="00842FE4">
              <w:rPr>
                <w:noProof/>
                <w:webHidden/>
              </w:rPr>
              <w:tab/>
            </w:r>
            <w:r w:rsidR="00842FE4">
              <w:rPr>
                <w:noProof/>
                <w:webHidden/>
              </w:rPr>
              <w:fldChar w:fldCharType="begin"/>
            </w:r>
            <w:r w:rsidR="00842FE4">
              <w:rPr>
                <w:noProof/>
                <w:webHidden/>
              </w:rPr>
              <w:instrText xml:space="preserve"> PAGEREF _Toc507578174 \h </w:instrText>
            </w:r>
            <w:r w:rsidR="00842FE4">
              <w:rPr>
                <w:noProof/>
                <w:webHidden/>
              </w:rPr>
            </w:r>
            <w:r w:rsidR="00842FE4">
              <w:rPr>
                <w:noProof/>
                <w:webHidden/>
              </w:rPr>
              <w:fldChar w:fldCharType="separate"/>
            </w:r>
            <w:r w:rsidR="00842FE4">
              <w:rPr>
                <w:noProof/>
                <w:webHidden/>
              </w:rPr>
              <w:t>3</w:t>
            </w:r>
            <w:r w:rsidR="00842FE4">
              <w:rPr>
                <w:noProof/>
                <w:webHidden/>
              </w:rPr>
              <w:fldChar w:fldCharType="end"/>
            </w:r>
          </w:hyperlink>
        </w:p>
        <w:p w:rsidR="00842FE4" w:rsidRDefault="0053407F">
          <w:pPr>
            <w:pStyle w:val="Indholdsfortegnelse2"/>
            <w:tabs>
              <w:tab w:val="right" w:leader="dot" w:pos="9628"/>
            </w:tabs>
            <w:rPr>
              <w:rFonts w:asciiTheme="minorHAnsi" w:eastAsiaTheme="minorEastAsia" w:hAnsiTheme="minorHAnsi"/>
              <w:noProof/>
              <w:sz w:val="22"/>
              <w:lang w:eastAsia="da-DK"/>
            </w:rPr>
          </w:pPr>
          <w:hyperlink w:anchor="_Toc507578175" w:history="1">
            <w:r w:rsidR="00842FE4" w:rsidRPr="005908BF">
              <w:rPr>
                <w:rStyle w:val="Hyperlink"/>
                <w:noProof/>
              </w:rPr>
              <w:t>Overordnet livscyklus for matrikulære elementer</w:t>
            </w:r>
            <w:r w:rsidR="00842FE4">
              <w:rPr>
                <w:noProof/>
                <w:webHidden/>
              </w:rPr>
              <w:tab/>
            </w:r>
            <w:r w:rsidR="00842FE4">
              <w:rPr>
                <w:noProof/>
                <w:webHidden/>
              </w:rPr>
              <w:fldChar w:fldCharType="begin"/>
            </w:r>
            <w:r w:rsidR="00842FE4">
              <w:rPr>
                <w:noProof/>
                <w:webHidden/>
              </w:rPr>
              <w:instrText xml:space="preserve"> PAGEREF _Toc507578175 \h </w:instrText>
            </w:r>
            <w:r w:rsidR="00842FE4">
              <w:rPr>
                <w:noProof/>
                <w:webHidden/>
              </w:rPr>
            </w:r>
            <w:r w:rsidR="00842FE4">
              <w:rPr>
                <w:noProof/>
                <w:webHidden/>
              </w:rPr>
              <w:fldChar w:fldCharType="separate"/>
            </w:r>
            <w:r w:rsidR="00842FE4">
              <w:rPr>
                <w:noProof/>
                <w:webHidden/>
              </w:rPr>
              <w:t>3</w:t>
            </w:r>
            <w:r w:rsidR="00842FE4">
              <w:rPr>
                <w:noProof/>
                <w:webHidden/>
              </w:rPr>
              <w:fldChar w:fldCharType="end"/>
            </w:r>
          </w:hyperlink>
        </w:p>
        <w:p w:rsidR="00842FE4" w:rsidRDefault="0053407F">
          <w:pPr>
            <w:pStyle w:val="Indholdsfortegnelse2"/>
            <w:tabs>
              <w:tab w:val="right" w:leader="dot" w:pos="9628"/>
            </w:tabs>
            <w:rPr>
              <w:rFonts w:asciiTheme="minorHAnsi" w:eastAsiaTheme="minorEastAsia" w:hAnsiTheme="minorHAnsi"/>
              <w:noProof/>
              <w:sz w:val="22"/>
              <w:lang w:eastAsia="da-DK"/>
            </w:rPr>
          </w:pPr>
          <w:hyperlink w:anchor="_Toc507578176" w:history="1">
            <w:r w:rsidR="00842FE4" w:rsidRPr="005908BF">
              <w:rPr>
                <w:rStyle w:val="Hyperlink"/>
                <w:noProof/>
              </w:rPr>
              <w:t>Livscyklus med versionering</w:t>
            </w:r>
            <w:r w:rsidR="00842FE4">
              <w:rPr>
                <w:noProof/>
                <w:webHidden/>
              </w:rPr>
              <w:tab/>
            </w:r>
            <w:r w:rsidR="00842FE4">
              <w:rPr>
                <w:noProof/>
                <w:webHidden/>
              </w:rPr>
              <w:fldChar w:fldCharType="begin"/>
            </w:r>
            <w:r w:rsidR="00842FE4">
              <w:rPr>
                <w:noProof/>
                <w:webHidden/>
              </w:rPr>
              <w:instrText xml:space="preserve"> PAGEREF _Toc507578176 \h </w:instrText>
            </w:r>
            <w:r w:rsidR="00842FE4">
              <w:rPr>
                <w:noProof/>
                <w:webHidden/>
              </w:rPr>
            </w:r>
            <w:r w:rsidR="00842FE4">
              <w:rPr>
                <w:noProof/>
                <w:webHidden/>
              </w:rPr>
              <w:fldChar w:fldCharType="separate"/>
            </w:r>
            <w:r w:rsidR="00842FE4">
              <w:rPr>
                <w:noProof/>
                <w:webHidden/>
              </w:rPr>
              <w:t>4</w:t>
            </w:r>
            <w:r w:rsidR="00842FE4">
              <w:rPr>
                <w:noProof/>
                <w:webHidden/>
              </w:rPr>
              <w:fldChar w:fldCharType="end"/>
            </w:r>
          </w:hyperlink>
        </w:p>
        <w:p w:rsidR="00842FE4" w:rsidRDefault="0053407F">
          <w:pPr>
            <w:pStyle w:val="Indholdsfortegnelse2"/>
            <w:tabs>
              <w:tab w:val="right" w:leader="dot" w:pos="9628"/>
            </w:tabs>
            <w:rPr>
              <w:rFonts w:asciiTheme="minorHAnsi" w:eastAsiaTheme="minorEastAsia" w:hAnsiTheme="minorHAnsi"/>
              <w:noProof/>
              <w:sz w:val="22"/>
              <w:lang w:eastAsia="da-DK"/>
            </w:rPr>
          </w:pPr>
          <w:hyperlink w:anchor="_Toc507578177" w:history="1">
            <w:r w:rsidR="00842FE4" w:rsidRPr="005908BF">
              <w:rPr>
                <w:rStyle w:val="Hyperlink"/>
                <w:noProof/>
              </w:rPr>
              <w:t>Foreløbige versioner af matrikulære elementer</w:t>
            </w:r>
            <w:r w:rsidR="00842FE4">
              <w:rPr>
                <w:noProof/>
                <w:webHidden/>
              </w:rPr>
              <w:tab/>
            </w:r>
            <w:r w:rsidR="00842FE4">
              <w:rPr>
                <w:noProof/>
                <w:webHidden/>
              </w:rPr>
              <w:fldChar w:fldCharType="begin"/>
            </w:r>
            <w:r w:rsidR="00842FE4">
              <w:rPr>
                <w:noProof/>
                <w:webHidden/>
              </w:rPr>
              <w:instrText xml:space="preserve"> PAGEREF _Toc507578177 \h </w:instrText>
            </w:r>
            <w:r w:rsidR="00842FE4">
              <w:rPr>
                <w:noProof/>
                <w:webHidden/>
              </w:rPr>
            </w:r>
            <w:r w:rsidR="00842FE4">
              <w:rPr>
                <w:noProof/>
                <w:webHidden/>
              </w:rPr>
              <w:fldChar w:fldCharType="separate"/>
            </w:r>
            <w:r w:rsidR="00842FE4">
              <w:rPr>
                <w:noProof/>
                <w:webHidden/>
              </w:rPr>
              <w:t>7</w:t>
            </w:r>
            <w:r w:rsidR="00842FE4">
              <w:rPr>
                <w:noProof/>
                <w:webHidden/>
              </w:rPr>
              <w:fldChar w:fldCharType="end"/>
            </w:r>
          </w:hyperlink>
        </w:p>
        <w:p w:rsidR="00842FE4" w:rsidRDefault="0053407F">
          <w:pPr>
            <w:pStyle w:val="Indholdsfortegnelse1"/>
            <w:rPr>
              <w:rFonts w:asciiTheme="minorHAnsi" w:eastAsiaTheme="minorEastAsia" w:hAnsiTheme="minorHAnsi"/>
              <w:noProof/>
              <w:sz w:val="22"/>
              <w:lang w:eastAsia="da-DK"/>
            </w:rPr>
          </w:pPr>
          <w:hyperlink w:anchor="_Toc507578178" w:history="1">
            <w:r w:rsidR="00842FE4" w:rsidRPr="005908BF">
              <w:rPr>
                <w:rStyle w:val="Hyperlink"/>
                <w:noProof/>
              </w:rPr>
              <w:t>Udstillingsmodellens overholdelse af regler og vejledninger</w:t>
            </w:r>
            <w:r w:rsidR="00842FE4">
              <w:rPr>
                <w:noProof/>
                <w:webHidden/>
              </w:rPr>
              <w:tab/>
            </w:r>
            <w:r w:rsidR="00842FE4">
              <w:rPr>
                <w:noProof/>
                <w:webHidden/>
              </w:rPr>
              <w:fldChar w:fldCharType="begin"/>
            </w:r>
            <w:r w:rsidR="00842FE4">
              <w:rPr>
                <w:noProof/>
                <w:webHidden/>
              </w:rPr>
              <w:instrText xml:space="preserve"> PAGEREF _Toc507578178 \h </w:instrText>
            </w:r>
            <w:r w:rsidR="00842FE4">
              <w:rPr>
                <w:noProof/>
                <w:webHidden/>
              </w:rPr>
            </w:r>
            <w:r w:rsidR="00842FE4">
              <w:rPr>
                <w:noProof/>
                <w:webHidden/>
              </w:rPr>
              <w:fldChar w:fldCharType="separate"/>
            </w:r>
            <w:r w:rsidR="00842FE4">
              <w:rPr>
                <w:noProof/>
                <w:webHidden/>
              </w:rPr>
              <w:t>7</w:t>
            </w:r>
            <w:r w:rsidR="00842FE4">
              <w:rPr>
                <w:noProof/>
                <w:webHidden/>
              </w:rPr>
              <w:fldChar w:fldCharType="end"/>
            </w:r>
          </w:hyperlink>
        </w:p>
        <w:p w:rsidR="00842FE4" w:rsidRDefault="0053407F">
          <w:pPr>
            <w:pStyle w:val="Indholdsfortegnelse1"/>
            <w:rPr>
              <w:rFonts w:asciiTheme="minorHAnsi" w:eastAsiaTheme="minorEastAsia" w:hAnsiTheme="minorHAnsi"/>
              <w:noProof/>
              <w:sz w:val="22"/>
              <w:lang w:eastAsia="da-DK"/>
            </w:rPr>
          </w:pPr>
          <w:hyperlink w:anchor="_Toc507578179" w:history="1">
            <w:r w:rsidR="00842FE4" w:rsidRPr="005908BF">
              <w:rPr>
                <w:rStyle w:val="Hyperlink"/>
                <w:noProof/>
              </w:rPr>
              <w:t>Kildehenvisninger</w:t>
            </w:r>
            <w:r w:rsidR="00842FE4">
              <w:rPr>
                <w:noProof/>
                <w:webHidden/>
              </w:rPr>
              <w:tab/>
            </w:r>
            <w:r w:rsidR="00842FE4">
              <w:rPr>
                <w:noProof/>
                <w:webHidden/>
              </w:rPr>
              <w:fldChar w:fldCharType="begin"/>
            </w:r>
            <w:r w:rsidR="00842FE4">
              <w:rPr>
                <w:noProof/>
                <w:webHidden/>
              </w:rPr>
              <w:instrText xml:space="preserve"> PAGEREF _Toc507578179 \h </w:instrText>
            </w:r>
            <w:r w:rsidR="00842FE4">
              <w:rPr>
                <w:noProof/>
                <w:webHidden/>
              </w:rPr>
            </w:r>
            <w:r w:rsidR="00842FE4">
              <w:rPr>
                <w:noProof/>
                <w:webHidden/>
              </w:rPr>
              <w:fldChar w:fldCharType="separate"/>
            </w:r>
            <w:r w:rsidR="00842FE4">
              <w:rPr>
                <w:noProof/>
                <w:webHidden/>
              </w:rPr>
              <w:t>8</w:t>
            </w:r>
            <w:r w:rsidR="00842FE4">
              <w:rPr>
                <w:noProof/>
                <w:webHidden/>
              </w:rPr>
              <w:fldChar w:fldCharType="end"/>
            </w:r>
          </w:hyperlink>
        </w:p>
        <w:p w:rsidR="00101D62" w:rsidRDefault="00101D62" w:rsidP="00101D62">
          <w:r>
            <w:rPr>
              <w:b/>
              <w:bCs/>
            </w:rPr>
            <w:fldChar w:fldCharType="end"/>
          </w:r>
        </w:p>
      </w:sdtContent>
    </w:sdt>
    <w:p w:rsidR="00101D62" w:rsidRPr="00FD18A0" w:rsidRDefault="00101D62" w:rsidP="00101D62"/>
    <w:p w:rsidR="00101D62" w:rsidRDefault="00101D62" w:rsidP="00101D62">
      <w:pPr>
        <w:spacing w:after="200" w:line="276" w:lineRule="auto"/>
        <w:rPr>
          <w:rFonts w:asciiTheme="majorHAnsi" w:eastAsiaTheme="majorEastAsia" w:hAnsiTheme="majorHAnsi" w:cstheme="majorBidi"/>
          <w:b/>
          <w:bCs/>
          <w:color w:val="00707D" w:themeColor="accent1" w:themeShade="BF"/>
          <w:sz w:val="28"/>
          <w:szCs w:val="28"/>
        </w:rPr>
      </w:pPr>
      <w:r>
        <w:br w:type="page"/>
      </w:r>
    </w:p>
    <w:p w:rsidR="00101D62" w:rsidRDefault="00101D62" w:rsidP="00101D62">
      <w:pPr>
        <w:pStyle w:val="Overskrift1"/>
      </w:pPr>
      <w:bookmarkStart w:id="0" w:name="_Toc507578170"/>
      <w:r>
        <w:lastRenderedPageBreak/>
        <w:t>Baggrund</w:t>
      </w:r>
      <w:bookmarkEnd w:id="0"/>
    </w:p>
    <w:p w:rsidR="00101D62" w:rsidRPr="00101D62" w:rsidRDefault="00101D62" w:rsidP="00101D62"/>
    <w:p w:rsidR="00B6691C" w:rsidRDefault="00B6691C" w:rsidP="00B6691C">
      <w:r>
        <w:t xml:space="preserve">Indeværende dokument er et supplement til den enhver tid gældende udstillingsmodel for matriklen, som fremgår af </w:t>
      </w:r>
      <w:hyperlink r:id="rId11" w:history="1">
        <w:r w:rsidRPr="00A13C24">
          <w:rPr>
            <w:rStyle w:val="Hyperlink"/>
          </w:rPr>
          <w:t>http://data.gov.dk/model/diagrammer/</w:t>
        </w:r>
      </w:hyperlink>
      <w:r>
        <w:t xml:space="preserve">. </w:t>
      </w:r>
    </w:p>
    <w:p w:rsidR="00B6691C" w:rsidRDefault="00B6691C" w:rsidP="009231AD"/>
    <w:p w:rsidR="00101D62" w:rsidRDefault="00003445" w:rsidP="009231AD">
      <w:r>
        <w:t>Udstillingsmodellen for d</w:t>
      </w:r>
      <w:r w:rsidR="00101D62">
        <w:t>en udvidede matrikel understøtter d</w:t>
      </w:r>
      <w:r w:rsidR="0040437E">
        <w:t xml:space="preserve">e behov, som er blevet klarlagt i grunddataprogrammets analysefase. Disse behov er dokumenteret og </w:t>
      </w:r>
      <w:r w:rsidR="00101D62">
        <w:t xml:space="preserve">besluttet </w:t>
      </w:r>
      <w:r w:rsidR="0040437E">
        <w:t xml:space="preserve">bl.a. vha. </w:t>
      </w:r>
      <w:r w:rsidR="00101D62">
        <w:t>følgende</w:t>
      </w:r>
      <w:r>
        <w:t xml:space="preserve"> dokumenter</w:t>
      </w:r>
      <w:r w:rsidR="00101D62">
        <w:t>:</w:t>
      </w:r>
    </w:p>
    <w:p w:rsidR="009231AD" w:rsidRDefault="00003445" w:rsidP="005C0576">
      <w:pPr>
        <w:pStyle w:val="Listeafsnit"/>
        <w:numPr>
          <w:ilvl w:val="0"/>
          <w:numId w:val="10"/>
        </w:numPr>
      </w:pPr>
      <w:r w:rsidRPr="00003445">
        <w:t>10.2a Samordnet genbrug af ejendoms- og bygningsdata -</w:t>
      </w:r>
      <w:r>
        <w:t xml:space="preserve"> Kvalificering af business case (Arbejdspakke 1 – Processer ift. ejendomsdannelse) [1].</w:t>
      </w:r>
    </w:p>
    <w:p w:rsidR="00003445" w:rsidRDefault="00003445" w:rsidP="005C0576">
      <w:pPr>
        <w:pStyle w:val="Listeafsnit"/>
        <w:numPr>
          <w:ilvl w:val="0"/>
          <w:numId w:val="10"/>
        </w:numPr>
      </w:pPr>
      <w:r>
        <w:t>Målarkitektur for Ejendomsdataprogrammet [2].</w:t>
      </w:r>
    </w:p>
    <w:p w:rsidR="001D78D1" w:rsidRDefault="00003445" w:rsidP="005C0576">
      <w:pPr>
        <w:pStyle w:val="Listeafsnit"/>
        <w:numPr>
          <w:ilvl w:val="0"/>
          <w:numId w:val="10"/>
        </w:numPr>
      </w:pPr>
      <w:r>
        <w:t>Løsningsarkitektur for Matriklens udvidelse [3].</w:t>
      </w:r>
    </w:p>
    <w:p w:rsidR="00003445" w:rsidRDefault="00FE5957" w:rsidP="00C17A9E">
      <w:pPr>
        <w:pStyle w:val="Overskrift1"/>
      </w:pPr>
      <w:bookmarkStart w:id="1" w:name="_Toc507578171"/>
      <w:r>
        <w:t>Formål med</w:t>
      </w:r>
      <w:r w:rsidR="00742118">
        <w:t xml:space="preserve"> udstilling af</w:t>
      </w:r>
      <w:r>
        <w:t xml:space="preserve"> </w:t>
      </w:r>
      <w:r w:rsidR="00C17A9E">
        <w:t>Matriklen</w:t>
      </w:r>
      <w:r>
        <w:t>s data</w:t>
      </w:r>
      <w:bookmarkEnd w:id="1"/>
    </w:p>
    <w:p w:rsidR="00C17A9E" w:rsidRDefault="00C17A9E" w:rsidP="00003445">
      <w:r>
        <w:t>Form</w:t>
      </w:r>
      <w:r w:rsidR="004D2196">
        <w:t xml:space="preserve">ålet med </w:t>
      </w:r>
      <w:r w:rsidR="00166D51">
        <w:t xml:space="preserve">udstilling af </w:t>
      </w:r>
      <w:r w:rsidR="004D2196">
        <w:t>Matriklens data er at danne grundlag for</w:t>
      </w:r>
      <w:r>
        <w:t>:</w:t>
      </w:r>
    </w:p>
    <w:p w:rsidR="00742118" w:rsidRDefault="00C17A9E" w:rsidP="00742118">
      <w:pPr>
        <w:pStyle w:val="Listeafsnit"/>
        <w:numPr>
          <w:ilvl w:val="0"/>
          <w:numId w:val="8"/>
        </w:numPr>
      </w:pPr>
      <w:r>
        <w:t>offentlig vurdering og beskatning</w:t>
      </w:r>
      <w:r w:rsidR="00742118">
        <w:t xml:space="preserve"> af fast ejendom</w:t>
      </w:r>
      <w:r w:rsidR="00FE5957">
        <w:t>.</w:t>
      </w:r>
    </w:p>
    <w:p w:rsidR="00C17A9E" w:rsidRDefault="004D2196" w:rsidP="00C17A9E">
      <w:pPr>
        <w:pStyle w:val="Listeafsnit"/>
        <w:numPr>
          <w:ilvl w:val="0"/>
          <w:numId w:val="8"/>
        </w:numPr>
      </w:pPr>
      <w:r>
        <w:t>h</w:t>
      </w:r>
      <w:r w:rsidR="00742118">
        <w:t>andel med fast ejendom, herunder tinglysning af rettigheder.</w:t>
      </w:r>
    </w:p>
    <w:p w:rsidR="00C17A9E" w:rsidRDefault="00C17A9E" w:rsidP="00C17A9E">
      <w:pPr>
        <w:pStyle w:val="Listeafsnit"/>
        <w:numPr>
          <w:ilvl w:val="0"/>
          <w:numId w:val="8"/>
        </w:numPr>
      </w:pPr>
      <w:r>
        <w:t>offentlig forvaltning</w:t>
      </w:r>
      <w:r w:rsidR="00742118">
        <w:t>, fx byggesagsbehandling og fysisk planlægning</w:t>
      </w:r>
      <w:r w:rsidR="00FE5957">
        <w:t>.</w:t>
      </w:r>
    </w:p>
    <w:p w:rsidR="00FE5957" w:rsidRDefault="00FE5957" w:rsidP="00C17A9E">
      <w:pPr>
        <w:pStyle w:val="Listeafsnit"/>
        <w:numPr>
          <w:ilvl w:val="0"/>
          <w:numId w:val="8"/>
        </w:numPr>
      </w:pPr>
      <w:r>
        <w:t xml:space="preserve">private </w:t>
      </w:r>
      <w:r w:rsidR="004D2196">
        <w:t>aktørers</w:t>
      </w:r>
      <w:r>
        <w:t xml:space="preserve"> behov for administration af / overblik over fast ejendomme.</w:t>
      </w:r>
    </w:p>
    <w:p w:rsidR="00FE5957" w:rsidRDefault="00FE5957" w:rsidP="00C17A9E">
      <w:pPr>
        <w:pStyle w:val="Listeafsnit"/>
        <w:numPr>
          <w:ilvl w:val="0"/>
          <w:numId w:val="8"/>
        </w:numPr>
      </w:pPr>
      <w:r>
        <w:t xml:space="preserve">private </w:t>
      </w:r>
      <w:r w:rsidR="004D2196">
        <w:t xml:space="preserve">aktørers </w:t>
      </w:r>
      <w:r>
        <w:t>udvikling af kommercielle løsninger.</w:t>
      </w:r>
    </w:p>
    <w:p w:rsidR="00742118" w:rsidRDefault="00742118" w:rsidP="00742118"/>
    <w:p w:rsidR="00166D51" w:rsidRDefault="00742118" w:rsidP="00742118">
      <w:r>
        <w:t xml:space="preserve">Ovenstående formål vil blive opnået ved </w:t>
      </w:r>
      <w:r w:rsidR="00166D51">
        <w:t>bl.a.:</w:t>
      </w:r>
    </w:p>
    <w:p w:rsidR="00166D51" w:rsidRDefault="00166D51" w:rsidP="00166D51">
      <w:pPr>
        <w:pStyle w:val="Listeafsnit"/>
        <w:numPr>
          <w:ilvl w:val="0"/>
          <w:numId w:val="8"/>
        </w:numPr>
      </w:pPr>
      <w:r>
        <w:t>at sikre en tidlig udstilling af matrikulære forandringer</w:t>
      </w:r>
    </w:p>
    <w:p w:rsidR="00166D51" w:rsidRDefault="00166D51" w:rsidP="00742118">
      <w:pPr>
        <w:pStyle w:val="Listeafsnit"/>
        <w:numPr>
          <w:ilvl w:val="0"/>
          <w:numId w:val="8"/>
        </w:numPr>
      </w:pPr>
      <w:r>
        <w:t>at sikre en entydig og persistent identifikation af matrikulære elementer (forretningsobjekter).</w:t>
      </w:r>
    </w:p>
    <w:p w:rsidR="00FE5957" w:rsidRDefault="004D2196" w:rsidP="00FE5957">
      <w:pPr>
        <w:pStyle w:val="Overskrift1"/>
      </w:pPr>
      <w:bookmarkStart w:id="2" w:name="_Toc507578172"/>
      <w:r>
        <w:t>Matrikulær sag</w:t>
      </w:r>
      <w:bookmarkEnd w:id="2"/>
    </w:p>
    <w:p w:rsidR="005404E1" w:rsidRDefault="005404E1" w:rsidP="00FE5957">
      <w:r>
        <w:t xml:space="preserve">”Matrikulær sag” defineres </w:t>
      </w:r>
      <w:r w:rsidR="005D4967">
        <w:t xml:space="preserve">ifølge udstillingsmodellen </w:t>
      </w:r>
      <w:r>
        <w:t>som: ”</w:t>
      </w:r>
      <w:r w:rsidRPr="005404E1">
        <w:t>Helheden af de faktorer og omstændigheder der knytter</w:t>
      </w:r>
      <w:r>
        <w:t xml:space="preserve"> sig til en matrikulær hændelse”.</w:t>
      </w:r>
    </w:p>
    <w:p w:rsidR="005404E1" w:rsidRDefault="005404E1" w:rsidP="00FE5957"/>
    <w:p w:rsidR="00FE5957" w:rsidRDefault="00FE5957" w:rsidP="00FE5957">
      <w:r>
        <w:t xml:space="preserve">Alle ændringer der foretages i Matriklen sker via en </w:t>
      </w:r>
      <w:r w:rsidR="00145D48">
        <w:t xml:space="preserve">matrikulær </w:t>
      </w:r>
      <w:r>
        <w:t>sag. Det registreres for hver enkelt ændring</w:t>
      </w:r>
      <w:r w:rsidR="00145D48">
        <w:t xml:space="preserve"> på et objekt</w:t>
      </w:r>
      <w:r>
        <w:t xml:space="preserve"> hvilken </w:t>
      </w:r>
      <w:r w:rsidR="00145D48">
        <w:t xml:space="preserve">matrikulær </w:t>
      </w:r>
      <w:r>
        <w:t xml:space="preserve">sag, der har forårsaget ændringen. </w:t>
      </w:r>
      <w:r w:rsidR="00145D48">
        <w:t>På denne måde kan alle objekter, der indgår i en bestemt matrikulær sag, kædes sammen.</w:t>
      </w:r>
    </w:p>
    <w:p w:rsidR="00BE7E7E" w:rsidRDefault="00BE7E7E" w:rsidP="00FE5957"/>
    <w:p w:rsidR="00BE7E7E" w:rsidRDefault="00BE7E7E" w:rsidP="00FE5957">
      <w:r>
        <w:t>De aktører, der udarbejder matrikulære sager vil oftest være praktiserende landinspektører, men kan i sager, der er af en type, der ikke kræver underskrift af en beskikket landinspektør</w:t>
      </w:r>
      <w:r w:rsidR="005404E1">
        <w:t>,</w:t>
      </w:r>
      <w:r w:rsidRPr="00BE7E7E">
        <w:t xml:space="preserve"> </w:t>
      </w:r>
      <w:r>
        <w:t>også være andre parter, fx en advokat. Som en fællesbetegnelse for den praktiserende landinspektør, dennes medarbejdere samt øvrige parter, anvendes begrebet ’Indberetter’.</w:t>
      </w:r>
    </w:p>
    <w:p w:rsidR="00145D48" w:rsidRDefault="00145D48" w:rsidP="00FE5957"/>
    <w:p w:rsidR="004D2196" w:rsidRDefault="004D2196" w:rsidP="004D2196">
      <w:pPr>
        <w:pStyle w:val="Overskrift2"/>
      </w:pPr>
      <w:bookmarkStart w:id="3" w:name="_Toc507578173"/>
      <w:r>
        <w:lastRenderedPageBreak/>
        <w:t>Livscyklus for Matrikulær sag</w:t>
      </w:r>
      <w:bookmarkEnd w:id="3"/>
    </w:p>
    <w:p w:rsidR="00F310B3" w:rsidRDefault="00F310B3" w:rsidP="005F03B7">
      <w:r>
        <w:t xml:space="preserve">Livscyklussen for matrikulære sager på Datafordeleren ses af </w:t>
      </w:r>
      <w:r>
        <w:fldChar w:fldCharType="begin"/>
      </w:r>
      <w:r>
        <w:instrText xml:space="preserve"> REF _Ref507577448 \h </w:instrText>
      </w:r>
      <w:r>
        <w:fldChar w:fldCharType="separate"/>
      </w:r>
      <w:r w:rsidRPr="004617BC">
        <w:rPr>
          <w:b/>
          <w:sz w:val="18"/>
          <w:szCs w:val="18"/>
        </w:rPr>
        <w:t xml:space="preserve">Figur </w:t>
      </w:r>
      <w:r>
        <w:rPr>
          <w:b/>
          <w:noProof/>
          <w:sz w:val="18"/>
          <w:szCs w:val="18"/>
        </w:rPr>
        <w:t>1</w:t>
      </w:r>
      <w:r>
        <w:fldChar w:fldCharType="end"/>
      </w:r>
      <w:r>
        <w:t>. Det bemærkes, at der internt i Matriklens klienter er flere sagsstatusser, der anvendes til styring af den interne sagsbehandling hos Geodatastyrelsen.</w:t>
      </w:r>
    </w:p>
    <w:p w:rsidR="00F310B3" w:rsidRPr="00F310B3" w:rsidRDefault="00F310B3" w:rsidP="005F03B7"/>
    <w:tbl>
      <w:tblPr>
        <w:tblStyle w:val="Tabel-Gitter"/>
        <w:tblW w:w="0" w:type="auto"/>
        <w:tblLook w:val="04A0" w:firstRow="1" w:lastRow="0" w:firstColumn="1" w:lastColumn="0" w:noHBand="0" w:noVBand="1"/>
      </w:tblPr>
      <w:tblGrid>
        <w:gridCol w:w="9854"/>
      </w:tblGrid>
      <w:tr w:rsidR="004617BC" w:rsidTr="004D3E4C">
        <w:tc>
          <w:tcPr>
            <w:tcW w:w="9778" w:type="dxa"/>
          </w:tcPr>
          <w:p w:rsidR="004617BC" w:rsidRDefault="004617BC" w:rsidP="004D3E4C">
            <w:pPr>
              <w:keepNext/>
            </w:pPr>
            <w:r>
              <w:rPr>
                <w:noProof/>
                <w:lang w:eastAsia="da-DK"/>
              </w:rPr>
              <w:drawing>
                <wp:inline distT="0" distB="0" distL="0" distR="0" wp14:anchorId="1DC7EFC4" wp14:editId="1A45EDC6">
                  <wp:extent cx="6120130" cy="3359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g Livscyklus.emf"/>
                          <pic:cNvPicPr/>
                        </pic:nvPicPr>
                        <pic:blipFill>
                          <a:blip r:embed="rId12">
                            <a:extLst>
                              <a:ext uri="{28A0092B-C50C-407E-A947-70E740481C1C}">
                                <a14:useLocalDpi xmlns:a14="http://schemas.microsoft.com/office/drawing/2010/main" val="0"/>
                              </a:ext>
                            </a:extLst>
                          </a:blip>
                          <a:stretch>
                            <a:fillRect/>
                          </a:stretch>
                        </pic:blipFill>
                        <pic:spPr>
                          <a:xfrm>
                            <a:off x="0" y="0"/>
                            <a:ext cx="6120130" cy="3359150"/>
                          </a:xfrm>
                          <a:prstGeom prst="rect">
                            <a:avLst/>
                          </a:prstGeom>
                        </pic:spPr>
                      </pic:pic>
                    </a:graphicData>
                  </a:graphic>
                </wp:inline>
              </w:drawing>
            </w:r>
          </w:p>
          <w:p w:rsidR="004617BC" w:rsidRDefault="004617BC" w:rsidP="004D3E4C">
            <w:pPr>
              <w:pStyle w:val="Billedtekst"/>
            </w:pPr>
          </w:p>
        </w:tc>
      </w:tr>
      <w:tr w:rsidR="004617BC" w:rsidTr="004D3E4C">
        <w:tc>
          <w:tcPr>
            <w:tcW w:w="9778" w:type="dxa"/>
          </w:tcPr>
          <w:p w:rsidR="004617BC" w:rsidRDefault="004617BC" w:rsidP="004D3E4C">
            <w:bookmarkStart w:id="4" w:name="_Ref507577448"/>
            <w:r w:rsidRPr="004617BC">
              <w:rPr>
                <w:b/>
                <w:sz w:val="18"/>
                <w:szCs w:val="18"/>
              </w:rPr>
              <w:t xml:space="preserve">Figur </w:t>
            </w:r>
            <w:r w:rsidRPr="004617BC">
              <w:rPr>
                <w:b/>
                <w:sz w:val="18"/>
                <w:szCs w:val="18"/>
              </w:rPr>
              <w:fldChar w:fldCharType="begin"/>
            </w:r>
            <w:r w:rsidRPr="004617BC">
              <w:rPr>
                <w:b/>
                <w:sz w:val="18"/>
                <w:szCs w:val="18"/>
              </w:rPr>
              <w:instrText xml:space="preserve"> SEQ Figur \* ARABIC </w:instrText>
            </w:r>
            <w:r w:rsidRPr="004617BC">
              <w:rPr>
                <w:b/>
                <w:sz w:val="18"/>
                <w:szCs w:val="18"/>
              </w:rPr>
              <w:fldChar w:fldCharType="separate"/>
            </w:r>
            <w:r w:rsidR="00603914">
              <w:rPr>
                <w:b/>
                <w:noProof/>
                <w:sz w:val="18"/>
                <w:szCs w:val="18"/>
              </w:rPr>
              <w:t>1</w:t>
            </w:r>
            <w:r w:rsidRPr="004617BC">
              <w:rPr>
                <w:b/>
                <w:sz w:val="18"/>
                <w:szCs w:val="18"/>
              </w:rPr>
              <w:fldChar w:fldCharType="end"/>
            </w:r>
            <w:bookmarkEnd w:id="4"/>
            <w:r w:rsidRPr="004617BC">
              <w:rPr>
                <w:b/>
                <w:sz w:val="18"/>
                <w:szCs w:val="18"/>
              </w:rPr>
              <w:t>:</w:t>
            </w:r>
            <w:r>
              <w:t xml:space="preserve"> </w:t>
            </w:r>
            <w:r w:rsidRPr="004617BC">
              <w:rPr>
                <w:sz w:val="18"/>
                <w:szCs w:val="18"/>
              </w:rPr>
              <w:t>Livscyklus for Matrikulær sag på Datafordeleren.</w:t>
            </w:r>
          </w:p>
        </w:tc>
      </w:tr>
    </w:tbl>
    <w:p w:rsidR="004D2196" w:rsidRDefault="004D2196" w:rsidP="00FE5957"/>
    <w:p w:rsidR="00145D48" w:rsidRDefault="004D2196" w:rsidP="004D2196">
      <w:pPr>
        <w:pStyle w:val="Overskrift1"/>
      </w:pPr>
      <w:bookmarkStart w:id="5" w:name="_Toc507578174"/>
      <w:r>
        <w:t>Matrikulære elementer</w:t>
      </w:r>
      <w:bookmarkEnd w:id="5"/>
    </w:p>
    <w:p w:rsidR="005D4967" w:rsidRDefault="005D4967" w:rsidP="00FE5957">
      <w:r>
        <w:t>Matrikulært element defineres ifølge udstillingsmodellen som: ”</w:t>
      </w:r>
      <w:r w:rsidRPr="005D4967">
        <w:t>Abstrakt objekt der indeholder de fælles egenskaber for de matrikulære objekttyper.</w:t>
      </w:r>
      <w:r>
        <w:t>”</w:t>
      </w:r>
    </w:p>
    <w:p w:rsidR="005D4967" w:rsidRDefault="005D4967" w:rsidP="00FE5957">
      <w:r>
        <w:t>”Matrikulært element” findes ikke som objekttype i de fysiske datamodeller, idet de fælles egenskaber her er fordelt ud på de subtyper, som Matrikulært element omfatter.</w:t>
      </w:r>
    </w:p>
    <w:p w:rsidR="004D2196" w:rsidRDefault="005D4967" w:rsidP="00FE5957">
      <w:r>
        <w:t xml:space="preserve">”Matrikulært element” anvendes i indeværende dokument som en fællesbetegnelse for forretningsobjekter i Matriklens udstillingsmodel (bortset fra Matrikulær sag). </w:t>
      </w:r>
    </w:p>
    <w:p w:rsidR="004D2196" w:rsidRDefault="00603914" w:rsidP="004D2196">
      <w:pPr>
        <w:pStyle w:val="Overskrift2"/>
      </w:pPr>
      <w:bookmarkStart w:id="6" w:name="_Ref470688164"/>
      <w:bookmarkStart w:id="7" w:name="_Toc507578175"/>
      <w:r>
        <w:t>Overordnet l</w:t>
      </w:r>
      <w:r w:rsidR="004D2196">
        <w:t>ivscyklus for matrikulære elementer</w:t>
      </w:r>
      <w:bookmarkEnd w:id="6"/>
      <w:bookmarkEnd w:id="7"/>
    </w:p>
    <w:p w:rsidR="00046947" w:rsidRDefault="00046947" w:rsidP="00046947">
      <w:r>
        <w:t>Matrikulære elementer kan kun ændres ved en matrikulær sag. Oftest vil et matrikulært element blive ændret i flere sager, inden det udgår og bliver historisk.</w:t>
      </w:r>
      <w:r w:rsidR="001E6881">
        <w:t xml:space="preserve"> Se</w:t>
      </w:r>
      <w:r w:rsidR="00F310B3">
        <w:t xml:space="preserve"> </w:t>
      </w:r>
      <w:r w:rsidR="00F310B3">
        <w:fldChar w:fldCharType="begin"/>
      </w:r>
      <w:r w:rsidR="00F310B3">
        <w:instrText xml:space="preserve"> REF _Ref470764509 \h </w:instrText>
      </w:r>
      <w:r w:rsidR="00F310B3">
        <w:fldChar w:fldCharType="separate"/>
      </w:r>
      <w:r w:rsidR="00F310B3" w:rsidRPr="00396B24">
        <w:rPr>
          <w:b/>
          <w:sz w:val="18"/>
          <w:szCs w:val="18"/>
        </w:rPr>
        <w:t xml:space="preserve">Figur </w:t>
      </w:r>
      <w:r w:rsidR="00F310B3">
        <w:rPr>
          <w:b/>
          <w:noProof/>
          <w:sz w:val="18"/>
          <w:szCs w:val="18"/>
        </w:rPr>
        <w:t>2</w:t>
      </w:r>
      <w:r w:rsidR="00F310B3">
        <w:fldChar w:fldCharType="end"/>
      </w:r>
      <w:r w:rsidR="001E6881">
        <w:t>.</w:t>
      </w:r>
    </w:p>
    <w:p w:rsidR="001E6881" w:rsidRDefault="001E6881" w:rsidP="00046947"/>
    <w:tbl>
      <w:tblPr>
        <w:tblStyle w:val="Tabel-Gitter"/>
        <w:tblW w:w="1049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1"/>
      </w:tblGrid>
      <w:tr w:rsidR="00B262FB" w:rsidTr="001E6881">
        <w:tc>
          <w:tcPr>
            <w:tcW w:w="10491" w:type="dxa"/>
          </w:tcPr>
          <w:p w:rsidR="00B262FB" w:rsidRDefault="00B262FB" w:rsidP="00B262FB">
            <w:pPr>
              <w:keepNext/>
            </w:pPr>
            <w:r>
              <w:object w:dxaOrig="14563" w:dyaOrig="1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2pt;height:51.6pt" o:ole="">
                  <v:imagedata r:id="rId13" o:title=""/>
                </v:shape>
                <o:OLEObject Type="Embed" ProgID="Visio.Drawing.11" ShapeID="_x0000_i1025" DrawAspect="Content" ObjectID="_1583738891" r:id="rId14"/>
              </w:object>
            </w:r>
          </w:p>
        </w:tc>
      </w:tr>
      <w:tr w:rsidR="00B262FB" w:rsidTr="001E6881">
        <w:tc>
          <w:tcPr>
            <w:tcW w:w="10491" w:type="dxa"/>
          </w:tcPr>
          <w:p w:rsidR="00B262FB" w:rsidRPr="00396B24" w:rsidRDefault="00B262FB" w:rsidP="001E6881">
            <w:pPr>
              <w:ind w:left="318"/>
              <w:rPr>
                <w:sz w:val="18"/>
                <w:szCs w:val="18"/>
              </w:rPr>
            </w:pPr>
            <w:bookmarkStart w:id="8" w:name="_Ref470764509"/>
            <w:r w:rsidRPr="00396B24">
              <w:rPr>
                <w:b/>
                <w:sz w:val="18"/>
                <w:szCs w:val="18"/>
              </w:rPr>
              <w:t xml:space="preserve">Figur </w:t>
            </w:r>
            <w:r w:rsidRPr="00396B24">
              <w:rPr>
                <w:b/>
                <w:sz w:val="18"/>
                <w:szCs w:val="18"/>
              </w:rPr>
              <w:fldChar w:fldCharType="begin"/>
            </w:r>
            <w:r w:rsidRPr="00396B24">
              <w:rPr>
                <w:b/>
                <w:sz w:val="18"/>
                <w:szCs w:val="18"/>
              </w:rPr>
              <w:instrText xml:space="preserve"> SEQ Figur \* ARABIC </w:instrText>
            </w:r>
            <w:r w:rsidRPr="00396B24">
              <w:rPr>
                <w:b/>
                <w:sz w:val="18"/>
                <w:szCs w:val="18"/>
              </w:rPr>
              <w:fldChar w:fldCharType="separate"/>
            </w:r>
            <w:r w:rsidR="00603914">
              <w:rPr>
                <w:b/>
                <w:noProof/>
                <w:sz w:val="18"/>
                <w:szCs w:val="18"/>
              </w:rPr>
              <w:t>2</w:t>
            </w:r>
            <w:r w:rsidRPr="00396B24">
              <w:rPr>
                <w:b/>
                <w:sz w:val="18"/>
                <w:szCs w:val="18"/>
              </w:rPr>
              <w:fldChar w:fldCharType="end"/>
            </w:r>
            <w:bookmarkEnd w:id="8"/>
            <w:r w:rsidRPr="00396B24">
              <w:rPr>
                <w:b/>
                <w:sz w:val="18"/>
                <w:szCs w:val="18"/>
              </w:rPr>
              <w:t>:</w:t>
            </w:r>
            <w:r w:rsidRPr="00396B24">
              <w:rPr>
                <w:sz w:val="18"/>
                <w:szCs w:val="18"/>
              </w:rPr>
              <w:t xml:space="preserve"> </w:t>
            </w:r>
            <w:r w:rsidR="001E6881" w:rsidRPr="00396B24">
              <w:rPr>
                <w:sz w:val="18"/>
                <w:szCs w:val="18"/>
              </w:rPr>
              <w:t>Et matrikulært element nyoprettes i én sag, og ændres derefter oftest ved flere sager, inden det udgår i den sidste sag.</w:t>
            </w:r>
          </w:p>
        </w:tc>
      </w:tr>
    </w:tbl>
    <w:p w:rsidR="00B262FB" w:rsidRDefault="00B262FB" w:rsidP="00046947"/>
    <w:p w:rsidR="00FB0385" w:rsidRDefault="00FB0385" w:rsidP="00046947">
      <w:r>
        <w:t>Den overordnede livscyklus for matrikulære elementer er beskrevet i løsningsarkitekturen for MU, men nedenstående figur er mere korrekt og erstatter således figuren i løsningsarkitekturen.</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4"/>
      </w:tblGrid>
      <w:tr w:rsidR="00FB0385" w:rsidTr="00A01D3F">
        <w:tc>
          <w:tcPr>
            <w:tcW w:w="9474" w:type="dxa"/>
          </w:tcPr>
          <w:p w:rsidR="00FB0385" w:rsidRDefault="00A8207A" w:rsidP="00A01D3F">
            <w:pPr>
              <w:keepNext/>
            </w:pPr>
            <w:r>
              <w:object w:dxaOrig="8854" w:dyaOrig="3671">
                <v:shape id="_x0000_i1026" type="#_x0000_t75" style="width:442.8pt;height:183.6pt" o:ole="">
                  <v:imagedata r:id="rId15" o:title=""/>
                </v:shape>
                <o:OLEObject Type="Embed" ProgID="Visio.Drawing.11" ShapeID="_x0000_i1026" DrawAspect="Content" ObjectID="_1583738892" r:id="rId16"/>
              </w:object>
            </w:r>
          </w:p>
        </w:tc>
      </w:tr>
      <w:tr w:rsidR="00FB0385" w:rsidTr="00A01D3F">
        <w:tc>
          <w:tcPr>
            <w:tcW w:w="9474" w:type="dxa"/>
          </w:tcPr>
          <w:p w:rsidR="00FB0385" w:rsidRPr="006163F4" w:rsidRDefault="00FB0385" w:rsidP="00F310B3">
            <w:pPr>
              <w:rPr>
                <w:sz w:val="18"/>
                <w:szCs w:val="18"/>
              </w:rPr>
            </w:pPr>
            <w:r w:rsidRPr="00396B24">
              <w:rPr>
                <w:b/>
                <w:sz w:val="18"/>
                <w:szCs w:val="18"/>
              </w:rPr>
              <w:t xml:space="preserve">Figur </w:t>
            </w:r>
            <w:r w:rsidRPr="00396B24">
              <w:rPr>
                <w:b/>
                <w:sz w:val="18"/>
                <w:szCs w:val="18"/>
              </w:rPr>
              <w:fldChar w:fldCharType="begin"/>
            </w:r>
            <w:r w:rsidRPr="00396B24">
              <w:rPr>
                <w:b/>
                <w:sz w:val="18"/>
                <w:szCs w:val="18"/>
              </w:rPr>
              <w:instrText xml:space="preserve"> SEQ Figur \* ARABIC </w:instrText>
            </w:r>
            <w:r w:rsidRPr="00396B24">
              <w:rPr>
                <w:b/>
                <w:sz w:val="18"/>
                <w:szCs w:val="18"/>
              </w:rPr>
              <w:fldChar w:fldCharType="separate"/>
            </w:r>
            <w:r w:rsidR="00603914">
              <w:rPr>
                <w:b/>
                <w:noProof/>
                <w:sz w:val="18"/>
                <w:szCs w:val="18"/>
              </w:rPr>
              <w:t>3</w:t>
            </w:r>
            <w:r w:rsidRPr="00396B24">
              <w:rPr>
                <w:b/>
                <w:sz w:val="18"/>
                <w:szCs w:val="18"/>
              </w:rPr>
              <w:fldChar w:fldCharType="end"/>
            </w:r>
            <w:r w:rsidRPr="00396B24">
              <w:rPr>
                <w:b/>
                <w:sz w:val="18"/>
                <w:szCs w:val="18"/>
              </w:rPr>
              <w:t>:</w:t>
            </w:r>
            <w:r w:rsidRPr="00396B24">
              <w:rPr>
                <w:sz w:val="18"/>
                <w:szCs w:val="18"/>
              </w:rPr>
              <w:t xml:space="preserve"> Figuren viser livsc</w:t>
            </w:r>
            <w:r>
              <w:rPr>
                <w:sz w:val="18"/>
                <w:szCs w:val="18"/>
              </w:rPr>
              <w:t>yklus for matrikulære elementer</w:t>
            </w:r>
            <w:r w:rsidRPr="00396B24">
              <w:rPr>
                <w:sz w:val="18"/>
                <w:szCs w:val="18"/>
              </w:rPr>
              <w:t xml:space="preserve">. </w:t>
            </w:r>
            <w:r>
              <w:rPr>
                <w:sz w:val="18"/>
                <w:szCs w:val="18"/>
              </w:rPr>
              <w:t>Et element fødes normalt som foreløbigt</w:t>
            </w:r>
            <w:r w:rsidR="00E85F94">
              <w:rPr>
                <w:sz w:val="18"/>
                <w:szCs w:val="18"/>
              </w:rPr>
              <w:t xml:space="preserve"> (A)</w:t>
            </w:r>
            <w:r>
              <w:rPr>
                <w:sz w:val="18"/>
                <w:szCs w:val="18"/>
              </w:rPr>
              <w:t>, men i visse tilfælde kan elementer gå direkte til at være gældende</w:t>
            </w:r>
            <w:r w:rsidR="00E85F94">
              <w:rPr>
                <w:sz w:val="18"/>
                <w:szCs w:val="18"/>
              </w:rPr>
              <w:t xml:space="preserve"> (D)</w:t>
            </w:r>
            <w:r>
              <w:rPr>
                <w:sz w:val="18"/>
                <w:szCs w:val="18"/>
              </w:rPr>
              <w:t>. Mens elementet er foreløbigt, kan der ske ændringer af sagen, som medfører at objektet ændres</w:t>
            </w:r>
            <w:r w:rsidR="00E85F94">
              <w:rPr>
                <w:sz w:val="18"/>
                <w:szCs w:val="18"/>
              </w:rPr>
              <w:t>(B)</w:t>
            </w:r>
            <w:r>
              <w:rPr>
                <w:sz w:val="18"/>
                <w:szCs w:val="18"/>
              </w:rPr>
              <w:t xml:space="preserve"> eller ikke gennemføres</w:t>
            </w:r>
            <w:r w:rsidR="00E85F94">
              <w:rPr>
                <w:sz w:val="18"/>
                <w:szCs w:val="18"/>
              </w:rPr>
              <w:t>(C)</w:t>
            </w:r>
            <w:r>
              <w:rPr>
                <w:sz w:val="18"/>
                <w:szCs w:val="18"/>
              </w:rPr>
              <w:t>. Når en sag afsluttes, vil foreløbige elementer skifte status til ”Gældende”</w:t>
            </w:r>
            <w:r w:rsidR="00E85F94">
              <w:rPr>
                <w:sz w:val="18"/>
                <w:szCs w:val="18"/>
              </w:rPr>
              <w:t xml:space="preserve"> (E)</w:t>
            </w:r>
            <w:r>
              <w:rPr>
                <w:sz w:val="18"/>
                <w:szCs w:val="18"/>
              </w:rPr>
              <w:t>. Efterfølgende kan elementet blive ændret i andre sager</w:t>
            </w:r>
            <w:r w:rsidR="00E85F94">
              <w:rPr>
                <w:sz w:val="18"/>
                <w:szCs w:val="18"/>
              </w:rPr>
              <w:t xml:space="preserve"> (G,H,J)</w:t>
            </w:r>
            <w:r>
              <w:rPr>
                <w:sz w:val="18"/>
                <w:szCs w:val="18"/>
              </w:rPr>
              <w:t>. De stiplede pile</w:t>
            </w:r>
            <w:r w:rsidR="00E85F94">
              <w:rPr>
                <w:sz w:val="18"/>
                <w:szCs w:val="18"/>
              </w:rPr>
              <w:t xml:space="preserve"> (G,J)</w:t>
            </w:r>
            <w:r>
              <w:rPr>
                <w:sz w:val="18"/>
                <w:szCs w:val="18"/>
              </w:rPr>
              <w:t xml:space="preserve"> viser her, at der vil blive oprettet foreløbige versioner af elementet, som eksisterer samtidig med den gældende version, mens sagen verserer. </w:t>
            </w:r>
            <w:r w:rsidR="00E85F94">
              <w:rPr>
                <w:sz w:val="18"/>
                <w:szCs w:val="18"/>
              </w:rPr>
              <w:t xml:space="preserve"> Endelig vil der på et tidspunkt blive afsluttet en sag, der gør elementet historisk (K). H</w:t>
            </w:r>
            <w:r w:rsidR="00A8207A">
              <w:rPr>
                <w:sz w:val="18"/>
                <w:szCs w:val="18"/>
              </w:rPr>
              <w:t xml:space="preserve">vis der sker ændringer af de foreløbige versioner, der repræsenterer ændring eller sletning af elementet, kan det medføre, at ændringen/sletningen ikke gennemføres, hvilket vil komme til udtryk ved at versionen afregistreres (L). En nærmere gennemgang af foreløbige versioner under en sag findes under </w:t>
            </w:r>
            <w:r w:rsidR="00F310B3">
              <w:rPr>
                <w:sz w:val="18"/>
                <w:szCs w:val="18"/>
              </w:rPr>
              <w:fldChar w:fldCharType="begin"/>
            </w:r>
            <w:r w:rsidR="00F310B3">
              <w:rPr>
                <w:sz w:val="18"/>
                <w:szCs w:val="18"/>
              </w:rPr>
              <w:instrText xml:space="preserve"> REF _Ref470764735 \h </w:instrText>
            </w:r>
            <w:r w:rsidR="00F310B3">
              <w:rPr>
                <w:sz w:val="18"/>
                <w:szCs w:val="18"/>
              </w:rPr>
            </w:r>
            <w:r w:rsidR="00F310B3">
              <w:rPr>
                <w:sz w:val="18"/>
                <w:szCs w:val="18"/>
              </w:rPr>
              <w:fldChar w:fldCharType="separate"/>
            </w:r>
            <w:r w:rsidR="00F310B3" w:rsidRPr="00396B24">
              <w:rPr>
                <w:b/>
                <w:sz w:val="18"/>
                <w:szCs w:val="18"/>
              </w:rPr>
              <w:t xml:space="preserve">Figur </w:t>
            </w:r>
            <w:r w:rsidR="00F310B3">
              <w:rPr>
                <w:b/>
                <w:noProof/>
                <w:sz w:val="18"/>
                <w:szCs w:val="18"/>
              </w:rPr>
              <w:t>4</w:t>
            </w:r>
            <w:r w:rsidR="00F310B3">
              <w:rPr>
                <w:sz w:val="18"/>
                <w:szCs w:val="18"/>
              </w:rPr>
              <w:fldChar w:fldCharType="end"/>
            </w:r>
            <w:r w:rsidR="00A8207A">
              <w:rPr>
                <w:sz w:val="18"/>
                <w:szCs w:val="18"/>
              </w:rPr>
              <w:t>med tilhørende beskrivelse.</w:t>
            </w:r>
          </w:p>
        </w:tc>
      </w:tr>
    </w:tbl>
    <w:p w:rsidR="00FB0385" w:rsidRDefault="00FB0385" w:rsidP="00046947"/>
    <w:p w:rsidR="00FB0385" w:rsidRDefault="00603914" w:rsidP="005F03B7">
      <w:pPr>
        <w:pStyle w:val="Overskrift2"/>
      </w:pPr>
      <w:bookmarkStart w:id="9" w:name="_Toc507578176"/>
      <w:r>
        <w:t>Livscyklus med versionering</w:t>
      </w:r>
      <w:bookmarkEnd w:id="9"/>
    </w:p>
    <w:p w:rsidR="001E6881" w:rsidRDefault="001E6881" w:rsidP="00046947">
      <w:r>
        <w:t>For hver sag vil det matrikulære element kunne udsættes for den cyklus, der vises på</w:t>
      </w:r>
      <w:r w:rsidR="00F310B3">
        <w:t xml:space="preserve"> </w:t>
      </w:r>
      <w:r w:rsidR="00F310B3">
        <w:fldChar w:fldCharType="begin"/>
      </w:r>
      <w:r w:rsidR="00F310B3">
        <w:instrText xml:space="preserve"> REF _Ref470764735 \h </w:instrText>
      </w:r>
      <w:r w:rsidR="00F310B3">
        <w:fldChar w:fldCharType="separate"/>
      </w:r>
      <w:r w:rsidR="00F310B3" w:rsidRPr="00396B24">
        <w:rPr>
          <w:b/>
          <w:sz w:val="18"/>
          <w:szCs w:val="18"/>
        </w:rPr>
        <w:t xml:space="preserve">Figur </w:t>
      </w:r>
      <w:r w:rsidR="00F310B3">
        <w:rPr>
          <w:b/>
          <w:noProof/>
          <w:sz w:val="18"/>
          <w:szCs w:val="18"/>
        </w:rPr>
        <w:t>4</w:t>
      </w:r>
      <w:r w:rsidR="00F310B3">
        <w:fldChar w:fldCharType="end"/>
      </w:r>
      <w:r>
        <w:t>.</w:t>
      </w:r>
    </w:p>
    <w:p w:rsidR="00046947" w:rsidRDefault="00046947" w:rsidP="00046947"/>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
        <w:gridCol w:w="7999"/>
        <w:gridCol w:w="180"/>
      </w:tblGrid>
      <w:tr w:rsidR="001E6881" w:rsidTr="00396B24">
        <w:tc>
          <w:tcPr>
            <w:tcW w:w="9474" w:type="dxa"/>
            <w:gridSpan w:val="3"/>
          </w:tcPr>
          <w:p w:rsidR="001E6881" w:rsidRDefault="001E6881" w:rsidP="001E6881">
            <w:pPr>
              <w:keepNext/>
            </w:pPr>
            <w:r>
              <w:object w:dxaOrig="9257" w:dyaOrig="4394">
                <v:shape id="_x0000_i1027" type="#_x0000_t75" style="width:462.6pt;height:219.6pt" o:ole="">
                  <v:imagedata r:id="rId17" o:title=""/>
                </v:shape>
                <o:OLEObject Type="Embed" ProgID="Visio.Drawing.11" ShapeID="_x0000_i1027" DrawAspect="Content" ObjectID="_1583738893" r:id="rId18"/>
              </w:object>
            </w:r>
          </w:p>
        </w:tc>
      </w:tr>
      <w:tr w:rsidR="001E6881" w:rsidTr="00396B24">
        <w:tc>
          <w:tcPr>
            <w:tcW w:w="9474" w:type="dxa"/>
            <w:gridSpan w:val="3"/>
          </w:tcPr>
          <w:p w:rsidR="001E6881" w:rsidRPr="00396B24" w:rsidRDefault="001E6881" w:rsidP="001E6881">
            <w:pPr>
              <w:rPr>
                <w:sz w:val="18"/>
                <w:szCs w:val="18"/>
              </w:rPr>
            </w:pPr>
            <w:bookmarkStart w:id="10" w:name="_Ref470764735"/>
            <w:r w:rsidRPr="00396B24">
              <w:rPr>
                <w:b/>
                <w:sz w:val="18"/>
                <w:szCs w:val="18"/>
              </w:rPr>
              <w:t xml:space="preserve">Figur </w:t>
            </w:r>
            <w:r w:rsidRPr="00396B24">
              <w:rPr>
                <w:b/>
                <w:sz w:val="18"/>
                <w:szCs w:val="18"/>
              </w:rPr>
              <w:fldChar w:fldCharType="begin"/>
            </w:r>
            <w:r w:rsidRPr="00396B24">
              <w:rPr>
                <w:b/>
                <w:sz w:val="18"/>
                <w:szCs w:val="18"/>
              </w:rPr>
              <w:instrText xml:space="preserve"> SEQ Figur \* ARABIC </w:instrText>
            </w:r>
            <w:r w:rsidRPr="00396B24">
              <w:rPr>
                <w:b/>
                <w:sz w:val="18"/>
                <w:szCs w:val="18"/>
              </w:rPr>
              <w:fldChar w:fldCharType="separate"/>
            </w:r>
            <w:r w:rsidR="00603914">
              <w:rPr>
                <w:b/>
                <w:noProof/>
                <w:sz w:val="18"/>
                <w:szCs w:val="18"/>
              </w:rPr>
              <w:t>4</w:t>
            </w:r>
            <w:r w:rsidRPr="00396B24">
              <w:rPr>
                <w:b/>
                <w:sz w:val="18"/>
                <w:szCs w:val="18"/>
              </w:rPr>
              <w:fldChar w:fldCharType="end"/>
            </w:r>
            <w:bookmarkEnd w:id="10"/>
            <w:r w:rsidRPr="00396B24">
              <w:rPr>
                <w:b/>
                <w:sz w:val="18"/>
                <w:szCs w:val="18"/>
              </w:rPr>
              <w:t>:</w:t>
            </w:r>
            <w:r w:rsidRPr="00396B24">
              <w:rPr>
                <w:sz w:val="18"/>
                <w:szCs w:val="18"/>
              </w:rPr>
              <w:t xml:space="preserve"> Figuren viser livscyklus for matrikulære elementer, herunder disses versionering i løbet af en sag. Figuren er en udbyggelse af tilsvarende figur fra MU løsningsarkitektur, bilag B – Informationsmodel, som ikke viser versioneringen samt de enkelte handlinger. De enkelte pile forklares nærmere i tabellen nedenfor.</w:t>
            </w:r>
          </w:p>
          <w:p w:rsidR="001E6881" w:rsidRDefault="001E6881" w:rsidP="00046947"/>
        </w:tc>
      </w:tr>
      <w:tr w:rsidR="00A642DD" w:rsidRPr="00F928F4" w:rsidTr="00224F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1295" w:type="dxa"/>
            <w:shd w:val="pct15" w:color="auto" w:fill="auto"/>
            <w:vAlign w:val="center"/>
          </w:tcPr>
          <w:p w:rsidR="00A642DD" w:rsidRPr="00F928F4" w:rsidRDefault="00224F72" w:rsidP="002553CB">
            <w:pPr>
              <w:jc w:val="center"/>
              <w:rPr>
                <w:b/>
              </w:rPr>
            </w:pPr>
            <w:r>
              <w:rPr>
                <w:b/>
              </w:rPr>
              <w:t>Handling</w:t>
            </w:r>
          </w:p>
        </w:tc>
        <w:tc>
          <w:tcPr>
            <w:tcW w:w="7999" w:type="dxa"/>
            <w:shd w:val="pct15" w:color="auto" w:fill="auto"/>
          </w:tcPr>
          <w:p w:rsidR="00A642DD" w:rsidRPr="00F928F4" w:rsidRDefault="00A642DD" w:rsidP="002553CB">
            <w:pPr>
              <w:rPr>
                <w:b/>
              </w:rPr>
            </w:pPr>
            <w:r w:rsidRPr="00F928F4">
              <w:rPr>
                <w:b/>
              </w:rPr>
              <w:t>Beskrivelse</w:t>
            </w:r>
          </w:p>
        </w:tc>
      </w:tr>
      <w:tr w:rsidR="00A642DD" w:rsidTr="00224F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1295" w:type="dxa"/>
            <w:vAlign w:val="center"/>
          </w:tcPr>
          <w:p w:rsidR="00A642DD" w:rsidRDefault="00224F72" w:rsidP="002553CB">
            <w:pPr>
              <w:jc w:val="center"/>
            </w:pPr>
            <w:r>
              <w:t>Udstilling af foreløbige forandringer</w:t>
            </w:r>
          </w:p>
        </w:tc>
        <w:tc>
          <w:tcPr>
            <w:tcW w:w="7999" w:type="dxa"/>
          </w:tcPr>
          <w:p w:rsidR="00A8612B" w:rsidRDefault="00A8612B" w:rsidP="00A642DD">
            <w:r>
              <w:t>P</w:t>
            </w:r>
            <w:r w:rsidR="00224F72">
              <w:t>ilene</w:t>
            </w:r>
            <w:r w:rsidR="00140AB1">
              <w:t xml:space="preserve"> </w:t>
            </w:r>
            <w:r w:rsidR="001D78D1">
              <w:t>viser</w:t>
            </w:r>
            <w:r w:rsidR="00140AB1">
              <w:t xml:space="preserve"> </w:t>
            </w:r>
            <w:r>
              <w:t xml:space="preserve">udstilling af </w:t>
            </w:r>
            <w:r w:rsidR="001D78D1">
              <w:t>foreløbige matrikulære</w:t>
            </w:r>
            <w:r>
              <w:t xml:space="preserve"> forandringer, initieret af indberetteren. Versionerne af de matrikulære elementer afspejler den forandring som er undervejs for de matrikulære elementer.</w:t>
            </w:r>
          </w:p>
          <w:p w:rsidR="00A8612B" w:rsidRDefault="00A8612B" w:rsidP="00A642DD"/>
          <w:p w:rsidR="00140AB1" w:rsidRDefault="00A8612B" w:rsidP="00A642DD">
            <w:r>
              <w:t>’</w:t>
            </w:r>
            <w:r w:rsidR="00224F72">
              <w:t>A</w:t>
            </w:r>
            <w:r>
              <w:t xml:space="preserve">’ viser </w:t>
            </w:r>
            <w:r w:rsidR="001D78D1">
              <w:t>elementer</w:t>
            </w:r>
            <w:r w:rsidR="00140AB1">
              <w:t xml:space="preserve"> som påtænkes nyoprettet, dvs. de vil have</w:t>
            </w:r>
            <w:r w:rsidR="001D78D1">
              <w:t xml:space="preserve"> status = ’foreløbig’ og</w:t>
            </w:r>
            <w:r w:rsidR="00140AB1">
              <w:t xml:space="preserve"> paataenkthandling = ’nyoprettelse’.</w:t>
            </w:r>
            <w:r w:rsidR="00256559">
              <w:t xml:space="preserve"> </w:t>
            </w:r>
            <w:r>
              <w:t>Dette er – så at sige – elementets fødsel på Datafordeleren, hvor det tildelte ID for første gang bliver tilgængeligt for anvenderne. Dette ID vil være persistent gennem hele elementets levetid, dvs. indtil elementet får enten status ”Ikke gennemført” eller ”Historisk”.</w:t>
            </w:r>
          </w:p>
          <w:p w:rsidR="00A8612B" w:rsidRDefault="00A8612B" w:rsidP="00A642DD"/>
          <w:p w:rsidR="00A8612B" w:rsidRDefault="00A8612B" w:rsidP="00A8612B">
            <w:r>
              <w:t>’</w:t>
            </w:r>
            <w:r w:rsidR="00224F72">
              <w:t>B</w:t>
            </w:r>
            <w:r>
              <w:t>’ og ’</w:t>
            </w:r>
            <w:r w:rsidR="00224F72">
              <w:t>C</w:t>
            </w:r>
            <w:r>
              <w:t xml:space="preserve">’ viser foreløbige versioner af et eksisterende </w:t>
            </w:r>
            <w:r w:rsidRPr="00BE7E7E">
              <w:t>m</w:t>
            </w:r>
            <w:r>
              <w:t>atrikulært elem</w:t>
            </w:r>
            <w:r w:rsidRPr="00BE7E7E">
              <w:t>ent</w:t>
            </w:r>
            <w:r>
              <w:t>, som påtænkes ændret eller slettet.</w:t>
            </w:r>
          </w:p>
          <w:p w:rsidR="00140AB1" w:rsidRDefault="00A8612B" w:rsidP="00A8612B">
            <w:r>
              <w:t>’</w:t>
            </w:r>
            <w:r w:rsidR="00224F72">
              <w:t>C</w:t>
            </w:r>
            <w:r>
              <w:t>’ viser, at den eksisterende, gældende version fortsætter uændret med at eksistere samtidig med den foreløbige version.</w:t>
            </w:r>
          </w:p>
        </w:tc>
      </w:tr>
      <w:tr w:rsidR="00A642DD" w:rsidTr="00224F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1295" w:type="dxa"/>
            <w:vAlign w:val="center"/>
          </w:tcPr>
          <w:p w:rsidR="00A642DD" w:rsidRDefault="00224F72" w:rsidP="002553CB">
            <w:pPr>
              <w:jc w:val="center"/>
            </w:pPr>
            <w:r>
              <w:t>Ændring af foreløbige forandringer</w:t>
            </w:r>
          </w:p>
        </w:tc>
        <w:tc>
          <w:tcPr>
            <w:tcW w:w="7999" w:type="dxa"/>
          </w:tcPr>
          <w:p w:rsidR="001D78D1" w:rsidRDefault="00A8612B" w:rsidP="002553CB">
            <w:r>
              <w:t>Mens sagen er under udarbejdelse, kan der ske ændringer af den foreløbige version af det matrikulære element, hvilket vil medføre, at der opstår en ny version af elementet, men elementet forbliver i status ’Foreløbig’.</w:t>
            </w:r>
          </w:p>
        </w:tc>
      </w:tr>
      <w:tr w:rsidR="00A642DD" w:rsidTr="00224F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1295" w:type="dxa"/>
            <w:vAlign w:val="center"/>
          </w:tcPr>
          <w:p w:rsidR="00A642DD" w:rsidRDefault="00224F72" w:rsidP="002553CB">
            <w:pPr>
              <w:jc w:val="center"/>
            </w:pPr>
            <w:r>
              <w:t>Fortrydelse af foreløbige forandringer</w:t>
            </w:r>
          </w:p>
        </w:tc>
        <w:tc>
          <w:tcPr>
            <w:tcW w:w="7999" w:type="dxa"/>
          </w:tcPr>
          <w:p w:rsidR="00A8612B" w:rsidRPr="00BB7211" w:rsidRDefault="00224F72" w:rsidP="00A8612B">
            <w:r>
              <w:t>Disse pile</w:t>
            </w:r>
            <w:r w:rsidR="00BB7211" w:rsidRPr="00BB7211">
              <w:t xml:space="preserve"> kommer i spil, hvis </w:t>
            </w:r>
            <w:r w:rsidR="00A8612B" w:rsidRPr="00BB7211">
              <w:t>indberetteren beslutte</w:t>
            </w:r>
            <w:r w:rsidR="00BB7211" w:rsidRPr="00BB7211">
              <w:t>r</w:t>
            </w:r>
            <w:r w:rsidR="00A8612B" w:rsidRPr="00BB7211">
              <w:t xml:space="preserve"> sig for at fortryde hhv. ændring, sletning eller nyoprettelse af matrikulære elementer. Det kan enten ske ved at</w:t>
            </w:r>
            <w:r w:rsidR="00BB7211">
              <w:t xml:space="preserve"> </w:t>
            </w:r>
            <w:r w:rsidR="00BB7211" w:rsidRPr="00BB7211">
              <w:t>sagens forandringer redigeres</w:t>
            </w:r>
            <w:r w:rsidR="00BB7211">
              <w:t xml:space="preserve"> eller at</w:t>
            </w:r>
            <w:r w:rsidR="00A8612B" w:rsidRPr="00BB7211">
              <w:t xml:space="preserve"> hele sagen</w:t>
            </w:r>
            <w:r w:rsidR="00BB7211">
              <w:t xml:space="preserve"> aflyses/annulleres.</w:t>
            </w:r>
          </w:p>
          <w:p w:rsidR="007705F3" w:rsidRDefault="007705F3" w:rsidP="00A8612B"/>
          <w:p w:rsidR="00BB7211" w:rsidRDefault="00BB7211" w:rsidP="00A8612B">
            <w:r>
              <w:t>’</w:t>
            </w:r>
            <w:r w:rsidR="00224F72">
              <w:t>A</w:t>
            </w:r>
            <w:r>
              <w:t>’ viser versioner af de matrikulære elementer med paataenkthandling = ’</w:t>
            </w:r>
            <w:r w:rsidR="007705F3">
              <w:t>æ</w:t>
            </w:r>
            <w:r>
              <w:t>ndring’ eller ’</w:t>
            </w:r>
            <w:r w:rsidR="007705F3">
              <w:t>u</w:t>
            </w:r>
            <w:r>
              <w:t>dgår’. Disse afregistreres</w:t>
            </w:r>
            <w:r w:rsidR="007705F3">
              <w:t xml:space="preserve"> ved at ændre RegistreringTil fra NULL til d.d.</w:t>
            </w:r>
          </w:p>
          <w:p w:rsidR="007705F3" w:rsidRDefault="007705F3" w:rsidP="00A8612B"/>
          <w:p w:rsidR="00A642DD" w:rsidRDefault="007705F3" w:rsidP="00A8612B">
            <w:r>
              <w:t>’</w:t>
            </w:r>
            <w:r w:rsidR="00224F72">
              <w:t>B</w:t>
            </w:r>
            <w:r>
              <w:t xml:space="preserve">’ viser </w:t>
            </w:r>
            <w:r w:rsidR="00A8612B" w:rsidRPr="00BB7211">
              <w:t>nye elementer (paataenkthandling = ’nyoprettelse’)</w:t>
            </w:r>
            <w:r>
              <w:t>,</w:t>
            </w:r>
            <w:r w:rsidR="00A8612B" w:rsidRPr="00BB7211">
              <w:t xml:space="preserve"> der </w:t>
            </w:r>
            <w:r>
              <w:t>fortrydes. Disse</w:t>
            </w:r>
            <w:r w:rsidR="00A8612B" w:rsidRPr="00BB7211">
              <w:t xml:space="preserve"> vil få status ’Ikke gennemført’. </w:t>
            </w:r>
          </w:p>
        </w:tc>
      </w:tr>
      <w:tr w:rsidR="00224F72" w:rsidTr="00224F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1295" w:type="dxa"/>
            <w:vAlign w:val="center"/>
          </w:tcPr>
          <w:p w:rsidR="00224F72" w:rsidRDefault="00224F72" w:rsidP="002553CB">
            <w:pPr>
              <w:jc w:val="center"/>
            </w:pPr>
            <w:r>
              <w:lastRenderedPageBreak/>
              <w:t>Endelig registrering</w:t>
            </w:r>
          </w:p>
        </w:tc>
        <w:tc>
          <w:tcPr>
            <w:tcW w:w="7999" w:type="dxa"/>
          </w:tcPr>
          <w:p w:rsidR="00224F72" w:rsidRDefault="00224F72" w:rsidP="00A8612B">
            <w:r>
              <w:t>’A’ viser, at v</w:t>
            </w:r>
            <w:r w:rsidRPr="007705F3">
              <w:t xml:space="preserve">ed matrikelmyndighedens endelige registrering af sagen </w:t>
            </w:r>
            <w:r>
              <w:t xml:space="preserve">opdateres den </w:t>
            </w:r>
            <w:r w:rsidRPr="007705F3">
              <w:t>’Gældende’</w:t>
            </w:r>
            <w:r>
              <w:t xml:space="preserve"> registrering til at være i overensstemmelse med den tidligere foreløbige registrering</w:t>
            </w:r>
            <w:r w:rsidRPr="007705F3">
              <w:t>.</w:t>
            </w:r>
          </w:p>
          <w:p w:rsidR="00224F72" w:rsidRDefault="00224F72" w:rsidP="00A8612B"/>
          <w:p w:rsidR="00224F72" w:rsidRDefault="00224F72" w:rsidP="00224F72">
            <w:r>
              <w:t>’B’ viser, at i visse tilfælde kan matrikulære elementer gå direkte til at være ’Gældende’. Det gælder for i to tilfælde:</w:t>
            </w:r>
          </w:p>
          <w:p w:rsidR="00224F72" w:rsidRDefault="00224F72" w:rsidP="00224F72">
            <w:pPr>
              <w:pStyle w:val="Listeafsnit"/>
              <w:numPr>
                <w:ilvl w:val="0"/>
                <w:numId w:val="8"/>
              </w:numPr>
            </w:pPr>
            <w:r>
              <w:t>Når kommunerne opretter eller ændrer Bygning på Fremmed grund via BBR klienten.</w:t>
            </w:r>
          </w:p>
          <w:p w:rsidR="00224F72" w:rsidRDefault="00224F72" w:rsidP="00224F72">
            <w:pPr>
              <w:pStyle w:val="Listeafsnit"/>
              <w:numPr>
                <w:ilvl w:val="0"/>
                <w:numId w:val="8"/>
              </w:numPr>
            </w:pPr>
            <w:r>
              <w:t xml:space="preserve">Når Matrikelmyndigheden danner </w:t>
            </w:r>
            <w:r w:rsidRPr="00256559">
              <w:t>forandringer</w:t>
            </w:r>
            <w:r>
              <w:t xml:space="preserve"> i GST klienten.</w:t>
            </w:r>
          </w:p>
          <w:p w:rsidR="00224F72" w:rsidRDefault="00224F72" w:rsidP="00224F72"/>
          <w:p w:rsidR="00224F72" w:rsidRDefault="00224F72" w:rsidP="00224F72">
            <w:r>
              <w:t>’C’ viser, at v</w:t>
            </w:r>
            <w:r w:rsidRPr="007705F3">
              <w:t>ed matrikelmyndighedens endelige registrering af sagen bliver gældende matrikulære elementer, der slettes i sagen, ’Historisk’.</w:t>
            </w:r>
          </w:p>
        </w:tc>
      </w:tr>
    </w:tbl>
    <w:p w:rsidR="00A642DD" w:rsidRDefault="00A642DD" w:rsidP="00A642DD"/>
    <w:p w:rsidR="00553E4E" w:rsidRDefault="00553E4E" w:rsidP="00553E4E">
      <w:bookmarkStart w:id="11" w:name="_Ref470684468"/>
      <w:bookmarkStart w:id="12" w:name="_Ref470688180"/>
      <w:r>
        <w:t>I statusserne ”Gældende”, ”Historisk” og ”Ikke gennemført” vil der altid kun være én version, der har virkning.</w:t>
      </w:r>
    </w:p>
    <w:p w:rsidR="00553E4E" w:rsidRDefault="00542AC3" w:rsidP="00553E4E">
      <w:r>
        <w:t>S</w:t>
      </w:r>
      <w:r w:rsidR="00553E4E">
        <w:t>tatussen ”</w:t>
      </w:r>
      <w:r>
        <w:t>Foreløbig</w:t>
      </w:r>
      <w:r w:rsidR="00553E4E">
        <w:t xml:space="preserve">” </w:t>
      </w:r>
      <w:r>
        <w:t xml:space="preserve">kan </w:t>
      </w:r>
      <w:r w:rsidR="00553E4E">
        <w:t xml:space="preserve">forekomme samtidig med </w:t>
      </w:r>
      <w:r>
        <w:t xml:space="preserve">enten </w:t>
      </w:r>
      <w:r w:rsidR="00553E4E">
        <w:t>status ”</w:t>
      </w:r>
      <w:r>
        <w:t>Gældende</w:t>
      </w:r>
      <w:r w:rsidR="00553E4E">
        <w:t>”</w:t>
      </w:r>
      <w:r>
        <w:t xml:space="preserve"> eller ”Historisk”</w:t>
      </w:r>
      <w:r w:rsidR="00553E4E">
        <w:t xml:space="preserve"> for samme matrikulære element.</w:t>
      </w:r>
      <w:r>
        <w:t xml:space="preserve"> Sidstnævnte dog ikke i samme sag.</w:t>
      </w:r>
      <w:r w:rsidR="00553E4E">
        <w:t xml:space="preserve"> Hvis man som anvender af fx Matriklens REST service ”bestemtfastejendom” kun er interesseret i de gældende matrikeldata er det derfor nødvendigt at sætte input parameter ”Status” til ”gældende” (ud over eventuelle bitemporale tider).</w:t>
      </w:r>
    </w:p>
    <w:p w:rsidR="003B72A0" w:rsidRDefault="003B72A0" w:rsidP="00603914"/>
    <w:p w:rsidR="00603914" w:rsidRDefault="00603914" w:rsidP="00603914">
      <w:r>
        <w:t xml:space="preserve">En anden måde at visualisere livscyklussen for matrikulære elementer med versionering </w:t>
      </w:r>
      <w:r w:rsidR="00F310B3">
        <w:t xml:space="preserve">ses af </w:t>
      </w:r>
      <w:r w:rsidR="00F310B3">
        <w:fldChar w:fldCharType="begin"/>
      </w:r>
      <w:r w:rsidR="00F310B3">
        <w:instrText xml:space="preserve"> REF _Ref507577482 \h </w:instrText>
      </w:r>
      <w:r w:rsidR="00F310B3">
        <w:fldChar w:fldCharType="separate"/>
      </w:r>
      <w:r w:rsidR="00F310B3" w:rsidRPr="005F03B7">
        <w:rPr>
          <w:b/>
        </w:rPr>
        <w:t xml:space="preserve">Figur </w:t>
      </w:r>
      <w:r w:rsidR="00F310B3" w:rsidRPr="005F03B7">
        <w:rPr>
          <w:b/>
          <w:noProof/>
        </w:rPr>
        <w:t>5</w:t>
      </w:r>
      <w:r w:rsidR="00F310B3">
        <w:fldChar w:fldCharType="end"/>
      </w:r>
      <w:r w:rsidR="00F310B3">
        <w:t>.</w:t>
      </w:r>
    </w:p>
    <w:p w:rsidR="00603914" w:rsidRPr="00603914" w:rsidRDefault="00603914" w:rsidP="00603914">
      <w:pPr>
        <w:rPr>
          <w:rFonts w:asciiTheme="majorHAnsi" w:eastAsiaTheme="majorEastAsia" w:hAnsiTheme="majorHAnsi" w:cstheme="majorBidi"/>
          <w:b/>
          <w:bCs/>
          <w:color w:val="0097A7" w:themeColor="accent1"/>
          <w:sz w:val="26"/>
          <w:szCs w:val="26"/>
        </w:rPr>
      </w:pPr>
    </w:p>
    <w:tbl>
      <w:tblPr>
        <w:tblStyle w:val="Tabel-Gitter"/>
        <w:tblW w:w="0" w:type="auto"/>
        <w:tblLook w:val="04A0" w:firstRow="1" w:lastRow="0" w:firstColumn="1" w:lastColumn="0" w:noHBand="0" w:noVBand="1"/>
      </w:tblPr>
      <w:tblGrid>
        <w:gridCol w:w="9850"/>
      </w:tblGrid>
      <w:tr w:rsidR="003B72A0" w:rsidTr="003B72A0">
        <w:tc>
          <w:tcPr>
            <w:tcW w:w="9778" w:type="dxa"/>
          </w:tcPr>
          <w:p w:rsidR="003B72A0" w:rsidRDefault="003B72A0" w:rsidP="005F03B7">
            <w:pPr>
              <w:keepNext/>
            </w:pPr>
            <w:r>
              <w:object w:dxaOrig="11124" w:dyaOrig="4656">
                <v:shape id="_x0000_i1028" type="#_x0000_t75" style="width:481.8pt;height:201.6pt" o:ole="">
                  <v:imagedata r:id="rId19" o:title=""/>
                </v:shape>
                <o:OLEObject Type="Embed" ProgID="Visio.Drawing.15" ShapeID="_x0000_i1028" DrawAspect="Content" ObjectID="_1583738894" r:id="rId20"/>
              </w:object>
            </w:r>
          </w:p>
        </w:tc>
      </w:tr>
      <w:tr w:rsidR="003B72A0" w:rsidTr="003B72A0">
        <w:tc>
          <w:tcPr>
            <w:tcW w:w="9778" w:type="dxa"/>
          </w:tcPr>
          <w:p w:rsidR="003B72A0" w:rsidRDefault="00603914" w:rsidP="00553E4E">
            <w:bookmarkStart w:id="13" w:name="_Ref507577482"/>
            <w:r w:rsidRPr="005F03B7">
              <w:rPr>
                <w:b/>
              </w:rPr>
              <w:t xml:space="preserve">Figur </w:t>
            </w:r>
            <w:r w:rsidRPr="005F03B7">
              <w:rPr>
                <w:b/>
              </w:rPr>
              <w:fldChar w:fldCharType="begin"/>
            </w:r>
            <w:r w:rsidRPr="005F03B7">
              <w:rPr>
                <w:b/>
              </w:rPr>
              <w:instrText xml:space="preserve"> SEQ Figur \* ARABIC </w:instrText>
            </w:r>
            <w:r w:rsidRPr="005F03B7">
              <w:rPr>
                <w:b/>
              </w:rPr>
              <w:fldChar w:fldCharType="separate"/>
            </w:r>
            <w:r w:rsidRPr="005F03B7">
              <w:rPr>
                <w:b/>
                <w:noProof/>
              </w:rPr>
              <w:t>5</w:t>
            </w:r>
            <w:r w:rsidRPr="005F03B7">
              <w:rPr>
                <w:b/>
              </w:rPr>
              <w:fldChar w:fldCharType="end"/>
            </w:r>
            <w:bookmarkEnd w:id="13"/>
            <w:r w:rsidRPr="005F03B7">
              <w:rPr>
                <w:b/>
              </w:rPr>
              <w:t>:</w:t>
            </w:r>
            <w:r>
              <w:t xml:space="preserve"> </w:t>
            </w:r>
            <w:r w:rsidR="00F310B3">
              <w:t>State diagram der viser livscyklus for matrikulære elementer</w:t>
            </w:r>
          </w:p>
        </w:tc>
      </w:tr>
    </w:tbl>
    <w:p w:rsidR="003B72A0" w:rsidRDefault="003B72A0" w:rsidP="00553E4E"/>
    <w:p w:rsidR="00E7564E" w:rsidRDefault="00417A2F" w:rsidP="00E7564E">
      <w:pPr>
        <w:pStyle w:val="Overskrift2"/>
      </w:pPr>
      <w:bookmarkStart w:id="14" w:name="_Ref470944037"/>
      <w:bookmarkStart w:id="15" w:name="_Toc507578177"/>
      <w:r>
        <w:lastRenderedPageBreak/>
        <w:t>F</w:t>
      </w:r>
      <w:r w:rsidR="00536C56">
        <w:t xml:space="preserve">oreløbige </w:t>
      </w:r>
      <w:r w:rsidR="00E7564E">
        <w:t>versioner</w:t>
      </w:r>
      <w:bookmarkEnd w:id="11"/>
      <w:r w:rsidR="003F59B5">
        <w:t xml:space="preserve"> af matrikulære elementer</w:t>
      </w:r>
      <w:bookmarkEnd w:id="12"/>
      <w:bookmarkEnd w:id="14"/>
      <w:bookmarkEnd w:id="15"/>
    </w:p>
    <w:p w:rsidR="00396B24" w:rsidRDefault="00396B24" w:rsidP="00A642DD">
      <w:r>
        <w:t xml:space="preserve">De foreløbige data viser de forandringer, der </w:t>
      </w:r>
      <w:r w:rsidR="00083F46">
        <w:t>er defineret</w:t>
      </w:r>
      <w:r>
        <w:t xml:space="preserve"> i den</w:t>
      </w:r>
      <w:r w:rsidR="00083F46">
        <w:t xml:space="preserve"> igangværende</w:t>
      </w:r>
      <w:r>
        <w:t xml:space="preserve"> matrikulære sag</w:t>
      </w:r>
      <w:r w:rsidR="00083F46">
        <w:t xml:space="preserve"> – og som forventes at blive gældende, om end der ikke er nogen garanti herfor</w:t>
      </w:r>
      <w:r>
        <w:t>. For hvert element, der nyoprettes, ændres eller slettes i sagen, vil der være en foreløbig version. For den enkelte version kan det af attributten ”Påtænkt handling” ses, hvilken type forandring der er tale om, idet der er dette udfaldsrum:</w:t>
      </w:r>
    </w:p>
    <w:p w:rsidR="00396B24" w:rsidRDefault="00396B24" w:rsidP="00396B24">
      <w:pPr>
        <w:pStyle w:val="Listeafsnit"/>
        <w:numPr>
          <w:ilvl w:val="0"/>
          <w:numId w:val="9"/>
        </w:numPr>
      </w:pPr>
      <w:r>
        <w:t>Nyoprettelse</w:t>
      </w:r>
    </w:p>
    <w:p w:rsidR="00396B24" w:rsidRDefault="00396B24" w:rsidP="00396B24">
      <w:pPr>
        <w:pStyle w:val="Listeafsnit"/>
        <w:numPr>
          <w:ilvl w:val="0"/>
          <w:numId w:val="9"/>
        </w:numPr>
      </w:pPr>
      <w:r>
        <w:t>Ændring</w:t>
      </w:r>
    </w:p>
    <w:p w:rsidR="00396B24" w:rsidRDefault="00396B24" w:rsidP="00396B24">
      <w:pPr>
        <w:pStyle w:val="Listeafsnit"/>
        <w:numPr>
          <w:ilvl w:val="0"/>
          <w:numId w:val="9"/>
        </w:numPr>
      </w:pPr>
      <w:r>
        <w:t>Udgår</w:t>
      </w:r>
    </w:p>
    <w:p w:rsidR="00396B24" w:rsidRDefault="00396B24" w:rsidP="00A642DD"/>
    <w:p w:rsidR="00396B24" w:rsidRDefault="00396B24" w:rsidP="00A642DD">
      <w:r>
        <w:t>Versioner med ”Nyoprettelse” og ”Ændring” vil afspejle den fremtidige situation</w:t>
      </w:r>
      <w:r w:rsidR="00F53802">
        <w:t xml:space="preserve"> (såfremt sagen gennemføres)</w:t>
      </w:r>
      <w:r>
        <w:t xml:space="preserve">, mens </w:t>
      </w:r>
      <w:r w:rsidR="00F53802">
        <w:t>versioner med ”Udgår” vil vise data for elementet, som den gældende version så ud, da sagens forandringer blev defineret.</w:t>
      </w:r>
    </w:p>
    <w:p w:rsidR="00F53802" w:rsidRDefault="00F53802" w:rsidP="00A642DD"/>
    <w:p w:rsidR="00417A2F" w:rsidRDefault="00536C56" w:rsidP="00A642DD">
      <w:r>
        <w:t xml:space="preserve">I status ”Foreløbig” kan der </w:t>
      </w:r>
      <w:r w:rsidR="00553E4E">
        <w:t xml:space="preserve">(i modsætning til andre statusser) </w:t>
      </w:r>
      <w:r>
        <w:t xml:space="preserve">være flere versioner, der </w:t>
      </w:r>
      <w:r w:rsidR="00417A2F">
        <w:t>har virkning på samme tid. Dette kan forekomme, når praktiserende landinspektører udfører matrikulært arbejde på samme matrikulære element</w:t>
      </w:r>
      <w:r w:rsidR="00F53802">
        <w:t>, fx et jordstykke</w:t>
      </w:r>
      <w:r w:rsidR="00417A2F">
        <w:t>. Dette er nødvendigt for det forberedende arbejde, som landinspektøren skal udføre. Landinspektørens dokumenter dannes ud fra de matrikulære forandringer han definerer i de matrikulære indberetningssystemer</w:t>
      </w:r>
      <w:r w:rsidR="00F53802">
        <w:t>, som altid tager udgangspunkt i gældende data</w:t>
      </w:r>
      <w:r w:rsidR="00417A2F">
        <w:t>. Disse dokumenter danner grundlag for sagen og indgår bl.a. som materiale i de nødvendige ansøgninger, som landinspektøren skal sende til diverse myndigheder. Denne proces kan tage nogle måneder, og landinspektøren kan derfor ikke afvente, at den allerede igangværende sag i området afsluttes.</w:t>
      </w:r>
    </w:p>
    <w:p w:rsidR="00A642DD" w:rsidRDefault="00A642DD" w:rsidP="00A642DD"/>
    <w:p w:rsidR="00553E4E" w:rsidRDefault="00553E4E" w:rsidP="00A642DD">
      <w:r>
        <w:t>Der kan dog ikke forekomme samtidige versioner af foreløbige matrikulære elementer indenfor samme sag.</w:t>
      </w:r>
    </w:p>
    <w:p w:rsidR="00553E4E" w:rsidRDefault="00553E4E" w:rsidP="00A642DD"/>
    <w:p w:rsidR="001D78D1" w:rsidRDefault="00083F46" w:rsidP="00A642DD">
      <w:r>
        <w:t>Hvis det ønskes</w:t>
      </w:r>
      <w:r w:rsidR="00553E4E">
        <w:t xml:space="preserve"> at identificere en foreløbig version entydigt er det derfor nødvendigt at </w:t>
      </w:r>
      <w:r>
        <w:t>tilføje ID for den matrikulære sag.</w:t>
      </w:r>
    </w:p>
    <w:p w:rsidR="00083F46" w:rsidRDefault="00083F46" w:rsidP="00A642DD"/>
    <w:p w:rsidR="00CA3ED5" w:rsidRDefault="00083F46" w:rsidP="00A642DD">
      <w:r>
        <w:t>I teorien er der ingen øvre grænse for hvor mange samtidige versioner, der kan opstå</w:t>
      </w:r>
      <w:r w:rsidR="00CA3ED5">
        <w:t>. Geodatastyrelsen kan dog oplyse følgende ud fra de erfaringer der findes i dag fra miniMAKS (samlede faste ejendomme):</w:t>
      </w:r>
    </w:p>
    <w:tbl>
      <w:tblPr>
        <w:tblStyle w:val="Tabel-Gitter"/>
        <w:tblW w:w="0" w:type="auto"/>
        <w:tblLook w:val="04A0" w:firstRow="1" w:lastRow="0" w:firstColumn="1" w:lastColumn="0" w:noHBand="0" w:noVBand="1"/>
      </w:tblPr>
      <w:tblGrid>
        <w:gridCol w:w="2773"/>
        <w:gridCol w:w="2150"/>
      </w:tblGrid>
      <w:tr w:rsidR="00CA3ED5" w:rsidRPr="003C7839" w:rsidTr="003C7839">
        <w:tc>
          <w:tcPr>
            <w:tcW w:w="2773" w:type="dxa"/>
            <w:shd w:val="clear" w:color="auto" w:fill="D9D9D9" w:themeFill="background1" w:themeFillShade="D9"/>
          </w:tcPr>
          <w:p w:rsidR="00CA3ED5" w:rsidRPr="003C7839" w:rsidRDefault="00CA3ED5" w:rsidP="003C7839">
            <w:pPr>
              <w:rPr>
                <w:b/>
              </w:rPr>
            </w:pPr>
            <w:r w:rsidRPr="003C7839">
              <w:rPr>
                <w:b/>
              </w:rPr>
              <w:t xml:space="preserve">Antal </w:t>
            </w:r>
            <w:r w:rsidR="006163F4">
              <w:rPr>
                <w:b/>
              </w:rPr>
              <w:t>jordstykker med flere samtidige versioner</w:t>
            </w:r>
          </w:p>
        </w:tc>
        <w:tc>
          <w:tcPr>
            <w:tcW w:w="2150" w:type="dxa"/>
            <w:shd w:val="clear" w:color="auto" w:fill="D9D9D9" w:themeFill="background1" w:themeFillShade="D9"/>
          </w:tcPr>
          <w:p w:rsidR="00CA3ED5" w:rsidRPr="003C7839" w:rsidRDefault="006163F4" w:rsidP="006163F4">
            <w:pPr>
              <w:rPr>
                <w:b/>
              </w:rPr>
            </w:pPr>
            <w:r>
              <w:rPr>
                <w:b/>
              </w:rPr>
              <w:t>Forventet a</w:t>
            </w:r>
            <w:r w:rsidR="00CA3ED5" w:rsidRPr="003C7839">
              <w:rPr>
                <w:b/>
              </w:rPr>
              <w:t>ntal tilfælde pr. år</w:t>
            </w:r>
          </w:p>
        </w:tc>
      </w:tr>
      <w:tr w:rsidR="00CA3ED5" w:rsidTr="003C7839">
        <w:tc>
          <w:tcPr>
            <w:tcW w:w="2773" w:type="dxa"/>
          </w:tcPr>
          <w:p w:rsidR="00CA3ED5" w:rsidRDefault="003C7839" w:rsidP="00A642DD">
            <w:r>
              <w:t>2</w:t>
            </w:r>
          </w:p>
        </w:tc>
        <w:tc>
          <w:tcPr>
            <w:tcW w:w="2150" w:type="dxa"/>
          </w:tcPr>
          <w:p w:rsidR="00CA3ED5" w:rsidRDefault="006163F4" w:rsidP="00A642DD">
            <w:r>
              <w:t>Ca. 300 jordstykker</w:t>
            </w:r>
          </w:p>
        </w:tc>
      </w:tr>
      <w:tr w:rsidR="00CA3ED5" w:rsidTr="003C7839">
        <w:tc>
          <w:tcPr>
            <w:tcW w:w="2773" w:type="dxa"/>
          </w:tcPr>
          <w:p w:rsidR="00CA3ED5" w:rsidRDefault="003C7839" w:rsidP="00A642DD">
            <w:r>
              <w:t>&gt;2</w:t>
            </w:r>
          </w:p>
        </w:tc>
        <w:tc>
          <w:tcPr>
            <w:tcW w:w="2150" w:type="dxa"/>
          </w:tcPr>
          <w:p w:rsidR="00CA3ED5" w:rsidRDefault="006163F4" w:rsidP="00A642DD">
            <w:r>
              <w:t>0-5</w:t>
            </w:r>
          </w:p>
        </w:tc>
      </w:tr>
    </w:tbl>
    <w:p w:rsidR="003C7839" w:rsidRDefault="003C7839" w:rsidP="00A642DD"/>
    <w:p w:rsidR="006163F4" w:rsidRPr="006163F4" w:rsidRDefault="006163F4" w:rsidP="00A642DD">
      <w:r w:rsidRPr="006163F4">
        <w:t>Det kan desuden oplyses, at der pr. dags dato</w:t>
      </w:r>
      <w:r>
        <w:t xml:space="preserve"> (4/1 2017)</w:t>
      </w:r>
      <w:r w:rsidRPr="006163F4">
        <w:t xml:space="preserve"> findes 2.489.059 jordstykker i miniMAKS.</w:t>
      </w:r>
    </w:p>
    <w:p w:rsidR="006163F4" w:rsidRDefault="006163F4" w:rsidP="00A642DD"/>
    <w:p w:rsidR="00083F46" w:rsidRDefault="00083F46" w:rsidP="00A642DD">
      <w:r>
        <w:t>De samtidige foreløbige versioner af matrikulære elementer er sidestillede. Der kan ikke opsættes regler for hvilken af de foreløbige versioner, der er den ”rigtige”, da dette vil afhænge af hvilken sag der gennemføres. Dette aftales for hvert tilfælde mellem de involverede landinspektører og</w:t>
      </w:r>
      <w:r w:rsidR="006163F4">
        <w:t xml:space="preserve"> evt.</w:t>
      </w:r>
      <w:r>
        <w:t xml:space="preserve"> Geodatastyrelsen.</w:t>
      </w:r>
    </w:p>
    <w:p w:rsidR="003526F5" w:rsidRDefault="003526F5" w:rsidP="003526F5">
      <w:pPr>
        <w:pStyle w:val="Overskrift1"/>
      </w:pPr>
      <w:bookmarkStart w:id="16" w:name="_Toc507578178"/>
      <w:r>
        <w:t>Udstillingsmodellens overholdelse af regler og vejledninger</w:t>
      </w:r>
      <w:bookmarkEnd w:id="16"/>
    </w:p>
    <w:p w:rsidR="003526F5" w:rsidRDefault="003526F5" w:rsidP="003526F5">
      <w:r>
        <w:t>Udstillingsmodellen er godkendt af Grunddata modelsekretariat til at overholde modelreglerne for grunddata [1a]. Modelreglerne har fokus på logisk informationsmodellering (regel 2.3).</w:t>
      </w:r>
    </w:p>
    <w:p w:rsidR="003526F5" w:rsidRDefault="003526F5" w:rsidP="003526F5"/>
    <w:p w:rsidR="003526F5" w:rsidRDefault="003526F5" w:rsidP="003526F5">
      <w:r>
        <w:t>Dette afspejler sig bl.a. ved at:</w:t>
      </w:r>
    </w:p>
    <w:p w:rsidR="009D6480" w:rsidRDefault="003526F5" w:rsidP="00553E4E">
      <w:r>
        <w:t>Alle matrikulære elementer (herunder bestemt faste ejendomme) har en persistent, unik identifikation, som ikke ændres i elementets levetid (regel 6.1). De enkelte versioner af et matrikulært element identificeres entydigt ved at sammenstille elementets id med bitemporale tider, status samt id for den matrikulære sag. Se afsnit ”</w:t>
      </w:r>
      <w:r>
        <w:fldChar w:fldCharType="begin"/>
      </w:r>
      <w:r>
        <w:instrText xml:space="preserve"> REF _Ref470684468 \h </w:instrText>
      </w:r>
      <w:r>
        <w:fldChar w:fldCharType="separate"/>
      </w:r>
      <w:r w:rsidR="009D6480">
        <w:t>I statusserne ”Gældende”, ”Historisk” og ”Ikke gennemført” vil der altid kun være én version, der har virkning.</w:t>
      </w:r>
    </w:p>
    <w:p w:rsidR="009D6480" w:rsidRDefault="009D6480" w:rsidP="00553E4E">
      <w:r>
        <w:t>Statussen ”Foreløbig” kan forekomme samtidig med enten status ”Gældende” eller ”Historisk” for samme matrikulære element. Sidstnævnte dog ikke i samme sag. Hvis man som anvender af fx Matriklens REST service ”bestemtfastejendom” kun er interesseret i de gældende matrikeldata er det derfor nødvendigt at sætte input parameter ”Status” til ”gældende” (ud over eventuelle bitemporale tider).</w:t>
      </w:r>
    </w:p>
    <w:p w:rsidR="003526F5" w:rsidRDefault="009D6480" w:rsidP="003526F5">
      <w:pPr>
        <w:pStyle w:val="Listeafsnit"/>
        <w:numPr>
          <w:ilvl w:val="0"/>
          <w:numId w:val="8"/>
        </w:numPr>
      </w:pPr>
      <w:r>
        <w:t>Foreløbige versioner</w:t>
      </w:r>
      <w:r w:rsidR="003526F5">
        <w:fldChar w:fldCharType="end"/>
      </w:r>
      <w:r w:rsidR="003526F5">
        <w:t>”.</w:t>
      </w:r>
    </w:p>
    <w:p w:rsidR="003526F5" w:rsidRPr="003F59B5" w:rsidRDefault="003526F5" w:rsidP="003526F5">
      <w:pPr>
        <w:pStyle w:val="Listeafsnit"/>
        <w:numPr>
          <w:ilvl w:val="0"/>
          <w:numId w:val="8"/>
        </w:numPr>
      </w:pPr>
      <w:r>
        <w:t>Alle modelentiteter er modelleret med en status, der klart angiver, hvor det matrikulære element er i sin livscyklus (regel 6.2). Det er i Matriklen valgt at anvende statusværdierne ”Historisk” og ”Ikke gennemført” på trods af, at der kan argumenteres for, at disse er overflødige, da denne information fremgår af de bitemporale egenskaber. Årsagen til, at det alligevel er valgt at anvende disse statusværdier er dels, at det ønskes tydeligt at skelne mellem ”Historisk” og ”Ikke gennemført”, og dels at det er valgt at følge anbefalingen i regel 6.2: ”</w:t>
      </w:r>
      <w:r w:rsidRPr="0040437E">
        <w:rPr>
          <w:i/>
        </w:rPr>
        <w:t>Forretningsmæssigt giver det god værdi at udstille et dataobjekts status eksplicit, frem for at lade databrugeren analysere sig frem til informationen. Anvendelsen af status er med til at sikre en høj datakvalitet og potentielt nedbringe udviklingsomkostninger, da der skal implementeres mindre forretningslogik og fejlhåndteringslogik.”</w:t>
      </w:r>
    </w:p>
    <w:p w:rsidR="003526F5" w:rsidRPr="003F59B5" w:rsidRDefault="003526F5" w:rsidP="003526F5">
      <w:pPr>
        <w:pStyle w:val="Listeafsnit"/>
      </w:pPr>
      <w:r>
        <w:t xml:space="preserve">I Matriklens data kan der være samtidige versioner af et matrikulært element med forskellig status, idet der på samme tid kan være versioner med hhv. status ’Gældende’ og ’Foreløbig’. Disse versioner har virkning på samme tid, da det </w:t>
      </w:r>
      <w:r w:rsidR="00BB7211">
        <w:t xml:space="preserve">forretningsmæssigt </w:t>
      </w:r>
      <w:r>
        <w:t xml:space="preserve">ikke ønskes at en foreløbig registrering medfører ændring af registreringen af de gældende versioner. </w:t>
      </w:r>
    </w:p>
    <w:p w:rsidR="003526F5" w:rsidRDefault="003526F5" w:rsidP="003526F5">
      <w:pPr>
        <w:pStyle w:val="Listeafsnit"/>
        <w:numPr>
          <w:ilvl w:val="0"/>
          <w:numId w:val="8"/>
        </w:numPr>
      </w:pPr>
      <w:r w:rsidRPr="00FE0C6F">
        <w:t>Alle modelentiteter understøtter dobbelthistorik og angivelse af aktører</w:t>
      </w:r>
      <w:r>
        <w:t xml:space="preserve"> (regel 6.3). I den fysiske implementering af denne modelregel er det valgt at følge det eksempel, der er henvist til fra regel 6.3 [1b]. Specifikt er det valgt at følge eksemplet beskrevet i afsnit ”4.2.1 Fysisk datamodel 1a: Bitemporal tabel”.</w:t>
      </w:r>
    </w:p>
    <w:p w:rsidR="003526F5" w:rsidRDefault="003526F5" w:rsidP="003526F5"/>
    <w:p w:rsidR="003526F5" w:rsidRPr="00FE0C6F" w:rsidRDefault="003526F5" w:rsidP="00542AC3">
      <w:r>
        <w:t>Matriklens udstillingsmodel overholder desuden ”Anvendelse af dobbelthistorik i GD2 - Implementerings regler og eksempler på dobbelthistorik” [1c], som det er besluttet at GD1 også skal følge. I dette dokument er det bl.a. beskrevet hvordan flere samtidige versioner skal håndteres. Dog håndterer denne beskrivelse ikke, at der kan være samtidige versioner med samme status (som det er tilfældet med status Foreløbig i Matriklen). Dette skyldes dog efter al sandsynlighed, at forfatteren oprindeligt har haft GD2 registre som målgruppe og således ikke været opmærksom på forretningsbehovet i Matriklen, hvor samtidige sager kan forårsage samtidige foreløbige versioner af samme matrikulært element. Se i øvrigt afsnit ”</w:t>
      </w:r>
      <w:r>
        <w:fldChar w:fldCharType="begin"/>
      </w:r>
      <w:r>
        <w:instrText xml:space="preserve"> REF _Ref470688164 \h </w:instrText>
      </w:r>
      <w:r>
        <w:fldChar w:fldCharType="separate"/>
      </w:r>
      <w:r w:rsidR="009D6480">
        <w:t>Livscyklus for matrikulære elementer</w:t>
      </w:r>
      <w:r>
        <w:fldChar w:fldCharType="end"/>
      </w:r>
      <w:r>
        <w:t>” og ”</w:t>
      </w:r>
      <w:r w:rsidR="00542AC3">
        <w:fldChar w:fldCharType="begin"/>
      </w:r>
      <w:r w:rsidR="00542AC3">
        <w:instrText xml:space="preserve"> REF _Ref470944037 \h </w:instrText>
      </w:r>
      <w:r w:rsidR="00542AC3">
        <w:fldChar w:fldCharType="separate"/>
      </w:r>
      <w:r w:rsidR="009D6480">
        <w:t>Foreløbige versioner af matrikulære elementer</w:t>
      </w:r>
      <w:r w:rsidR="00542AC3">
        <w:fldChar w:fldCharType="end"/>
      </w:r>
      <w:r>
        <w:t>”.</w:t>
      </w:r>
    </w:p>
    <w:p w:rsidR="00003445" w:rsidRDefault="00003445" w:rsidP="00003445">
      <w:pPr>
        <w:pStyle w:val="Overskrift1"/>
      </w:pPr>
      <w:bookmarkStart w:id="17" w:name="_Toc507578179"/>
      <w:r>
        <w:t>Kilde</w:t>
      </w:r>
      <w:r w:rsidR="00145D48">
        <w:t>henvisninger</w:t>
      </w:r>
      <w:bookmarkEnd w:id="17"/>
    </w:p>
    <w:p w:rsidR="00FE0C6F" w:rsidRPr="00797EE7" w:rsidRDefault="00FE0C6F" w:rsidP="00003445">
      <w:pPr>
        <w:rPr>
          <w:lang w:val="en-US"/>
        </w:rPr>
      </w:pPr>
      <w:r w:rsidRPr="00797EE7">
        <w:t xml:space="preserve">[1a] </w:t>
      </w:r>
      <w:r w:rsidR="00797EE7" w:rsidRPr="00797EE7">
        <w:t xml:space="preserve">Grunddata modelregler. Forfatter: Grunddata Programkoordinationen. </w:t>
      </w:r>
      <w:r w:rsidR="00797EE7" w:rsidRPr="006B4080">
        <w:rPr>
          <w:lang w:val="en-US"/>
        </w:rPr>
        <w:t xml:space="preserve">Link: </w:t>
      </w:r>
      <w:hyperlink r:id="rId21" w:history="1">
        <w:r w:rsidR="00797EE7" w:rsidRPr="00B619DB">
          <w:rPr>
            <w:rStyle w:val="Hyperlink"/>
            <w:lang w:val="en-US"/>
          </w:rPr>
          <w:t>http://arkitekturguiden.digitaliser.dk/grunddata-modelregler</w:t>
        </w:r>
      </w:hyperlink>
      <w:r w:rsidR="00797EE7">
        <w:rPr>
          <w:lang w:val="en-US"/>
        </w:rPr>
        <w:t xml:space="preserve"> </w:t>
      </w:r>
    </w:p>
    <w:p w:rsidR="00FE0C6F" w:rsidRPr="00797EE7" w:rsidRDefault="00FE0C6F" w:rsidP="00003445">
      <w:pPr>
        <w:rPr>
          <w:lang w:val="en-US"/>
        </w:rPr>
      </w:pPr>
    </w:p>
    <w:p w:rsidR="00FE0C6F" w:rsidRPr="00797EE7" w:rsidRDefault="00FE0C6F" w:rsidP="00003445">
      <w:r w:rsidRPr="00FE0C6F">
        <w:rPr>
          <w:lang w:val="en-US"/>
        </w:rPr>
        <w:lastRenderedPageBreak/>
        <w:t xml:space="preserve">[1b] </w:t>
      </w:r>
      <w:r w:rsidR="00797EE7">
        <w:rPr>
          <w:lang w:val="en-US"/>
        </w:rPr>
        <w:t xml:space="preserve">“Bitemporalitet – Proof of concept”. </w:t>
      </w:r>
      <w:r w:rsidR="00797EE7" w:rsidRPr="0084181A">
        <w:t xml:space="preserve">Version 1.2. </w:t>
      </w:r>
      <w:r w:rsidR="00797EE7" w:rsidRPr="00797EE7">
        <w:t xml:space="preserve">Forfatter: Geodatastyrelsen (nu Styrelsen for Dataforsyning og Effektivisering) </w:t>
      </w:r>
      <w:r w:rsidRPr="00797EE7">
        <w:t xml:space="preserve">Link: </w:t>
      </w:r>
      <w:hyperlink r:id="rId22" w:history="1">
        <w:r w:rsidRPr="00797EE7">
          <w:rPr>
            <w:rStyle w:val="Hyperlink"/>
          </w:rPr>
          <w:t>http://arkitekturguiden.digitaliser.dk/sites/default/files/ctools/bitemporalitet-v1.2.pdf</w:t>
        </w:r>
      </w:hyperlink>
      <w:r w:rsidRPr="00797EE7">
        <w:t xml:space="preserve"> </w:t>
      </w:r>
    </w:p>
    <w:p w:rsidR="00FE0C6F" w:rsidRDefault="00FE0C6F" w:rsidP="00003445"/>
    <w:p w:rsidR="00273ABE" w:rsidRPr="00273ABE" w:rsidRDefault="00273ABE" w:rsidP="00003445">
      <w:r w:rsidRPr="00273ABE">
        <w:t xml:space="preserve">[1c] </w:t>
      </w:r>
      <w:r>
        <w:t xml:space="preserve">”Anvendelse af dobbelthistorik i GD2 - Implementerings regler og eksempler på dobbelthistorik”. Forfatter: GD2 (ved det tidligere MBBL). </w:t>
      </w:r>
      <w:r w:rsidRPr="00273ABE">
        <w:t xml:space="preserve">Link: </w:t>
      </w:r>
      <w:hyperlink r:id="rId23" w:history="1">
        <w:r w:rsidRPr="00273ABE">
          <w:rPr>
            <w:rStyle w:val="Hyperlink"/>
          </w:rPr>
          <w:t>http://grunddata-ejendom-adresse.dk/file/557241/dobbelthistorik_adresseprogrammet.pdf</w:t>
        </w:r>
      </w:hyperlink>
      <w:r w:rsidRPr="00273ABE">
        <w:t xml:space="preserve"> </w:t>
      </w:r>
    </w:p>
    <w:p w:rsidR="00273ABE" w:rsidRPr="00273ABE" w:rsidRDefault="00273ABE" w:rsidP="00003445"/>
    <w:p w:rsidR="00003445" w:rsidRDefault="00003445" w:rsidP="00003445">
      <w:r>
        <w:t xml:space="preserve">[1]: </w:t>
      </w:r>
      <w:r w:rsidRPr="00003445">
        <w:t>10.2a Samordnet genbrug af ejendoms- og bygningsdata -</w:t>
      </w:r>
      <w:r>
        <w:t xml:space="preserve"> Kvalificering af business case (Arbejdspakke 1 – Processer ift. ejendomsdannelse). Link: </w:t>
      </w:r>
      <w:hyperlink r:id="rId24" w:history="1">
        <w:r w:rsidRPr="00280214">
          <w:rPr>
            <w:rStyle w:val="Hyperlink"/>
          </w:rPr>
          <w:t>http://grunddata-ejendom-adresse.dk/file/350779/arbejdspakke_1.pdf</w:t>
        </w:r>
      </w:hyperlink>
    </w:p>
    <w:p w:rsidR="00003445" w:rsidRDefault="00003445" w:rsidP="00003445"/>
    <w:p w:rsidR="00003445" w:rsidRPr="00CE0E31" w:rsidRDefault="00003445" w:rsidP="00003445">
      <w:r>
        <w:t xml:space="preserve">[2]: Målarkitektur for Ejendomsdataprogrammet. </w:t>
      </w:r>
      <w:r w:rsidR="00273ABE">
        <w:t xml:space="preserve">Forfatter: GD1. </w:t>
      </w:r>
      <w:r w:rsidRPr="00CE0E31">
        <w:t xml:space="preserve">Link: </w:t>
      </w:r>
      <w:hyperlink r:id="rId25" w:history="1">
        <w:r w:rsidRPr="00CE0E31">
          <w:rPr>
            <w:rStyle w:val="Hyperlink"/>
          </w:rPr>
          <w:t>http://grunddata-ejendom-adresse.dk/programdokumentation_ejendom</w:t>
        </w:r>
      </w:hyperlink>
    </w:p>
    <w:p w:rsidR="00003445" w:rsidRPr="00CE0E31" w:rsidRDefault="00003445" w:rsidP="00003445"/>
    <w:p w:rsidR="00003445" w:rsidRPr="00003445" w:rsidRDefault="00003445" w:rsidP="00003445">
      <w:r w:rsidRPr="00003445">
        <w:t xml:space="preserve">[3]: </w:t>
      </w:r>
      <w:r>
        <w:t xml:space="preserve">Løsningsarkitektur for Matriklens udvidelse. </w:t>
      </w:r>
      <w:r w:rsidR="00273ABE">
        <w:t xml:space="preserve">Forfatter: Geodatastyrelsen. </w:t>
      </w:r>
      <w:r w:rsidRPr="00003445">
        <w:t xml:space="preserve">Link: </w:t>
      </w:r>
      <w:hyperlink r:id="rId26" w:history="1">
        <w:r w:rsidRPr="00003445">
          <w:rPr>
            <w:rStyle w:val="Hyperlink"/>
          </w:rPr>
          <w:t>http://grunddata-ejendom-adresse.dk/losningsarkitektur_matriklens_udvidelse</w:t>
        </w:r>
      </w:hyperlink>
    </w:p>
    <w:p w:rsidR="00003445" w:rsidRPr="00003445" w:rsidRDefault="00003445" w:rsidP="00003445"/>
    <w:sectPr w:rsidR="00003445" w:rsidRPr="00003445" w:rsidSect="009231AD">
      <w:headerReference w:type="even" r:id="rId27"/>
      <w:headerReference w:type="default" r:id="rId28"/>
      <w:footerReference w:type="even" r:id="rId29"/>
      <w:footerReference w:type="default" r:id="rId30"/>
      <w:headerReference w:type="first" r:id="rId31"/>
      <w:footerReference w:type="first" r:id="rId32"/>
      <w:pgSz w:w="11906" w:h="16838" w:code="9"/>
      <w:pgMar w:top="2767"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93B" w:rsidRDefault="007E193B" w:rsidP="008969C1">
      <w:pPr>
        <w:spacing w:line="240" w:lineRule="auto"/>
      </w:pPr>
      <w:r>
        <w:separator/>
      </w:r>
    </w:p>
  </w:endnote>
  <w:endnote w:type="continuationSeparator" w:id="0">
    <w:p w:rsidR="007E193B" w:rsidRDefault="007E193B" w:rsidP="00896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07F" w:rsidRDefault="0053407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C1" w:rsidRPr="002A4EDA" w:rsidRDefault="008969C1">
    <w:pPr>
      <w:pStyle w:val="Sidefod"/>
    </w:pPr>
    <w:r w:rsidRPr="002A4EDA">
      <w:t xml:space="preserve">Side </w:t>
    </w:r>
    <w:r w:rsidRPr="002A4EDA">
      <w:fldChar w:fldCharType="begin"/>
    </w:r>
    <w:r w:rsidRPr="002A4EDA">
      <w:instrText xml:space="preserve"> PAGE </w:instrText>
    </w:r>
    <w:r w:rsidRPr="002A4EDA">
      <w:fldChar w:fldCharType="separate"/>
    </w:r>
    <w:r w:rsidR="0053407F">
      <w:rPr>
        <w:noProof/>
      </w:rPr>
      <w:t>2</w:t>
    </w:r>
    <w:r w:rsidRPr="002A4EDA">
      <w:fldChar w:fldCharType="end"/>
    </w:r>
    <w:r w:rsidRPr="002A4EDA">
      <w:t>/</w:t>
    </w:r>
    <w:fldSimple w:instr=" NUMPAGES ">
      <w:r w:rsidR="0053407F">
        <w:rPr>
          <w:noProof/>
        </w:rPr>
        <w:t>9</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C1" w:rsidRPr="002A4EDA" w:rsidRDefault="008969C1">
    <w:pPr>
      <w:pStyle w:val="Sidefod"/>
    </w:pPr>
    <w:r w:rsidRPr="002A4EDA">
      <w:t xml:space="preserve">Side </w:t>
    </w:r>
    <w:r w:rsidRPr="002A4EDA">
      <w:fldChar w:fldCharType="begin"/>
    </w:r>
    <w:r w:rsidRPr="002A4EDA">
      <w:instrText xml:space="preserve"> PAGE </w:instrText>
    </w:r>
    <w:r w:rsidRPr="002A4EDA">
      <w:fldChar w:fldCharType="separate"/>
    </w:r>
    <w:r w:rsidR="0053407F">
      <w:rPr>
        <w:noProof/>
      </w:rPr>
      <w:t>1</w:t>
    </w:r>
    <w:r w:rsidRPr="002A4EDA">
      <w:fldChar w:fldCharType="end"/>
    </w:r>
    <w:r w:rsidRPr="002A4EDA">
      <w:t>/</w:t>
    </w:r>
    <w:fldSimple w:instr=" NUMPAGES ">
      <w:r w:rsidR="0053407F">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93B" w:rsidRDefault="007E193B" w:rsidP="008969C1">
      <w:pPr>
        <w:spacing w:line="240" w:lineRule="auto"/>
      </w:pPr>
      <w:r>
        <w:separator/>
      </w:r>
    </w:p>
  </w:footnote>
  <w:footnote w:type="continuationSeparator" w:id="0">
    <w:p w:rsidR="007E193B" w:rsidRDefault="007E193B" w:rsidP="00896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07F" w:rsidRDefault="0053407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7E" w:rsidRDefault="00BE7E7E">
    <w:pPr>
      <w:pStyle w:val="Sidehoved"/>
      <w:rPr>
        <w:lang w:eastAsia="da-DK"/>
      </w:rPr>
    </w:pPr>
  </w:p>
  <w:p w:rsidR="008969C1" w:rsidRPr="00BE7E7E" w:rsidRDefault="005340A7" w:rsidP="00BE7E7E">
    <w:pPr>
      <w:pStyle w:val="Sidehoved"/>
      <w:jc w:val="right"/>
      <w:rPr>
        <w:lang w:eastAsia="da-DK"/>
      </w:rPr>
    </w:pPr>
    <w:r w:rsidRPr="00BE7E7E">
      <w:rPr>
        <w:noProof/>
        <w:lang w:eastAsia="da-DK"/>
      </w:rPr>
      <w:drawing>
        <wp:anchor distT="0" distB="0" distL="114300" distR="114300" simplePos="0" relativeHeight="251656704" behindDoc="0" locked="0" layoutInCell="1" allowOverlap="1" wp14:anchorId="043588DD" wp14:editId="14D04800">
          <wp:simplePos x="0" y="0"/>
          <wp:positionH relativeFrom="page">
            <wp:posOffset>4842510</wp:posOffset>
          </wp:positionH>
          <wp:positionV relativeFrom="page">
            <wp:posOffset>396970</wp:posOffset>
          </wp:positionV>
          <wp:extent cx="2203200" cy="694800"/>
          <wp:effectExtent l="0" t="0" r="6985"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S_RGB_DK.png"/>
                  <pic:cNvPicPr/>
                </pic:nvPicPr>
                <pic:blipFill>
                  <a:blip r:embed="rId1">
                    <a:extLst>
                      <a:ext uri="{28A0092B-C50C-407E-A947-70E740481C1C}">
                        <a14:useLocalDpi xmlns:a14="http://schemas.microsoft.com/office/drawing/2010/main" val="0"/>
                      </a:ext>
                    </a:extLst>
                  </a:blip>
                  <a:stretch>
                    <a:fillRect/>
                  </a:stretch>
                </pic:blipFill>
                <pic:spPr>
                  <a:xfrm>
                    <a:off x="0" y="0"/>
                    <a:ext cx="2203200" cy="69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1AD" w:rsidRDefault="009231AD">
    <w:pPr>
      <w:pStyle w:val="Sidehoved"/>
    </w:pPr>
  </w:p>
  <w:p w:rsidR="009231AD" w:rsidRDefault="009231AD" w:rsidP="009231AD">
    <w:pPr>
      <w:pStyle w:val="Sidehoved"/>
      <w:jc w:val="right"/>
    </w:pPr>
  </w:p>
  <w:p w:rsidR="009231AD" w:rsidRDefault="009231AD" w:rsidP="009231AD">
    <w:pPr>
      <w:pStyle w:val="Sidehoved"/>
      <w:jc w:val="right"/>
    </w:pPr>
  </w:p>
  <w:p w:rsidR="009231AD" w:rsidRDefault="009231AD" w:rsidP="009231AD">
    <w:pPr>
      <w:pStyle w:val="Sidehoved"/>
      <w:jc w:val="right"/>
    </w:pPr>
  </w:p>
  <w:p w:rsidR="009231AD" w:rsidRDefault="009231AD" w:rsidP="009231AD">
    <w:pPr>
      <w:pStyle w:val="Sidehoved"/>
      <w:jc w:val="right"/>
    </w:pPr>
  </w:p>
  <w:p w:rsidR="008969C1" w:rsidRDefault="005340A7" w:rsidP="009231AD">
    <w:pPr>
      <w:pStyle w:val="Sidehoved"/>
      <w:jc w:val="right"/>
    </w:pPr>
    <w:bookmarkStart w:id="18" w:name="_GoBack"/>
    <w:bookmarkEnd w:id="18"/>
    <w:r>
      <w:rPr>
        <w:noProof/>
        <w:lang w:eastAsia="da-DK"/>
      </w:rPr>
      <w:drawing>
        <wp:anchor distT="0" distB="0" distL="114300" distR="114300" simplePos="0" relativeHeight="251662336" behindDoc="0" locked="0" layoutInCell="1" allowOverlap="1" wp14:anchorId="208F7903" wp14:editId="3B221978">
          <wp:simplePos x="0" y="0"/>
          <wp:positionH relativeFrom="page">
            <wp:posOffset>4842510</wp:posOffset>
          </wp:positionH>
          <wp:positionV relativeFrom="page">
            <wp:posOffset>396240</wp:posOffset>
          </wp:positionV>
          <wp:extent cx="2203200" cy="694800"/>
          <wp:effectExtent l="0" t="0" r="6985" b="0"/>
          <wp:wrapNone/>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S_RGB_DK.png"/>
                  <pic:cNvPicPr/>
                </pic:nvPicPr>
                <pic:blipFill>
                  <a:blip r:embed="rId1">
                    <a:extLst>
                      <a:ext uri="{28A0092B-C50C-407E-A947-70E740481C1C}">
                        <a14:useLocalDpi xmlns:a14="http://schemas.microsoft.com/office/drawing/2010/main" val="0"/>
                      </a:ext>
                    </a:extLst>
                  </a:blip>
                  <a:stretch>
                    <a:fillRect/>
                  </a:stretch>
                </pic:blipFill>
                <pic:spPr>
                  <a:xfrm>
                    <a:off x="0" y="0"/>
                    <a:ext cx="2203200" cy="694800"/>
                  </a:xfrm>
                  <a:prstGeom prst="rect">
                    <a:avLst/>
                  </a:prstGeom>
                </pic:spPr>
              </pic:pic>
            </a:graphicData>
          </a:graphic>
          <wp14:sizeRelH relativeFrom="margin">
            <wp14:pctWidth>0</wp14:pctWidth>
          </wp14:sizeRelH>
          <wp14:sizeRelV relativeFrom="margin">
            <wp14:pctHeight>0</wp14:pctHeight>
          </wp14:sizeRelV>
        </wp:anchor>
      </w:drawing>
    </w:r>
  </w:p>
  <w:p w:rsidR="00F60491" w:rsidRDefault="00F6049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7F8"/>
    <w:multiLevelType w:val="hybridMultilevel"/>
    <w:tmpl w:val="0C14CB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5347B08"/>
    <w:multiLevelType w:val="hybridMultilevel"/>
    <w:tmpl w:val="28D25268"/>
    <w:lvl w:ilvl="0" w:tplc="A2926098">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F3551F4"/>
    <w:multiLevelType w:val="hybridMultilevel"/>
    <w:tmpl w:val="8D6AB4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031511D"/>
    <w:multiLevelType w:val="hybridMultilevel"/>
    <w:tmpl w:val="955EC8B0"/>
    <w:lvl w:ilvl="0" w:tplc="585E6F5C">
      <w:start w:val="25"/>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59237B"/>
    <w:multiLevelType w:val="hybridMultilevel"/>
    <w:tmpl w:val="A3BE5DF2"/>
    <w:lvl w:ilvl="0" w:tplc="484E5FEE">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CD2FE0"/>
    <w:multiLevelType w:val="hybridMultilevel"/>
    <w:tmpl w:val="22104276"/>
    <w:lvl w:ilvl="0" w:tplc="0A20CFDE">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72E47F4"/>
    <w:multiLevelType w:val="hybridMultilevel"/>
    <w:tmpl w:val="122A3B58"/>
    <w:lvl w:ilvl="0" w:tplc="C6067AD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5D44D39"/>
    <w:multiLevelType w:val="hybridMultilevel"/>
    <w:tmpl w:val="A156E6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77E272A"/>
    <w:multiLevelType w:val="hybridMultilevel"/>
    <w:tmpl w:val="82A80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61F5CFA"/>
    <w:multiLevelType w:val="hybridMultilevel"/>
    <w:tmpl w:val="7E641F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7"/>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4B"/>
    <w:rsid w:val="00003445"/>
    <w:rsid w:val="00022817"/>
    <w:rsid w:val="00036061"/>
    <w:rsid w:val="00046947"/>
    <w:rsid w:val="00065C74"/>
    <w:rsid w:val="00076B05"/>
    <w:rsid w:val="00083F46"/>
    <w:rsid w:val="00086163"/>
    <w:rsid w:val="00090CD8"/>
    <w:rsid w:val="000949BB"/>
    <w:rsid w:val="000A08E2"/>
    <w:rsid w:val="000F251F"/>
    <w:rsid w:val="000F6A5A"/>
    <w:rsid w:val="00101D62"/>
    <w:rsid w:val="00137C51"/>
    <w:rsid w:val="00140AB1"/>
    <w:rsid w:val="00140C61"/>
    <w:rsid w:val="00145D48"/>
    <w:rsid w:val="00166D51"/>
    <w:rsid w:val="00176873"/>
    <w:rsid w:val="00192F2C"/>
    <w:rsid w:val="001D78D1"/>
    <w:rsid w:val="001E6881"/>
    <w:rsid w:val="002237B7"/>
    <w:rsid w:val="00224F72"/>
    <w:rsid w:val="002357A2"/>
    <w:rsid w:val="002464D8"/>
    <w:rsid w:val="00256559"/>
    <w:rsid w:val="002611C9"/>
    <w:rsid w:val="00267923"/>
    <w:rsid w:val="00270DD0"/>
    <w:rsid w:val="00273ABE"/>
    <w:rsid w:val="0027768F"/>
    <w:rsid w:val="00281CCD"/>
    <w:rsid w:val="00282079"/>
    <w:rsid w:val="002861AB"/>
    <w:rsid w:val="00296E6F"/>
    <w:rsid w:val="00297793"/>
    <w:rsid w:val="002A4EDA"/>
    <w:rsid w:val="002C5948"/>
    <w:rsid w:val="002D6E48"/>
    <w:rsid w:val="002E341E"/>
    <w:rsid w:val="002F5DE4"/>
    <w:rsid w:val="00302435"/>
    <w:rsid w:val="0030265A"/>
    <w:rsid w:val="0034007A"/>
    <w:rsid w:val="00347BCC"/>
    <w:rsid w:val="003504D0"/>
    <w:rsid w:val="003526F5"/>
    <w:rsid w:val="00352DBE"/>
    <w:rsid w:val="00360A9B"/>
    <w:rsid w:val="003622B2"/>
    <w:rsid w:val="0036669D"/>
    <w:rsid w:val="00375A10"/>
    <w:rsid w:val="003904A4"/>
    <w:rsid w:val="00396B24"/>
    <w:rsid w:val="003B31EC"/>
    <w:rsid w:val="003B5DBB"/>
    <w:rsid w:val="003B72A0"/>
    <w:rsid w:val="003C7839"/>
    <w:rsid w:val="003F4C0A"/>
    <w:rsid w:val="003F59B5"/>
    <w:rsid w:val="004015C6"/>
    <w:rsid w:val="0040437E"/>
    <w:rsid w:val="00405925"/>
    <w:rsid w:val="004129C4"/>
    <w:rsid w:val="00417A2F"/>
    <w:rsid w:val="0044253B"/>
    <w:rsid w:val="004456A7"/>
    <w:rsid w:val="004617BC"/>
    <w:rsid w:val="00466DB6"/>
    <w:rsid w:val="004704DA"/>
    <w:rsid w:val="00485FD6"/>
    <w:rsid w:val="004D2196"/>
    <w:rsid w:val="004D5CFB"/>
    <w:rsid w:val="004F5C81"/>
    <w:rsid w:val="00527652"/>
    <w:rsid w:val="0053407F"/>
    <w:rsid w:val="005340A7"/>
    <w:rsid w:val="00536C56"/>
    <w:rsid w:val="005404E1"/>
    <w:rsid w:val="00542AC3"/>
    <w:rsid w:val="005523C8"/>
    <w:rsid w:val="00553E4E"/>
    <w:rsid w:val="00572B91"/>
    <w:rsid w:val="00583988"/>
    <w:rsid w:val="005C0390"/>
    <w:rsid w:val="005C0576"/>
    <w:rsid w:val="005D4967"/>
    <w:rsid w:val="005E55C4"/>
    <w:rsid w:val="005F03B7"/>
    <w:rsid w:val="0060024A"/>
    <w:rsid w:val="00600A72"/>
    <w:rsid w:val="00603914"/>
    <w:rsid w:val="0061425B"/>
    <w:rsid w:val="006163F4"/>
    <w:rsid w:val="006202F5"/>
    <w:rsid w:val="006536DA"/>
    <w:rsid w:val="00665F29"/>
    <w:rsid w:val="006665AA"/>
    <w:rsid w:val="00671A85"/>
    <w:rsid w:val="00674638"/>
    <w:rsid w:val="006803EB"/>
    <w:rsid w:val="006B0F8D"/>
    <w:rsid w:val="006B4080"/>
    <w:rsid w:val="006C77E7"/>
    <w:rsid w:val="006D6065"/>
    <w:rsid w:val="006D6210"/>
    <w:rsid w:val="006E17AD"/>
    <w:rsid w:val="006E249C"/>
    <w:rsid w:val="006E691D"/>
    <w:rsid w:val="007101B6"/>
    <w:rsid w:val="00721870"/>
    <w:rsid w:val="00742118"/>
    <w:rsid w:val="007636C2"/>
    <w:rsid w:val="00764AD4"/>
    <w:rsid w:val="00766674"/>
    <w:rsid w:val="007705F3"/>
    <w:rsid w:val="00797EE7"/>
    <w:rsid w:val="007A01AB"/>
    <w:rsid w:val="007E193B"/>
    <w:rsid w:val="00800E2B"/>
    <w:rsid w:val="00802C9E"/>
    <w:rsid w:val="00811966"/>
    <w:rsid w:val="00815838"/>
    <w:rsid w:val="008176EC"/>
    <w:rsid w:val="0084019C"/>
    <w:rsid w:val="00840D2F"/>
    <w:rsid w:val="0084181A"/>
    <w:rsid w:val="00842FE4"/>
    <w:rsid w:val="00845013"/>
    <w:rsid w:val="00863DF5"/>
    <w:rsid w:val="00880790"/>
    <w:rsid w:val="008969C1"/>
    <w:rsid w:val="008F2666"/>
    <w:rsid w:val="009102A5"/>
    <w:rsid w:val="009231AD"/>
    <w:rsid w:val="00923F35"/>
    <w:rsid w:val="0095324B"/>
    <w:rsid w:val="00982DCE"/>
    <w:rsid w:val="0098665A"/>
    <w:rsid w:val="009D6480"/>
    <w:rsid w:val="009E6E8F"/>
    <w:rsid w:val="00A114A2"/>
    <w:rsid w:val="00A46851"/>
    <w:rsid w:val="00A51A49"/>
    <w:rsid w:val="00A53C43"/>
    <w:rsid w:val="00A57B9B"/>
    <w:rsid w:val="00A642DD"/>
    <w:rsid w:val="00A67BEA"/>
    <w:rsid w:val="00A71B0B"/>
    <w:rsid w:val="00A73D5F"/>
    <w:rsid w:val="00A8207A"/>
    <w:rsid w:val="00A8612B"/>
    <w:rsid w:val="00A9284C"/>
    <w:rsid w:val="00A96F42"/>
    <w:rsid w:val="00A97528"/>
    <w:rsid w:val="00AB0C29"/>
    <w:rsid w:val="00AB4885"/>
    <w:rsid w:val="00AC60EA"/>
    <w:rsid w:val="00AD284B"/>
    <w:rsid w:val="00AF2183"/>
    <w:rsid w:val="00AF7328"/>
    <w:rsid w:val="00B06FDA"/>
    <w:rsid w:val="00B1566A"/>
    <w:rsid w:val="00B262FB"/>
    <w:rsid w:val="00B536E9"/>
    <w:rsid w:val="00B6691C"/>
    <w:rsid w:val="00B85EA0"/>
    <w:rsid w:val="00BA0FCB"/>
    <w:rsid w:val="00BB7211"/>
    <w:rsid w:val="00BD2772"/>
    <w:rsid w:val="00BD38B9"/>
    <w:rsid w:val="00BE06B2"/>
    <w:rsid w:val="00BE7E7E"/>
    <w:rsid w:val="00BF4B87"/>
    <w:rsid w:val="00C17A9E"/>
    <w:rsid w:val="00C20E5C"/>
    <w:rsid w:val="00C33402"/>
    <w:rsid w:val="00C52B70"/>
    <w:rsid w:val="00C651CC"/>
    <w:rsid w:val="00C66988"/>
    <w:rsid w:val="00C81EEE"/>
    <w:rsid w:val="00CA3ED5"/>
    <w:rsid w:val="00CB3A7C"/>
    <w:rsid w:val="00CC7985"/>
    <w:rsid w:val="00CD3CC8"/>
    <w:rsid w:val="00CE0E31"/>
    <w:rsid w:val="00CF0616"/>
    <w:rsid w:val="00CF231E"/>
    <w:rsid w:val="00CF3F0F"/>
    <w:rsid w:val="00D1257F"/>
    <w:rsid w:val="00D12E7B"/>
    <w:rsid w:val="00D357CF"/>
    <w:rsid w:val="00D43641"/>
    <w:rsid w:val="00D61A83"/>
    <w:rsid w:val="00D93447"/>
    <w:rsid w:val="00D934AC"/>
    <w:rsid w:val="00DA7419"/>
    <w:rsid w:val="00DD1186"/>
    <w:rsid w:val="00DE4881"/>
    <w:rsid w:val="00E00000"/>
    <w:rsid w:val="00E01DAE"/>
    <w:rsid w:val="00E204B9"/>
    <w:rsid w:val="00E274FD"/>
    <w:rsid w:val="00E452E8"/>
    <w:rsid w:val="00E65202"/>
    <w:rsid w:val="00E67D00"/>
    <w:rsid w:val="00E7564E"/>
    <w:rsid w:val="00E827C0"/>
    <w:rsid w:val="00E85F94"/>
    <w:rsid w:val="00EB2F77"/>
    <w:rsid w:val="00EB3400"/>
    <w:rsid w:val="00EB579D"/>
    <w:rsid w:val="00EC6D2B"/>
    <w:rsid w:val="00ED066E"/>
    <w:rsid w:val="00F214EC"/>
    <w:rsid w:val="00F300B1"/>
    <w:rsid w:val="00F310B3"/>
    <w:rsid w:val="00F53802"/>
    <w:rsid w:val="00F60491"/>
    <w:rsid w:val="00F714AB"/>
    <w:rsid w:val="00FA6F76"/>
    <w:rsid w:val="00FB0385"/>
    <w:rsid w:val="00FD1590"/>
    <w:rsid w:val="00FE0C6A"/>
    <w:rsid w:val="00FE0C6F"/>
    <w:rsid w:val="00FE3A15"/>
    <w:rsid w:val="00FE5957"/>
    <w:rsid w:val="00FE71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141C488"/>
  <w15:docId w15:val="{19124EEE-1184-4FA5-B1B1-31D906EB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C4"/>
    <w:pPr>
      <w:spacing w:after="0" w:line="280" w:lineRule="atLeast"/>
    </w:pPr>
    <w:rPr>
      <w:rFonts w:ascii="Arial" w:hAnsi="Arial"/>
      <w:sz w:val="20"/>
    </w:rPr>
  </w:style>
  <w:style w:type="paragraph" w:styleId="Overskrift1">
    <w:name w:val="heading 1"/>
    <w:basedOn w:val="Normal"/>
    <w:next w:val="Normal"/>
    <w:link w:val="Overskrift1Tegn"/>
    <w:uiPriority w:val="9"/>
    <w:qFormat/>
    <w:rsid w:val="00FA6F76"/>
    <w:pPr>
      <w:keepNext/>
      <w:keepLines/>
      <w:spacing w:before="480"/>
      <w:outlineLvl w:val="0"/>
    </w:pPr>
    <w:rPr>
      <w:rFonts w:asciiTheme="majorHAnsi" w:eastAsiaTheme="majorEastAsia" w:hAnsiTheme="majorHAnsi" w:cstheme="majorBidi"/>
      <w:b/>
      <w:bCs/>
      <w:color w:val="00707D" w:themeColor="accent1" w:themeShade="BF"/>
      <w:sz w:val="28"/>
      <w:szCs w:val="28"/>
    </w:rPr>
  </w:style>
  <w:style w:type="paragraph" w:styleId="Overskrift2">
    <w:name w:val="heading 2"/>
    <w:basedOn w:val="Normal"/>
    <w:next w:val="Normal"/>
    <w:link w:val="Overskrift2Tegn"/>
    <w:uiPriority w:val="9"/>
    <w:unhideWhenUsed/>
    <w:qFormat/>
    <w:rsid w:val="00192F2C"/>
    <w:pPr>
      <w:keepNext/>
      <w:keepLines/>
      <w:spacing w:before="200"/>
      <w:outlineLvl w:val="1"/>
    </w:pPr>
    <w:rPr>
      <w:rFonts w:asciiTheme="majorHAnsi" w:eastAsiaTheme="majorEastAsia" w:hAnsiTheme="majorHAnsi" w:cstheme="majorBidi"/>
      <w:b/>
      <w:bCs/>
      <w:color w:val="0097A7" w:themeColor="accent1"/>
      <w:sz w:val="26"/>
      <w:szCs w:val="26"/>
    </w:rPr>
  </w:style>
  <w:style w:type="paragraph" w:styleId="Overskrift3">
    <w:name w:val="heading 3"/>
    <w:basedOn w:val="Normal"/>
    <w:next w:val="Normal"/>
    <w:link w:val="Overskrift3Tegn"/>
    <w:uiPriority w:val="9"/>
    <w:unhideWhenUsed/>
    <w:qFormat/>
    <w:rsid w:val="00A67BEA"/>
    <w:pPr>
      <w:keepNext/>
      <w:keepLines/>
      <w:spacing w:before="200"/>
      <w:outlineLvl w:val="2"/>
    </w:pPr>
    <w:rPr>
      <w:rFonts w:asciiTheme="majorHAnsi" w:eastAsiaTheme="majorEastAsia" w:hAnsiTheme="majorHAnsi" w:cstheme="majorBidi"/>
      <w:b/>
      <w:bCs/>
      <w:color w:val="0097A7" w:themeColor="accent1"/>
    </w:rPr>
  </w:style>
  <w:style w:type="paragraph" w:styleId="Overskrift4">
    <w:name w:val="heading 4"/>
    <w:basedOn w:val="Normal"/>
    <w:next w:val="Normal"/>
    <w:link w:val="Overskrift4Tegn"/>
    <w:uiPriority w:val="9"/>
    <w:unhideWhenUsed/>
    <w:qFormat/>
    <w:rsid w:val="0044253B"/>
    <w:pPr>
      <w:keepNext/>
      <w:keepLines/>
      <w:spacing w:before="200"/>
      <w:outlineLvl w:val="3"/>
    </w:pPr>
    <w:rPr>
      <w:rFonts w:asciiTheme="majorHAnsi" w:eastAsiaTheme="majorEastAsia" w:hAnsiTheme="majorHAnsi" w:cstheme="majorBidi"/>
      <w:b/>
      <w:bCs/>
      <w:i/>
      <w:iCs/>
      <w:color w:val="0097A7"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969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69C1"/>
  </w:style>
  <w:style w:type="paragraph" w:styleId="Sidefod">
    <w:name w:val="footer"/>
    <w:basedOn w:val="Normal"/>
    <w:link w:val="SidefodTegn"/>
    <w:uiPriority w:val="99"/>
    <w:unhideWhenUsed/>
    <w:rsid w:val="008969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69C1"/>
  </w:style>
  <w:style w:type="paragraph" w:styleId="Markeringsbobletekst">
    <w:name w:val="Balloon Text"/>
    <w:basedOn w:val="Normal"/>
    <w:link w:val="MarkeringsbobletekstTegn"/>
    <w:uiPriority w:val="99"/>
    <w:semiHidden/>
    <w:unhideWhenUsed/>
    <w:rsid w:val="008969C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969C1"/>
    <w:rPr>
      <w:rFonts w:ascii="Tahoma" w:hAnsi="Tahoma" w:cs="Tahoma"/>
      <w:sz w:val="16"/>
      <w:szCs w:val="16"/>
    </w:rPr>
  </w:style>
  <w:style w:type="table" w:styleId="Tabel-Gitter">
    <w:name w:val="Table Grid"/>
    <w:basedOn w:val="Tabel-Normal"/>
    <w:rsid w:val="008F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B4885"/>
    <w:rPr>
      <w:color w:val="0000FF" w:themeColor="hyperlink"/>
      <w:u w:val="single"/>
    </w:rPr>
  </w:style>
  <w:style w:type="paragraph" w:styleId="Titel">
    <w:name w:val="Title"/>
    <w:basedOn w:val="Normal"/>
    <w:next w:val="Normal"/>
    <w:link w:val="TitelTegn"/>
    <w:uiPriority w:val="10"/>
    <w:qFormat/>
    <w:rsid w:val="0095324B"/>
    <w:pPr>
      <w:pBdr>
        <w:bottom w:val="single" w:sz="8" w:space="4" w:color="0097A7"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5324B"/>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FA6F76"/>
    <w:rPr>
      <w:rFonts w:asciiTheme="majorHAnsi" w:eastAsiaTheme="majorEastAsia" w:hAnsiTheme="majorHAnsi" w:cstheme="majorBidi"/>
      <w:b/>
      <w:bCs/>
      <w:color w:val="00707D" w:themeColor="accent1" w:themeShade="BF"/>
      <w:sz w:val="28"/>
      <w:szCs w:val="28"/>
    </w:rPr>
  </w:style>
  <w:style w:type="paragraph" w:styleId="Listeafsnit">
    <w:name w:val="List Paragraph"/>
    <w:basedOn w:val="Normal"/>
    <w:uiPriority w:val="34"/>
    <w:qFormat/>
    <w:rsid w:val="002F5DE4"/>
    <w:pPr>
      <w:ind w:left="720"/>
      <w:contextualSpacing/>
    </w:pPr>
  </w:style>
  <w:style w:type="character" w:styleId="Kraftigfremhvning">
    <w:name w:val="Intense Emphasis"/>
    <w:basedOn w:val="Standardskrifttypeiafsnit"/>
    <w:uiPriority w:val="21"/>
    <w:qFormat/>
    <w:rsid w:val="00192F2C"/>
    <w:rPr>
      <w:b/>
      <w:bCs/>
      <w:i/>
      <w:iCs/>
      <w:color w:val="0097A7" w:themeColor="accent1"/>
    </w:rPr>
  </w:style>
  <w:style w:type="character" w:customStyle="1" w:styleId="Overskrift2Tegn">
    <w:name w:val="Overskrift 2 Tegn"/>
    <w:basedOn w:val="Standardskrifttypeiafsnit"/>
    <w:link w:val="Overskrift2"/>
    <w:uiPriority w:val="9"/>
    <w:rsid w:val="00192F2C"/>
    <w:rPr>
      <w:rFonts w:asciiTheme="majorHAnsi" w:eastAsiaTheme="majorEastAsia" w:hAnsiTheme="majorHAnsi" w:cstheme="majorBidi"/>
      <w:b/>
      <w:bCs/>
      <w:color w:val="0097A7" w:themeColor="accent1"/>
      <w:sz w:val="26"/>
      <w:szCs w:val="26"/>
    </w:rPr>
  </w:style>
  <w:style w:type="character" w:customStyle="1" w:styleId="Overskrift3Tegn">
    <w:name w:val="Overskrift 3 Tegn"/>
    <w:basedOn w:val="Standardskrifttypeiafsnit"/>
    <w:link w:val="Overskrift3"/>
    <w:uiPriority w:val="9"/>
    <w:rsid w:val="00A67BEA"/>
    <w:rPr>
      <w:rFonts w:asciiTheme="majorHAnsi" w:eastAsiaTheme="majorEastAsia" w:hAnsiTheme="majorHAnsi" w:cstheme="majorBidi"/>
      <w:b/>
      <w:bCs/>
      <w:color w:val="0097A7" w:themeColor="accent1"/>
      <w:sz w:val="20"/>
    </w:rPr>
  </w:style>
  <w:style w:type="paragraph" w:styleId="Ingenafstand">
    <w:name w:val="No Spacing"/>
    <w:uiPriority w:val="1"/>
    <w:qFormat/>
    <w:rsid w:val="00A51A49"/>
    <w:pPr>
      <w:spacing w:after="0" w:line="240" w:lineRule="auto"/>
    </w:pPr>
    <w:rPr>
      <w:rFonts w:ascii="Arial" w:hAnsi="Arial"/>
      <w:sz w:val="20"/>
    </w:rPr>
  </w:style>
  <w:style w:type="table" w:styleId="Lysliste-fremhvningsfarve6">
    <w:name w:val="Light List Accent 6"/>
    <w:basedOn w:val="Tabel-Normal"/>
    <w:uiPriority w:val="61"/>
    <w:rsid w:val="00A51A49"/>
    <w:pPr>
      <w:spacing w:after="0" w:line="240" w:lineRule="auto"/>
    </w:pPr>
    <w:tblPr>
      <w:tblStyleRowBandSize w:val="1"/>
      <w:tblStyleColBandSize w:val="1"/>
      <w:tblBorders>
        <w:top w:val="single" w:sz="8" w:space="0" w:color="0091EA" w:themeColor="accent6"/>
        <w:left w:val="single" w:sz="8" w:space="0" w:color="0091EA" w:themeColor="accent6"/>
        <w:bottom w:val="single" w:sz="8" w:space="0" w:color="0091EA" w:themeColor="accent6"/>
        <w:right w:val="single" w:sz="8" w:space="0" w:color="0091EA" w:themeColor="accent6"/>
      </w:tblBorders>
    </w:tblPr>
    <w:tblStylePr w:type="firstRow">
      <w:pPr>
        <w:spacing w:before="0" w:after="0" w:line="240" w:lineRule="auto"/>
      </w:pPr>
      <w:rPr>
        <w:b/>
        <w:bCs/>
        <w:color w:val="FFFFFF" w:themeColor="background1"/>
      </w:rPr>
      <w:tblPr/>
      <w:tcPr>
        <w:shd w:val="clear" w:color="auto" w:fill="0091EA" w:themeFill="accent6"/>
      </w:tcPr>
    </w:tblStylePr>
    <w:tblStylePr w:type="lastRow">
      <w:pPr>
        <w:spacing w:before="0" w:after="0" w:line="240" w:lineRule="auto"/>
      </w:pPr>
      <w:rPr>
        <w:b/>
        <w:bCs/>
      </w:rPr>
      <w:tblPr/>
      <w:tcPr>
        <w:tcBorders>
          <w:top w:val="double" w:sz="6" w:space="0" w:color="0091EA" w:themeColor="accent6"/>
          <w:left w:val="single" w:sz="8" w:space="0" w:color="0091EA" w:themeColor="accent6"/>
          <w:bottom w:val="single" w:sz="8" w:space="0" w:color="0091EA" w:themeColor="accent6"/>
          <w:right w:val="single" w:sz="8" w:space="0" w:color="0091EA" w:themeColor="accent6"/>
        </w:tcBorders>
      </w:tcPr>
    </w:tblStylePr>
    <w:tblStylePr w:type="firstCol">
      <w:rPr>
        <w:b/>
        <w:bCs/>
      </w:rPr>
    </w:tblStylePr>
    <w:tblStylePr w:type="lastCol">
      <w:rPr>
        <w:b/>
        <w:bCs/>
      </w:rPr>
    </w:tblStylePr>
    <w:tblStylePr w:type="band1Vert">
      <w:tblPr/>
      <w:tcPr>
        <w:tcBorders>
          <w:top w:val="single" w:sz="8" w:space="0" w:color="0091EA" w:themeColor="accent6"/>
          <w:left w:val="single" w:sz="8" w:space="0" w:color="0091EA" w:themeColor="accent6"/>
          <w:bottom w:val="single" w:sz="8" w:space="0" w:color="0091EA" w:themeColor="accent6"/>
          <w:right w:val="single" w:sz="8" w:space="0" w:color="0091EA" w:themeColor="accent6"/>
        </w:tcBorders>
      </w:tcPr>
    </w:tblStylePr>
    <w:tblStylePr w:type="band1Horz">
      <w:tblPr/>
      <w:tcPr>
        <w:tcBorders>
          <w:top w:val="single" w:sz="8" w:space="0" w:color="0091EA" w:themeColor="accent6"/>
          <w:left w:val="single" w:sz="8" w:space="0" w:color="0091EA" w:themeColor="accent6"/>
          <w:bottom w:val="single" w:sz="8" w:space="0" w:color="0091EA" w:themeColor="accent6"/>
          <w:right w:val="single" w:sz="8" w:space="0" w:color="0091EA" w:themeColor="accent6"/>
        </w:tcBorders>
      </w:tcPr>
    </w:tblStylePr>
  </w:style>
  <w:style w:type="table" w:styleId="Lysliste">
    <w:name w:val="Light List"/>
    <w:basedOn w:val="Tabel-Normal"/>
    <w:uiPriority w:val="61"/>
    <w:rsid w:val="0026792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Overskrift4Tegn">
    <w:name w:val="Overskrift 4 Tegn"/>
    <w:basedOn w:val="Standardskrifttypeiafsnit"/>
    <w:link w:val="Overskrift4"/>
    <w:uiPriority w:val="9"/>
    <w:rsid w:val="0044253B"/>
    <w:rPr>
      <w:rFonts w:asciiTheme="majorHAnsi" w:eastAsiaTheme="majorEastAsia" w:hAnsiTheme="majorHAnsi" w:cstheme="majorBidi"/>
      <w:b/>
      <w:bCs/>
      <w:i/>
      <w:iCs/>
      <w:color w:val="0097A7" w:themeColor="accent1"/>
      <w:sz w:val="20"/>
    </w:rPr>
  </w:style>
  <w:style w:type="character" w:styleId="Kommentarhenvisning">
    <w:name w:val="annotation reference"/>
    <w:basedOn w:val="Standardskrifttypeiafsnit"/>
    <w:semiHidden/>
    <w:unhideWhenUsed/>
    <w:rsid w:val="00FE3A15"/>
    <w:rPr>
      <w:sz w:val="16"/>
      <w:szCs w:val="16"/>
    </w:rPr>
  </w:style>
  <w:style w:type="paragraph" w:styleId="Kommentartekst">
    <w:name w:val="annotation text"/>
    <w:basedOn w:val="Normal"/>
    <w:link w:val="KommentartekstTegn"/>
    <w:semiHidden/>
    <w:unhideWhenUsed/>
    <w:rsid w:val="00FE3A15"/>
    <w:pPr>
      <w:spacing w:line="240" w:lineRule="auto"/>
    </w:pPr>
    <w:rPr>
      <w:szCs w:val="20"/>
    </w:rPr>
  </w:style>
  <w:style w:type="character" w:customStyle="1" w:styleId="KommentartekstTegn">
    <w:name w:val="Kommentartekst Tegn"/>
    <w:basedOn w:val="Standardskrifttypeiafsnit"/>
    <w:link w:val="Kommentartekst"/>
    <w:semiHidden/>
    <w:rsid w:val="00FE3A15"/>
    <w:rPr>
      <w:rFonts w:ascii="Arial" w:hAnsi="Arial"/>
      <w:sz w:val="20"/>
      <w:szCs w:val="20"/>
    </w:rPr>
  </w:style>
  <w:style w:type="paragraph" w:styleId="Kommentaremne">
    <w:name w:val="annotation subject"/>
    <w:basedOn w:val="Kommentartekst"/>
    <w:next w:val="Kommentartekst"/>
    <w:link w:val="KommentaremneTegn"/>
    <w:uiPriority w:val="99"/>
    <w:semiHidden/>
    <w:unhideWhenUsed/>
    <w:rsid w:val="00FE3A15"/>
    <w:rPr>
      <w:b/>
      <w:bCs/>
    </w:rPr>
  </w:style>
  <w:style w:type="character" w:customStyle="1" w:styleId="KommentaremneTegn">
    <w:name w:val="Kommentaremne Tegn"/>
    <w:basedOn w:val="KommentartekstTegn"/>
    <w:link w:val="Kommentaremne"/>
    <w:uiPriority w:val="99"/>
    <w:semiHidden/>
    <w:rsid w:val="00FE3A15"/>
    <w:rPr>
      <w:rFonts w:ascii="Arial" w:hAnsi="Arial"/>
      <w:b/>
      <w:bCs/>
      <w:sz w:val="20"/>
      <w:szCs w:val="20"/>
    </w:rPr>
  </w:style>
  <w:style w:type="paragraph" w:customStyle="1" w:styleId="BrdtekstTabel">
    <w:name w:val="Brødtekst_Tabel"/>
    <w:basedOn w:val="Brdtekst"/>
    <w:link w:val="BrdtekstTabelTegn"/>
    <w:rsid w:val="00101D62"/>
    <w:pPr>
      <w:spacing w:before="60" w:after="0" w:line="240" w:lineRule="auto"/>
    </w:pPr>
    <w:rPr>
      <w:rFonts w:ascii="Calibri" w:eastAsia="Times New Roman" w:hAnsi="Calibri" w:cs="Times New Roman"/>
      <w:szCs w:val="24"/>
    </w:rPr>
  </w:style>
  <w:style w:type="character" w:customStyle="1" w:styleId="BrdtekstTabelTegn">
    <w:name w:val="Brødtekst_Tabel Tegn"/>
    <w:basedOn w:val="BrdtekstTegn"/>
    <w:link w:val="BrdtekstTabel"/>
    <w:rsid w:val="00101D62"/>
    <w:rPr>
      <w:rFonts w:ascii="Calibri" w:eastAsia="Times New Roman" w:hAnsi="Calibri" w:cs="Times New Roman"/>
      <w:sz w:val="20"/>
      <w:szCs w:val="24"/>
    </w:rPr>
  </w:style>
  <w:style w:type="paragraph" w:styleId="Overskrift">
    <w:name w:val="TOC Heading"/>
    <w:basedOn w:val="Overskrift1"/>
    <w:next w:val="Normal"/>
    <w:uiPriority w:val="39"/>
    <w:semiHidden/>
    <w:unhideWhenUsed/>
    <w:qFormat/>
    <w:rsid w:val="00101D62"/>
    <w:pPr>
      <w:spacing w:line="276" w:lineRule="auto"/>
      <w:outlineLvl w:val="9"/>
    </w:pPr>
    <w:rPr>
      <w:lang w:eastAsia="da-DK"/>
    </w:rPr>
  </w:style>
  <w:style w:type="paragraph" w:styleId="Indholdsfortegnelse1">
    <w:name w:val="toc 1"/>
    <w:basedOn w:val="Normal"/>
    <w:next w:val="Normal"/>
    <w:autoRedefine/>
    <w:uiPriority w:val="39"/>
    <w:unhideWhenUsed/>
    <w:rsid w:val="005C0576"/>
    <w:pPr>
      <w:tabs>
        <w:tab w:val="right" w:leader="dot" w:pos="9628"/>
      </w:tabs>
      <w:spacing w:after="100"/>
    </w:pPr>
  </w:style>
  <w:style w:type="paragraph" w:styleId="Indholdsfortegnelse2">
    <w:name w:val="toc 2"/>
    <w:basedOn w:val="Normal"/>
    <w:next w:val="Normal"/>
    <w:autoRedefine/>
    <w:uiPriority w:val="39"/>
    <w:unhideWhenUsed/>
    <w:rsid w:val="00101D62"/>
    <w:pPr>
      <w:spacing w:after="100"/>
      <w:ind w:left="200"/>
    </w:pPr>
  </w:style>
  <w:style w:type="paragraph" w:styleId="Brdtekst">
    <w:name w:val="Body Text"/>
    <w:basedOn w:val="Normal"/>
    <w:link w:val="BrdtekstTegn"/>
    <w:uiPriority w:val="99"/>
    <w:semiHidden/>
    <w:unhideWhenUsed/>
    <w:rsid w:val="00101D62"/>
    <w:pPr>
      <w:spacing w:after="120"/>
    </w:pPr>
  </w:style>
  <w:style w:type="character" w:customStyle="1" w:styleId="BrdtekstTegn">
    <w:name w:val="Brødtekst Tegn"/>
    <w:basedOn w:val="Standardskrifttypeiafsnit"/>
    <w:link w:val="Brdtekst"/>
    <w:uiPriority w:val="99"/>
    <w:semiHidden/>
    <w:rsid w:val="00101D62"/>
    <w:rPr>
      <w:rFonts w:ascii="Arial" w:hAnsi="Arial"/>
      <w:sz w:val="20"/>
    </w:rPr>
  </w:style>
  <w:style w:type="paragraph" w:styleId="Billedtekst">
    <w:name w:val="caption"/>
    <w:basedOn w:val="Normal"/>
    <w:next w:val="Normal"/>
    <w:uiPriority w:val="35"/>
    <w:unhideWhenUsed/>
    <w:qFormat/>
    <w:rsid w:val="00B262FB"/>
    <w:pPr>
      <w:spacing w:after="200" w:line="240" w:lineRule="auto"/>
    </w:pPr>
    <w:rPr>
      <w:b/>
      <w:bCs/>
      <w:color w:val="0097A7"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7069">
      <w:bodyDiv w:val="1"/>
      <w:marLeft w:val="0"/>
      <w:marRight w:val="0"/>
      <w:marTop w:val="0"/>
      <w:marBottom w:val="0"/>
      <w:divBdr>
        <w:top w:val="none" w:sz="0" w:space="0" w:color="auto"/>
        <w:left w:val="none" w:sz="0" w:space="0" w:color="auto"/>
        <w:bottom w:val="none" w:sz="0" w:space="0" w:color="auto"/>
        <w:right w:val="none" w:sz="0" w:space="0" w:color="auto"/>
      </w:divBdr>
    </w:div>
    <w:div w:id="494226034">
      <w:bodyDiv w:val="1"/>
      <w:marLeft w:val="0"/>
      <w:marRight w:val="0"/>
      <w:marTop w:val="0"/>
      <w:marBottom w:val="0"/>
      <w:divBdr>
        <w:top w:val="none" w:sz="0" w:space="0" w:color="auto"/>
        <w:left w:val="none" w:sz="0" w:space="0" w:color="auto"/>
        <w:bottom w:val="none" w:sz="0" w:space="0" w:color="auto"/>
        <w:right w:val="none" w:sz="0" w:space="0" w:color="auto"/>
      </w:divBdr>
    </w:div>
    <w:div w:id="604962863">
      <w:bodyDiv w:val="1"/>
      <w:marLeft w:val="0"/>
      <w:marRight w:val="0"/>
      <w:marTop w:val="0"/>
      <w:marBottom w:val="0"/>
      <w:divBdr>
        <w:top w:val="none" w:sz="0" w:space="0" w:color="auto"/>
        <w:left w:val="none" w:sz="0" w:space="0" w:color="auto"/>
        <w:bottom w:val="none" w:sz="0" w:space="0" w:color="auto"/>
        <w:right w:val="none" w:sz="0" w:space="0" w:color="auto"/>
      </w:divBdr>
    </w:div>
    <w:div w:id="1059399237">
      <w:bodyDiv w:val="1"/>
      <w:marLeft w:val="0"/>
      <w:marRight w:val="0"/>
      <w:marTop w:val="0"/>
      <w:marBottom w:val="0"/>
      <w:divBdr>
        <w:top w:val="none" w:sz="0" w:space="0" w:color="auto"/>
        <w:left w:val="none" w:sz="0" w:space="0" w:color="auto"/>
        <w:bottom w:val="none" w:sz="0" w:space="0" w:color="auto"/>
        <w:right w:val="none" w:sz="0" w:space="0" w:color="auto"/>
      </w:divBdr>
    </w:div>
    <w:div w:id="1682704226">
      <w:bodyDiv w:val="1"/>
      <w:marLeft w:val="0"/>
      <w:marRight w:val="0"/>
      <w:marTop w:val="0"/>
      <w:marBottom w:val="0"/>
      <w:divBdr>
        <w:top w:val="none" w:sz="0" w:space="0" w:color="auto"/>
        <w:left w:val="none" w:sz="0" w:space="0" w:color="auto"/>
        <w:bottom w:val="none" w:sz="0" w:space="0" w:color="auto"/>
        <w:right w:val="none" w:sz="0" w:space="0" w:color="auto"/>
      </w:divBdr>
      <w:divsChild>
        <w:div w:id="768741870">
          <w:marLeft w:val="0"/>
          <w:marRight w:val="0"/>
          <w:marTop w:val="0"/>
          <w:marBottom w:val="0"/>
          <w:divBdr>
            <w:top w:val="none" w:sz="0" w:space="0" w:color="auto"/>
            <w:left w:val="none" w:sz="0" w:space="0" w:color="auto"/>
            <w:bottom w:val="none" w:sz="0" w:space="0" w:color="auto"/>
            <w:right w:val="none" w:sz="0" w:space="0" w:color="auto"/>
          </w:divBdr>
          <w:divsChild>
            <w:div w:id="847255805">
              <w:marLeft w:val="0"/>
              <w:marRight w:val="0"/>
              <w:marTop w:val="0"/>
              <w:marBottom w:val="0"/>
              <w:divBdr>
                <w:top w:val="none" w:sz="0" w:space="0" w:color="auto"/>
                <w:left w:val="none" w:sz="0" w:space="0" w:color="auto"/>
                <w:bottom w:val="none" w:sz="0" w:space="0" w:color="auto"/>
                <w:right w:val="none" w:sz="0" w:space="0" w:color="auto"/>
              </w:divBdr>
              <w:divsChild>
                <w:div w:id="1955676086">
                  <w:marLeft w:val="0"/>
                  <w:marRight w:val="0"/>
                  <w:marTop w:val="0"/>
                  <w:marBottom w:val="0"/>
                  <w:divBdr>
                    <w:top w:val="none" w:sz="0" w:space="0" w:color="auto"/>
                    <w:left w:val="none" w:sz="0" w:space="0" w:color="auto"/>
                    <w:bottom w:val="none" w:sz="0" w:space="0" w:color="auto"/>
                    <w:right w:val="none" w:sz="0" w:space="0" w:color="auto"/>
                  </w:divBdr>
                  <w:divsChild>
                    <w:div w:id="1810856795">
                      <w:marLeft w:val="0"/>
                      <w:marRight w:val="0"/>
                      <w:marTop w:val="0"/>
                      <w:marBottom w:val="0"/>
                      <w:divBdr>
                        <w:top w:val="none" w:sz="0" w:space="0" w:color="auto"/>
                        <w:left w:val="none" w:sz="0" w:space="0" w:color="auto"/>
                        <w:bottom w:val="none" w:sz="0" w:space="0" w:color="auto"/>
                        <w:right w:val="none" w:sz="0" w:space="0" w:color="auto"/>
                      </w:divBdr>
                      <w:divsChild>
                        <w:div w:id="1280717940">
                          <w:marLeft w:val="0"/>
                          <w:marRight w:val="0"/>
                          <w:marTop w:val="0"/>
                          <w:marBottom w:val="0"/>
                          <w:divBdr>
                            <w:top w:val="none" w:sz="0" w:space="0" w:color="auto"/>
                            <w:left w:val="none" w:sz="0" w:space="0" w:color="auto"/>
                            <w:bottom w:val="none" w:sz="0" w:space="0" w:color="auto"/>
                            <w:right w:val="none" w:sz="0" w:space="0" w:color="auto"/>
                          </w:divBdr>
                          <w:divsChild>
                            <w:div w:id="1939942759">
                              <w:marLeft w:val="0"/>
                              <w:marRight w:val="0"/>
                              <w:marTop w:val="0"/>
                              <w:marBottom w:val="0"/>
                              <w:divBdr>
                                <w:top w:val="none" w:sz="0" w:space="0" w:color="auto"/>
                                <w:left w:val="none" w:sz="0" w:space="0" w:color="auto"/>
                                <w:bottom w:val="none" w:sz="0" w:space="0" w:color="auto"/>
                                <w:right w:val="none" w:sz="0" w:space="0" w:color="auto"/>
                              </w:divBdr>
                              <w:divsChild>
                                <w:div w:id="1309624358">
                                  <w:marLeft w:val="0"/>
                                  <w:marRight w:val="0"/>
                                  <w:marTop w:val="0"/>
                                  <w:marBottom w:val="0"/>
                                  <w:divBdr>
                                    <w:top w:val="none" w:sz="0" w:space="0" w:color="auto"/>
                                    <w:left w:val="none" w:sz="0" w:space="0" w:color="auto"/>
                                    <w:bottom w:val="none" w:sz="0" w:space="0" w:color="auto"/>
                                    <w:right w:val="none" w:sz="0" w:space="0" w:color="auto"/>
                                  </w:divBdr>
                                  <w:divsChild>
                                    <w:div w:id="656494136">
                                      <w:marLeft w:val="0"/>
                                      <w:marRight w:val="0"/>
                                      <w:marTop w:val="0"/>
                                      <w:marBottom w:val="0"/>
                                      <w:divBdr>
                                        <w:top w:val="none" w:sz="0" w:space="0" w:color="auto"/>
                                        <w:left w:val="none" w:sz="0" w:space="0" w:color="auto"/>
                                        <w:bottom w:val="none" w:sz="0" w:space="0" w:color="auto"/>
                                        <w:right w:val="none" w:sz="0" w:space="0" w:color="auto"/>
                                      </w:divBdr>
                                      <w:divsChild>
                                        <w:div w:id="1694307604">
                                          <w:marLeft w:val="0"/>
                                          <w:marRight w:val="0"/>
                                          <w:marTop w:val="0"/>
                                          <w:marBottom w:val="0"/>
                                          <w:divBdr>
                                            <w:top w:val="none" w:sz="0" w:space="0" w:color="auto"/>
                                            <w:left w:val="none" w:sz="0" w:space="0" w:color="auto"/>
                                            <w:bottom w:val="none" w:sz="0" w:space="0" w:color="auto"/>
                                            <w:right w:val="none" w:sz="0" w:space="0" w:color="auto"/>
                                          </w:divBdr>
                                          <w:divsChild>
                                            <w:div w:id="1812474958">
                                              <w:marLeft w:val="0"/>
                                              <w:marRight w:val="0"/>
                                              <w:marTop w:val="0"/>
                                              <w:marBottom w:val="0"/>
                                              <w:divBdr>
                                                <w:top w:val="none" w:sz="0" w:space="0" w:color="auto"/>
                                                <w:left w:val="none" w:sz="0" w:space="0" w:color="auto"/>
                                                <w:bottom w:val="none" w:sz="0" w:space="0" w:color="auto"/>
                                                <w:right w:val="none" w:sz="0" w:space="0" w:color="auto"/>
                                              </w:divBdr>
                                              <w:divsChild>
                                                <w:div w:id="4461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1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Microsoft_Visio_2003-2010-tegning2.vsd"/><Relationship Id="rId26" Type="http://schemas.openxmlformats.org/officeDocument/2006/relationships/hyperlink" Target="http://grunddata-ejendom-adresse.dk/losningsarkitektur_matriklens_udvidelse" TargetMode="External"/><Relationship Id="rId3" Type="http://schemas.openxmlformats.org/officeDocument/2006/relationships/customXml" Target="../customXml/item3.xml"/><Relationship Id="rId21" Type="http://schemas.openxmlformats.org/officeDocument/2006/relationships/hyperlink" Target="http://arkitekturguiden.digitaliser.dk/grunddata-modelregle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hyperlink" Target="http://grunddata-ejendom-adresse.dk/programdokumentation_ejend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tegning1.vsd"/><Relationship Id="rId20" Type="http://schemas.openxmlformats.org/officeDocument/2006/relationships/package" Target="embeddings/Microsoft_Visio-tegning.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gov.dk/model/diagrammer/" TargetMode="External"/><Relationship Id="rId24" Type="http://schemas.openxmlformats.org/officeDocument/2006/relationships/hyperlink" Target="http://grunddata-ejendom-adresse.dk/file/350779/arbejdspakke_1.pdf"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grunddata-ejendom-adresse.dk/file/557241/dobbelthistorik_adresseprogrammet.pdf"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tegning.vsd"/><Relationship Id="rId22" Type="http://schemas.openxmlformats.org/officeDocument/2006/relationships/hyperlink" Target="http://arkitekturguiden.digitaliser.dk/sites/default/files/ctools/bitemporalitet-v1.2.pdf"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14273\AppData\Local\Milj&#248;ministeriet\Skabeloner\EFKM_Notat_GDS_vDK_01.dotx" TargetMode="External"/></Relationships>
</file>

<file path=word/theme/theme1.xml><?xml version="1.0" encoding="utf-8"?>
<a:theme xmlns:a="http://schemas.openxmlformats.org/drawingml/2006/main" name="Kontortema">
  <a:themeElements>
    <a:clrScheme name="EFKM">
      <a:dk1>
        <a:srgbClr val="000000"/>
      </a:dk1>
      <a:lt1>
        <a:sysClr val="window" lastClr="FFFFFF"/>
      </a:lt1>
      <a:dk2>
        <a:srgbClr val="1F497D"/>
      </a:dk2>
      <a:lt2>
        <a:srgbClr val="1DE2CD"/>
      </a:lt2>
      <a:accent1>
        <a:srgbClr val="0097A7"/>
      </a:accent1>
      <a:accent2>
        <a:srgbClr val="045C65"/>
      </a:accent2>
      <a:accent3>
        <a:srgbClr val="FF5252"/>
      </a:accent3>
      <a:accent4>
        <a:srgbClr val="673AB7"/>
      </a:accent4>
      <a:accent5>
        <a:srgbClr val="0C2D83"/>
      </a:accent5>
      <a:accent6>
        <a:srgbClr val="0091EA"/>
      </a:accent6>
      <a:hlink>
        <a:srgbClr val="0000FF"/>
      </a:hlink>
      <a:folHlink>
        <a:srgbClr val="800080"/>
      </a:folHlink>
    </a:clrScheme>
    <a:fontScheme name="EFKM">
      <a:majorFont>
        <a:latin typeface="Arial"/>
        <a:ea typeface=""/>
        <a:cs typeface=""/>
      </a:majorFont>
      <a:minorFont>
        <a:latin typeface="Aria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5D635E855DEC4CAAD50B26A2E682C8" ma:contentTypeVersion="4" ma:contentTypeDescription="Opret et nyt dokument." ma:contentTypeScope="" ma:versionID="b28303a319d1d024a923557641c259ca">
  <xsd:schema xmlns:xsd="http://www.w3.org/2001/XMLSchema" xmlns:p="http://schemas.microsoft.com/office/2006/metadata/properties" xmlns:ns2="ec628af7-76fd-44be-9dd4-5e3ca972e511" targetNamespace="http://schemas.microsoft.com/office/2006/metadata/properties" ma:root="true" ma:fieldsID="7b5ec0b6cd5888bf36664acb72ed81f4" ns2:_="">
    <xsd:import namespace="ec628af7-76fd-44be-9dd4-5e3ca972e511"/>
    <xsd:element name="properties">
      <xsd:complexType>
        <xsd:sequence>
          <xsd:element name="documentManagement">
            <xsd:complexType>
              <xsd:all>
                <xsd:element ref="ns2:Retningslinje" minOccurs="0"/>
              </xsd:all>
            </xsd:complexType>
          </xsd:element>
        </xsd:sequence>
      </xsd:complexType>
    </xsd:element>
  </xsd:schema>
  <xsd:schema xmlns:xsd="http://www.w3.org/2001/XMLSchema" xmlns:dms="http://schemas.microsoft.com/office/2006/documentManagement/types" targetNamespace="ec628af7-76fd-44be-9dd4-5e3ca972e511" elementFormDefault="qualified">
    <xsd:import namespace="http://schemas.microsoft.com/office/2006/documentManagement/types"/>
    <xsd:element name="Retningslinje" ma:index="8" nillable="true" ma:displayName="Retningslinje" ma:default="Generel retningslinje" ma:format="RadioButtons" ma:internalName="Retningslinje">
      <xsd:simpleType>
        <xsd:restriction base="dms:Choice">
          <xsd:enumeration value="Generel retningslinje"/>
          <xsd:enumeration value="Bygningsretningslinje"/>
          <xsd:enumeration value="Andet"/>
          <xsd:enumeration value="Slett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Retningslinje xmlns="ec628af7-76fd-44be-9dd4-5e3ca972e511">Generel retningslinje</Retningslinj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3DB58-5F19-4554-955C-17BD58A4D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28af7-76fd-44be-9dd4-5e3ca972e51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4D6DB9F-8677-405B-B91A-2B7EF3634978}">
  <ds:schemaRefs>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purl.org/dc/terms/"/>
    <ds:schemaRef ds:uri="ec628af7-76fd-44be-9dd4-5e3ca972e511"/>
    <ds:schemaRef ds:uri="http://schemas.microsoft.com/office/2006/metadata/properties"/>
  </ds:schemaRefs>
</ds:datastoreItem>
</file>

<file path=customXml/itemProps3.xml><?xml version="1.0" encoding="utf-8"?>
<ds:datastoreItem xmlns:ds="http://schemas.openxmlformats.org/officeDocument/2006/customXml" ds:itemID="{326FBE6C-54B1-44FC-9C74-904AB89C38A5}">
  <ds:schemaRefs>
    <ds:schemaRef ds:uri="http://schemas.microsoft.com/sharepoint/v3/contenttype/forms"/>
  </ds:schemaRefs>
</ds:datastoreItem>
</file>

<file path=customXml/itemProps4.xml><?xml version="1.0" encoding="utf-8"?>
<ds:datastoreItem xmlns:ds="http://schemas.openxmlformats.org/officeDocument/2006/customXml" ds:itemID="{5DBE3CD6-60C6-4C1F-A61C-39546E86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EFKM_Notat_GDS_vDK_01.dotx</Template>
  <TotalTime>933</TotalTime>
  <Pages>9</Pages>
  <Words>2441</Words>
  <Characters>14895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www.RiisDATA.com v/Michael Riis Sørensen</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Kjær Hansen, GST</dc:creator>
  <cp:lastModifiedBy>Klaus Kjær Hansen - konsulent</cp:lastModifiedBy>
  <cp:revision>34</cp:revision>
  <dcterms:created xsi:type="dcterms:W3CDTF">2016-06-22T14:10:00Z</dcterms:created>
  <dcterms:modified xsi:type="dcterms:W3CDTF">2018-03-28T08:42:00Z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0x010100A85D635E855DEC4CAAD50B26A2E682C8</vt:lpwstr>
  </property>
  <property fmtid="{D5CDD505-2E9C-101B-9397-08002B2CF9AE}" pid="3" name="ContentRemapped">
    <vt:lpwstr>true</vt:lpwstr>
  </property>
</Properties>
</file>