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2BF08" w14:textId="77777777" w:rsidR="00913D9B" w:rsidRDefault="00000000">
      <w:pPr>
        <w:spacing w:after="60"/>
        <w:jc w:val="center"/>
      </w:pPr>
      <w:r>
        <w:rPr>
          <w:b/>
          <w:bCs/>
          <w:sz w:val="36"/>
          <w:szCs w:val="36"/>
        </w:rPr>
        <w:t>Attune — Evaluationskonzept</w:t>
      </w:r>
    </w:p>
    <w:p w14:paraId="5A9794C2" w14:textId="77777777" w:rsidR="00913D9B" w:rsidRDefault="00000000">
      <w:pPr>
        <w:spacing w:after="360"/>
        <w:jc w:val="center"/>
      </w:pPr>
      <w:r>
        <w:rPr>
          <w:i/>
          <w:iCs/>
          <w:sz w:val="24"/>
          <w:szCs w:val="24"/>
        </w:rPr>
        <w:t>Drei Säulen der Pilotstudie: Usability, Akzeptanz, Wirkung</w:t>
      </w:r>
    </w:p>
    <w:p w14:paraId="0432C440" w14:textId="77777777" w:rsidR="00913D9B" w:rsidRDefault="00000000">
      <w:pPr>
        <w:spacing w:after="360"/>
        <w:jc w:val="center"/>
      </w:pPr>
      <w:r>
        <w:rPr>
          <w:color w:val="666666"/>
          <w:sz w:val="18"/>
          <w:szCs w:val="18"/>
        </w:rPr>
        <w:t>Bestandteil von Kap. 5.4 (Methoden der Datenerhebung) und Kap. 8 (Evaluation) — Stand 28. April 2026</w:t>
      </w:r>
    </w:p>
    <w:p w14:paraId="2A9F82B3" w14:textId="77777777" w:rsidR="00913D9B" w:rsidRDefault="00000000">
      <w:pPr>
        <w:pStyle w:val="berschrift1"/>
      </w:pPr>
      <w:r>
        <w:t>1   Zielsetzung der Evaluation</w:t>
      </w:r>
    </w:p>
    <w:p w14:paraId="4465D063" w14:textId="77777777" w:rsidR="00913D9B" w:rsidRDefault="00000000">
      <w:pPr>
        <w:spacing w:after="120" w:line="300" w:lineRule="auto"/>
        <w:jc w:val="both"/>
      </w:pPr>
      <w:r>
        <w:t>Das Evaluationskonzept stellt die Brücke zwischen dem theoretischen Rahmen (Kap. 2.3), den fünf Bausteinen des Forschungsartefakts (Kap. 3.3) und der prototypischen Umsetzung (Kap. 7) dar. Es prüft drei Fragen, die der Betreuer in der Besprechung vom 23. April 2026 als Mindestumfang einer ernsthaften Beurteilung benannt hat:</w:t>
      </w:r>
    </w:p>
    <w:p w14:paraId="10F84B1F" w14:textId="77777777" w:rsidR="00913D9B" w:rsidRDefault="00000000">
      <w:pPr>
        <w:pStyle w:val="Listenabsatz"/>
        <w:numPr>
          <w:ilvl w:val="0"/>
          <w:numId w:val="2"/>
        </w:numPr>
        <w:spacing w:after="80" w:line="280" w:lineRule="auto"/>
      </w:pPr>
      <w:r>
        <w:t>Lässt sich Attune ohne externe Hilfe bedienen? (Usability)</w:t>
      </w:r>
    </w:p>
    <w:p w14:paraId="20669FFB" w14:textId="77777777" w:rsidR="00913D9B" w:rsidRDefault="00000000">
      <w:pPr>
        <w:pStyle w:val="Listenabsatz"/>
        <w:numPr>
          <w:ilvl w:val="0"/>
          <w:numId w:val="2"/>
        </w:numPr>
        <w:spacing w:after="80" w:line="280" w:lineRule="auto"/>
      </w:pPr>
      <w:r>
        <w:t>Können sich Nutzende vorstellen, das System tatsächlich zu verwenden? (Akzeptanz)</w:t>
      </w:r>
    </w:p>
    <w:p w14:paraId="1C14311C" w14:textId="77777777" w:rsidR="00913D9B" w:rsidRDefault="00000000">
      <w:pPr>
        <w:pStyle w:val="Listenabsatz"/>
        <w:numPr>
          <w:ilvl w:val="0"/>
          <w:numId w:val="2"/>
        </w:numPr>
        <w:spacing w:after="80" w:line="280" w:lineRule="auto"/>
      </w:pPr>
      <w:r>
        <w:t>Stellt sich die im Background-Kapitel postulierte Wirkung — algorithmische Souveränität, Autonomieerleben, weniger getriebene Mediennutzung — in der Praxis ein? (Wirkung)</w:t>
      </w:r>
    </w:p>
    <w:p w14:paraId="4DACB93E" w14:textId="77777777" w:rsidR="00913D9B" w:rsidRDefault="00000000">
      <w:pPr>
        <w:spacing w:after="120" w:line="300" w:lineRule="auto"/>
        <w:jc w:val="both"/>
      </w:pPr>
      <w:r>
        <w:t>Die drei Fragen werden in einer kontrollierten Pilotstudie mit fünf bis acht Testpersonen über sieben Tage beantwortet. Die Studie ist explorativ ausgelegt: sie soll keine inferenzstatistischen Aussagen liefern, sondern Indikatoren für die Tragfähigkeit des Wellbeing-orientierten Modells liefern und konkrete Verbesserungspunkte für die Iteration identifizieren.</w:t>
      </w:r>
    </w:p>
    <w:p w14:paraId="764B5098" w14:textId="77777777" w:rsidR="00913D9B" w:rsidRDefault="00000000">
      <w:pPr>
        <w:spacing w:after="120" w:line="300" w:lineRule="auto"/>
        <w:jc w:val="both"/>
      </w:pPr>
      <w:r>
        <w:t>Die Operationalisierung folgt dem Prinzip „eine Säule, ein etabliertes Instrument, eine theoretische Verankerung”. Damit lässt sich die Diskussion in Kap. 10 unmittelbar an die Beurteilungsgrundlagen aus Kap. 2.3 anschließen, anstatt eigene, untestbare Konstrukte einzuführen.</w:t>
      </w:r>
    </w:p>
    <w:p w14:paraId="425FC597" w14:textId="77777777" w:rsidR="00913D9B" w:rsidRDefault="00000000">
      <w:pPr>
        <w:pStyle w:val="berschrift1"/>
      </w:pPr>
      <w:r>
        <w:t>2   Die drei Evaluationssäulen im Überblick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700"/>
        <w:gridCol w:w="2460"/>
      </w:tblGrid>
      <w:tr w:rsidR="00913D9B" w14:paraId="414057C6" w14:textId="77777777">
        <w:tblPrEx>
          <w:tblCellMar>
            <w:top w:w="0" w:type="dxa"/>
            <w:bottom w:w="0" w:type="dxa"/>
          </w:tblCellMar>
        </w:tblPrEx>
        <w:trPr>
          <w:tblHeader/>
        </w:trPr>
        <w:tc>
          <w:tcPr>
            <w:tcW w:w="1700" w:type="dxa"/>
            <w:tcBorders>
              <w:top w:val="single" w:sz="1" w:space="0" w:color="BFBFBF"/>
              <w:left w:val="single" w:sz="1" w:space="0" w:color="BFBFBF"/>
              <w:bottom w:val="single" w:sz="1" w:space="0" w:color="BFBFBF"/>
              <w:right w:val="single" w:sz="1" w:space="0" w:color="BFBFBF"/>
            </w:tcBorders>
            <w:shd w:val="clear" w:color="auto" w:fill="E7EEF7"/>
            <w:tcMar>
              <w:top w:w="80" w:type="dxa"/>
              <w:left w:w="120" w:type="dxa"/>
              <w:bottom w:w="80" w:type="dxa"/>
              <w:right w:w="120" w:type="dxa"/>
            </w:tcMar>
          </w:tcPr>
          <w:p w14:paraId="6F2BFAC2" w14:textId="77777777" w:rsidR="00913D9B" w:rsidRDefault="00000000">
            <w:pPr>
              <w:spacing w:line="260" w:lineRule="auto"/>
            </w:pPr>
            <w:r>
              <w:rPr>
                <w:b/>
                <w:bCs/>
                <w:sz w:val="20"/>
                <w:szCs w:val="20"/>
              </w:rPr>
              <w:t>Säule</w:t>
            </w:r>
          </w:p>
        </w:tc>
        <w:tc>
          <w:tcPr>
            <w:tcW w:w="2500" w:type="dxa"/>
            <w:tcBorders>
              <w:top w:val="single" w:sz="1" w:space="0" w:color="BFBFBF"/>
              <w:left w:val="single" w:sz="1" w:space="0" w:color="BFBFBF"/>
              <w:bottom w:val="single" w:sz="1" w:space="0" w:color="BFBFBF"/>
              <w:right w:val="single" w:sz="1" w:space="0" w:color="BFBFBF"/>
            </w:tcBorders>
            <w:shd w:val="clear" w:color="auto" w:fill="E7EEF7"/>
            <w:tcMar>
              <w:top w:w="80" w:type="dxa"/>
              <w:left w:w="120" w:type="dxa"/>
              <w:bottom w:w="80" w:type="dxa"/>
              <w:right w:w="120" w:type="dxa"/>
            </w:tcMar>
          </w:tcPr>
          <w:p w14:paraId="053FDA91" w14:textId="77777777" w:rsidR="00913D9B" w:rsidRDefault="00000000">
            <w:pPr>
              <w:spacing w:line="260" w:lineRule="auto"/>
            </w:pPr>
            <w:r>
              <w:rPr>
                <w:b/>
                <w:bCs/>
                <w:sz w:val="20"/>
                <w:szCs w:val="20"/>
              </w:rPr>
              <w:t>Norm / Theorie</w:t>
            </w:r>
          </w:p>
        </w:tc>
        <w:tc>
          <w:tcPr>
            <w:tcW w:w="2700" w:type="dxa"/>
            <w:tcBorders>
              <w:top w:val="single" w:sz="1" w:space="0" w:color="BFBFBF"/>
              <w:left w:val="single" w:sz="1" w:space="0" w:color="BFBFBF"/>
              <w:bottom w:val="single" w:sz="1" w:space="0" w:color="BFBFBF"/>
              <w:right w:val="single" w:sz="1" w:space="0" w:color="BFBFBF"/>
            </w:tcBorders>
            <w:shd w:val="clear" w:color="auto" w:fill="E7EEF7"/>
            <w:tcMar>
              <w:top w:w="80" w:type="dxa"/>
              <w:left w:w="120" w:type="dxa"/>
              <w:bottom w:w="80" w:type="dxa"/>
              <w:right w:w="120" w:type="dxa"/>
            </w:tcMar>
          </w:tcPr>
          <w:p w14:paraId="7DB0AA57" w14:textId="77777777" w:rsidR="00913D9B" w:rsidRDefault="00000000">
            <w:pPr>
              <w:spacing w:line="260" w:lineRule="auto"/>
            </w:pPr>
            <w:r>
              <w:rPr>
                <w:b/>
                <w:bCs/>
                <w:sz w:val="20"/>
                <w:szCs w:val="20"/>
              </w:rPr>
              <w:t>Instrument</w:t>
            </w:r>
          </w:p>
        </w:tc>
        <w:tc>
          <w:tcPr>
            <w:tcW w:w="2460" w:type="dxa"/>
            <w:tcBorders>
              <w:top w:val="single" w:sz="1" w:space="0" w:color="BFBFBF"/>
              <w:left w:val="single" w:sz="1" w:space="0" w:color="BFBFBF"/>
              <w:bottom w:val="single" w:sz="1" w:space="0" w:color="BFBFBF"/>
              <w:right w:val="single" w:sz="1" w:space="0" w:color="BFBFBF"/>
            </w:tcBorders>
            <w:shd w:val="clear" w:color="auto" w:fill="E7EEF7"/>
            <w:tcMar>
              <w:top w:w="80" w:type="dxa"/>
              <w:left w:w="120" w:type="dxa"/>
              <w:bottom w:w="80" w:type="dxa"/>
              <w:right w:w="120" w:type="dxa"/>
            </w:tcMar>
          </w:tcPr>
          <w:p w14:paraId="7D83B840" w14:textId="77777777" w:rsidR="00913D9B" w:rsidRDefault="00000000">
            <w:pPr>
              <w:spacing w:line="260" w:lineRule="auto"/>
            </w:pPr>
            <w:r>
              <w:rPr>
                <w:b/>
                <w:bCs/>
                <w:sz w:val="20"/>
                <w:szCs w:val="20"/>
              </w:rPr>
              <w:t>Anker im Hauptdokument</w:t>
            </w:r>
          </w:p>
        </w:tc>
      </w:tr>
      <w:tr w:rsidR="00913D9B" w14:paraId="751D7432"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C742FC1" w14:textId="77777777" w:rsidR="00913D9B" w:rsidRDefault="00000000">
            <w:pPr>
              <w:spacing w:line="260" w:lineRule="auto"/>
            </w:pPr>
            <w:r>
              <w:rPr>
                <w:sz w:val="20"/>
                <w:szCs w:val="20"/>
              </w:rPr>
              <w:t>Usability</w:t>
            </w:r>
          </w:p>
        </w:tc>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058DD5F" w14:textId="77777777" w:rsidR="00913D9B" w:rsidRDefault="00000000">
            <w:pPr>
              <w:spacing w:line="260" w:lineRule="auto"/>
            </w:pPr>
            <w:r>
              <w:rPr>
                <w:sz w:val="20"/>
                <w:szCs w:val="20"/>
              </w:rPr>
              <w:t>ISO 9241-11:2018 — Effektivität, Effizienz, Zufriedenstellung</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C3172AF" w14:textId="77777777" w:rsidR="00913D9B" w:rsidRDefault="00000000">
            <w:pPr>
              <w:spacing w:line="260" w:lineRule="auto"/>
            </w:pPr>
            <w:r>
              <w:rPr>
                <w:sz w:val="20"/>
                <w:szCs w:val="20"/>
              </w:rPr>
              <w:t>System Usability Scale (SUS), deutsche Fassung; Aufgabenprotokoll; Beobachtungsnotizen</w:t>
            </w:r>
          </w:p>
        </w:tc>
        <w:tc>
          <w:tcPr>
            <w:tcW w:w="2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0097014" w14:textId="77777777" w:rsidR="00913D9B" w:rsidRDefault="00000000">
            <w:pPr>
              <w:spacing w:line="260" w:lineRule="auto"/>
            </w:pPr>
            <w:r>
              <w:rPr>
                <w:sz w:val="20"/>
                <w:szCs w:val="20"/>
              </w:rPr>
              <w:t>Kap. 2.3.5 (SUS); Kap. 8.3.2</w:t>
            </w:r>
          </w:p>
        </w:tc>
      </w:tr>
      <w:tr w:rsidR="00913D9B" w14:paraId="21971C4F"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5FFA691" w14:textId="77777777" w:rsidR="00913D9B" w:rsidRDefault="00000000">
            <w:pPr>
              <w:spacing w:line="260" w:lineRule="auto"/>
            </w:pPr>
            <w:r>
              <w:rPr>
                <w:sz w:val="20"/>
                <w:szCs w:val="20"/>
              </w:rPr>
              <w:t>Akzeptanz</w:t>
            </w:r>
          </w:p>
        </w:tc>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BA5BAA7" w14:textId="77777777" w:rsidR="00913D9B" w:rsidRPr="00B358EA" w:rsidRDefault="00000000">
            <w:pPr>
              <w:spacing w:line="260" w:lineRule="auto"/>
              <w:rPr>
                <w:lang w:val="en-US"/>
              </w:rPr>
            </w:pPr>
            <w:r>
              <w:rPr>
                <w:sz w:val="20"/>
                <w:szCs w:val="20"/>
                <w:lang w:val="en-US"/>
              </w:rPr>
              <w:t>UTAUT2 (Venkatesh et al. 2012) — Performance Expectancy, Effort Expectancy, Hedonic Motivation, Behavioral Intention</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FF6786D" w14:textId="77777777" w:rsidR="00913D9B" w:rsidRDefault="00000000">
            <w:pPr>
              <w:spacing w:line="260" w:lineRule="auto"/>
            </w:pPr>
            <w:r>
              <w:rPr>
                <w:sz w:val="20"/>
                <w:szCs w:val="20"/>
              </w:rPr>
              <w:t>Adaptierter UTAUT2-Kurzfragebogen (12 Items, 7-stufige Likert-Skala)</w:t>
            </w:r>
          </w:p>
        </w:tc>
        <w:tc>
          <w:tcPr>
            <w:tcW w:w="2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D76CCAF" w14:textId="77777777" w:rsidR="00913D9B" w:rsidRDefault="00000000">
            <w:pPr>
              <w:spacing w:line="260" w:lineRule="auto"/>
            </w:pPr>
            <w:r>
              <w:rPr>
                <w:sz w:val="20"/>
                <w:szCs w:val="20"/>
              </w:rPr>
              <w:t>Kap. 2.3.5 (Akzeptanz); Kap. 8.3.2</w:t>
            </w:r>
          </w:p>
        </w:tc>
      </w:tr>
      <w:tr w:rsidR="00913D9B" w14:paraId="0356ECDF"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D25C829" w14:textId="77777777" w:rsidR="00913D9B" w:rsidRDefault="00000000">
            <w:pPr>
              <w:spacing w:line="260" w:lineRule="auto"/>
            </w:pPr>
            <w:r>
              <w:rPr>
                <w:sz w:val="20"/>
                <w:szCs w:val="20"/>
              </w:rPr>
              <w:t>Wirkung</w:t>
            </w:r>
          </w:p>
        </w:tc>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D7C8EFB" w14:textId="77777777" w:rsidR="00913D9B" w:rsidRDefault="00000000">
            <w:pPr>
              <w:spacing w:line="260" w:lineRule="auto"/>
            </w:pPr>
            <w:r>
              <w:rPr>
                <w:sz w:val="20"/>
                <w:szCs w:val="20"/>
              </w:rPr>
              <w:t xml:space="preserve">SDT / METUX (Ryan &amp; Deci 2000; Peters et al. 2018); Digital Wellbeing </w:t>
              <w:lastRenderedPageBreak/>
              <w:t>(Vanden Abeele 2021); algorithmische Souveränität (Reviglio &amp; Agosti 2020)</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E8614F7" w14:textId="77777777" w:rsidR="00913D9B" w:rsidRDefault="00000000">
            <w:pPr>
              <w:spacing w:line="260" w:lineRule="auto"/>
            </w:pPr>
            <w:r>
              <w:rPr>
                <w:sz w:val="20"/>
                <w:szCs w:val="20"/>
              </w:rPr>
              <w:lastRenderedPageBreak/>
              <w:t xml:space="preserve">WHO-5 (Pre/Post); eigene Wirkungs-Items je </w:t>
              <w:lastRenderedPageBreak/>
              <w:t>Baustein; Tagebuch; Abschluss-Interview</w:t>
            </w:r>
          </w:p>
        </w:tc>
        <w:tc>
          <w:tcPr>
            <w:tcW w:w="2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8DF2337" w14:textId="77777777" w:rsidR="00913D9B" w:rsidRDefault="00000000">
            <w:pPr>
              <w:spacing w:line="260" w:lineRule="auto"/>
            </w:pPr>
            <w:r>
              <w:rPr>
                <w:sz w:val="20"/>
                <w:szCs w:val="20"/>
              </w:rPr>
              <w:lastRenderedPageBreak/>
              <w:t>Kap. 2.3.1, 2.3.3, 2.3.4; Kap. 3.3 Bausteine 1–5</w:t>
            </w:r>
          </w:p>
        </w:tc>
      </w:tr>
    </w:tbl>
    <w:p w14:paraId="38C9CC1A" w14:textId="77777777" w:rsidR="00913D9B" w:rsidRDefault="00913D9B">
      <w:pPr>
        <w:spacing w:after="120" w:line="300" w:lineRule="auto"/>
        <w:jc w:val="both"/>
      </w:pPr>
    </w:p>
    <w:p w14:paraId="30A7D7EA" w14:textId="77777777" w:rsidR="00913D9B" w:rsidRDefault="00000000">
      <w:pPr>
        <w:pStyle w:val="berschrift1"/>
      </w:pPr>
      <w:r>
        <w:t>3   Säule 1 — Usability nach ISO 9241-11</w:t>
      </w:r>
    </w:p>
    <w:p w14:paraId="3212F703" w14:textId="77777777" w:rsidR="00913D9B" w:rsidRDefault="00000000">
      <w:pPr>
        <w:pStyle w:val="berschrift2"/>
      </w:pPr>
      <w:r>
        <w:t>3.1   Begriffliche Verankerung</w:t>
      </w:r>
    </w:p>
    <w:p w14:paraId="1C9B011D" w14:textId="0D639BA4" w:rsidR="00913D9B" w:rsidRDefault="00000000">
      <w:pPr>
        <w:spacing w:after="120" w:line="300" w:lineRule="auto"/>
        <w:jc w:val="both"/>
      </w:pPr>
      <w:r>
        <w:t>Die ISO 9241-11:2018 definiert Usability als „das Ausmass, in dem ein System, ein Produkt oder eine Dienstleistung durch bestimmte Nutzer in einem bestimmten Nutzungskontext genutzt werden kann, um bestimmte Ziele effektiv, effizient und zufriedenstellend zu erreichen”. Die drei Komponenten sind:</w:t>
      </w:r>
    </w:p>
    <w:p w14:paraId="018672E8" w14:textId="77777777" w:rsidR="00913D9B" w:rsidRDefault="00000000">
      <w:pPr>
        <w:pStyle w:val="Listenabsatz"/>
        <w:numPr>
          <w:ilvl w:val="0"/>
          <w:numId w:val="2"/>
        </w:numPr>
        <w:spacing w:after="80" w:line="280" w:lineRule="auto"/>
      </w:pPr>
      <w:r>
        <w:t>Effektivität — Genauigkeit und Vollständigkeit, mit der Nutzer ihre Ziele erreichen (z. B. eine Sendung mit eigenen Präferenzen erfolgreich starten).</w:t>
      </w:r>
    </w:p>
    <w:p w14:paraId="1DF2D8B1" w14:textId="77777777" w:rsidR="00913D9B" w:rsidRDefault="00000000">
      <w:pPr>
        <w:pStyle w:val="Listenabsatz"/>
        <w:numPr>
          <w:ilvl w:val="0"/>
          <w:numId w:val="2"/>
        </w:numPr>
        <w:spacing w:after="80" w:line="280" w:lineRule="auto"/>
      </w:pPr>
      <w:r>
        <w:t>Effizienz — eingesetzter Aufwand im Verhältnis zur Genauigkeit und Vollständigkeit (Bedienzeit, Anzahl Fehlversuche).</w:t>
      </w:r>
    </w:p>
    <w:p w14:paraId="086FD0CD" w14:textId="77777777" w:rsidR="00913D9B" w:rsidRDefault="00000000">
      <w:pPr>
        <w:pStyle w:val="Listenabsatz"/>
        <w:numPr>
          <w:ilvl w:val="0"/>
          <w:numId w:val="2"/>
        </w:numPr>
        <w:spacing w:after="80" w:line="280" w:lineRule="auto"/>
      </w:pPr>
      <w:r>
        <w:t>Zufriedenstellung — wahrgenommener Komfort und positive Einstellung gegenüber der Nutzung.</w:t>
      </w:r>
    </w:p>
    <w:p w14:paraId="44AA06ED" w14:textId="77777777" w:rsidR="00913D9B" w:rsidRDefault="00000000">
      <w:pPr>
        <w:spacing w:after="120" w:line="300" w:lineRule="auto"/>
        <w:jc w:val="both"/>
      </w:pPr>
      <w:r>
        <w:t>Die Norm liefert den Rahmen, das konkrete Erhebungsinstrument liefert die Items. Für den vorliegenden Pilot wird die System Usability Scale (SUS) eingesetzt: zehn Items, fünfstufige Likert-Skala, Score 0–100. Bangor, Kortum &amp; Miller (2008) zeigen, dass Werte ab 68 als „akzeptabel” und ab 80 als „exzellent” interpretiert werden können. Die SUS bildet alle drei Komponenten der ISO 9241-11 in komprimierter Form ab und ist im Background-Kapitel 2.3.5 bereits eingeführt.</w:t>
      </w:r>
    </w:p>
    <w:p w14:paraId="49D88801" w14:textId="77777777" w:rsidR="00913D9B" w:rsidRDefault="00000000">
      <w:pPr>
        <w:pStyle w:val="berschrift2"/>
      </w:pPr>
      <w:r>
        <w:t>3.2   Operationalisierung</w:t>
      </w:r>
    </w:p>
    <w:p w14:paraId="12E65EB1" w14:textId="77777777" w:rsidR="00913D9B" w:rsidRDefault="00000000">
      <w:pPr>
        <w:spacing w:after="120" w:line="300" w:lineRule="auto"/>
        <w:jc w:val="both"/>
      </w:pPr>
      <w:r>
        <w:t>Die Erhebung erfolgt zweigleisig:</w:t>
      </w:r>
    </w:p>
    <w:p w14:paraId="2ACB54FD" w14:textId="77777777" w:rsidR="00913D9B" w:rsidRDefault="00000000">
      <w:pPr>
        <w:pStyle w:val="Listenabsatz"/>
        <w:numPr>
          <w:ilvl w:val="0"/>
          <w:numId w:val="2"/>
        </w:numPr>
        <w:spacing w:after="80" w:line="280" w:lineRule="auto"/>
      </w:pPr>
      <w:r>
        <w:t>Quantitativ — SUS-Fragebogen (deutsche Fassung) im Anschluss an die Nutzungswoche. Auswertung als Gesamtscore und nach den von Lewis &amp; Sauro (2009) vorgeschlagenen Subskalen Usable und Learnable.</w:t>
      </w:r>
    </w:p>
    <w:p w14:paraId="55883996" w14:textId="77777777" w:rsidR="00913D9B" w:rsidRDefault="00000000">
      <w:pPr>
        <w:pStyle w:val="Listenabsatz"/>
        <w:numPr>
          <w:ilvl w:val="0"/>
          <w:numId w:val="2"/>
        </w:numPr>
        <w:spacing w:after="80" w:line="280" w:lineRule="auto"/>
      </w:pPr>
      <w:r>
        <w:t>Qualitativ-beobachtend — Aufgabenprotokoll während des Onboardings (Erstellung eines Profils, Start einer Sendung, Wechsel der Präferenzen, Anzeige der Quellen) mit standardisierten Aufgabenformulierungen. Erhoben werden: Erfolg/Misserfolg, Bearbeitungszeit, sichtbare Hürden, Selbstkommentare nach Think-Aloud.</w:t>
      </w:r>
    </w:p>
    <w:p w14:paraId="66161ADD" w14:textId="77777777" w:rsidR="00913D9B" w:rsidRDefault="00000000">
      <w:pPr>
        <w:spacing w:after="120" w:line="300" w:lineRule="auto"/>
        <w:jc w:val="both"/>
      </w:pPr>
      <w:r>
        <w:t>Die Kombination liefert sowohl einen vergleichbaren Kennwert als auch konkrete UX-Befunde, die unmittelbar in die nächste Iteration einfließen.</w:t>
      </w:r>
    </w:p>
    <w:p w14:paraId="79117549" w14:textId="77777777" w:rsidR="00913D9B" w:rsidRDefault="00000000">
      <w:pPr>
        <w:pStyle w:val="berschrift2"/>
      </w:pPr>
      <w:r>
        <w:t>3.3   Erfolgsschwellen</w:t>
      </w:r>
    </w:p>
    <w:p w14:paraId="2DCD6C07" w14:textId="77777777" w:rsidR="00913D9B" w:rsidRDefault="00000000">
      <w:pPr>
        <w:pStyle w:val="Listenabsatz"/>
        <w:numPr>
          <w:ilvl w:val="0"/>
          <w:numId w:val="2"/>
        </w:numPr>
        <w:spacing w:after="80" w:line="280" w:lineRule="auto"/>
      </w:pPr>
      <w:r>
        <w:t>SUS-Mittelwert ≥ 68 (Akzeptabilitätsgrenze nach Bangor et al. 2008).</w:t>
      </w:r>
    </w:p>
    <w:p w14:paraId="3CB621C8" w14:textId="77777777" w:rsidR="00913D9B" w:rsidRDefault="00000000">
      <w:pPr>
        <w:pStyle w:val="Listenabsatz"/>
        <w:numPr>
          <w:ilvl w:val="0"/>
          <w:numId w:val="2"/>
        </w:numPr>
        <w:spacing w:after="80" w:line="280" w:lineRule="auto"/>
      </w:pPr>
      <w:r>
        <w:lastRenderedPageBreak/>
        <w:t>Aufgabenerfolgsquote ≥ 80 % über alle Onboarding-Aufgaben.</w:t>
      </w:r>
    </w:p>
    <w:p w14:paraId="323ADC4F" w14:textId="77777777" w:rsidR="00913D9B" w:rsidRDefault="00000000">
      <w:pPr>
        <w:pStyle w:val="Listenabsatz"/>
        <w:numPr>
          <w:ilvl w:val="0"/>
          <w:numId w:val="2"/>
        </w:numPr>
        <w:spacing w:after="80" w:line="280" w:lineRule="auto"/>
      </w:pPr>
      <w:r>
        <w:t>Keine Aufgabe wird von einer Mehrheit der Testpersonen als „nicht selbstständig lösbar” markiert.</w:t>
      </w:r>
    </w:p>
    <w:p w14:paraId="172296B2" w14:textId="77777777" w:rsidR="00913D9B" w:rsidRDefault="00000000">
      <w:pPr>
        <w:pStyle w:val="berschrift1"/>
      </w:pPr>
      <w:r>
        <w:t>4   Säule 2 — Akzeptanz nach UTAUT2</w:t>
      </w:r>
    </w:p>
    <w:p w14:paraId="24FBF5E5" w14:textId="77777777" w:rsidR="00913D9B" w:rsidRDefault="00000000">
      <w:pPr>
        <w:pStyle w:val="berschrift2"/>
      </w:pPr>
      <w:r>
        <w:t>4.1   Begriffliche Verankerung</w:t>
      </w:r>
    </w:p>
    <w:p w14:paraId="711513C0" w14:textId="77777777" w:rsidR="00913D9B" w:rsidRDefault="00000000">
      <w:pPr>
        <w:spacing w:after="120" w:line="300" w:lineRule="auto"/>
        <w:jc w:val="both"/>
      </w:pPr>
      <w:r>
        <w:t>Akzeptanz bezeichnet die Bereitschaft, ein System nach einer Erprobungsphase weiter zu nutzen. Während Usability auf das „Können” abzielt, fragt Akzeptanz nach dem „Wollen”. Für den Konsumkontext eignet sich die Unified Theory of Acceptance and Use of Technology 2 (UTAUT2, Venkatesh, Thong &amp; Xu 2012), weil sie die ursprüngliche, organisational gefärbte UTAUT (Venkatesh et al. 2003) um die für freiwillige Mediennutzung relevanten Konstrukte Hedonic Motivation, Habit und Price Value erweitert.</w:t>
      </w:r>
    </w:p>
    <w:p w14:paraId="50A3AA7B" w14:textId="77777777" w:rsidR="00913D9B" w:rsidRDefault="00000000">
      <w:pPr>
        <w:spacing w:after="120" w:line="300" w:lineRule="auto"/>
        <w:jc w:val="both"/>
      </w:pPr>
      <w:r>
        <w:t>Für den einwöchigen Pilot mit fünf bis acht Personen werden vier UTAUT2-Konstrukte erhoben, die ohne längeren Beobachtungszeitraum aussagekräftig bleiben:</w:t>
      </w:r>
    </w:p>
    <w:p w14:paraId="31D002BB" w14:textId="77777777" w:rsidR="00913D9B" w:rsidRDefault="00000000">
      <w:pPr>
        <w:pStyle w:val="Listenabsatz"/>
        <w:numPr>
          <w:ilvl w:val="0"/>
          <w:numId w:val="2"/>
        </w:numPr>
        <w:spacing w:after="80" w:line="280" w:lineRule="auto"/>
      </w:pPr>
      <w:r>
        <w:t>Performance Expectancy (PE) — wahrgenommener Nutzen für die alltägliche Mediennutzung.</w:t>
      </w:r>
    </w:p>
    <w:p w14:paraId="140595CE" w14:textId="77777777" w:rsidR="00913D9B" w:rsidRDefault="00000000">
      <w:pPr>
        <w:pStyle w:val="Listenabsatz"/>
        <w:numPr>
          <w:ilvl w:val="0"/>
          <w:numId w:val="2"/>
        </w:numPr>
        <w:spacing w:after="80" w:line="280" w:lineRule="auto"/>
      </w:pPr>
      <w:r>
        <w:t>Effort Expectancy (EE) — wahrgenommener Bedienaufwand.</w:t>
      </w:r>
    </w:p>
    <w:p w14:paraId="3550B975" w14:textId="77777777" w:rsidR="00913D9B" w:rsidRDefault="00000000">
      <w:pPr>
        <w:pStyle w:val="Listenabsatz"/>
        <w:numPr>
          <w:ilvl w:val="0"/>
          <w:numId w:val="2"/>
        </w:numPr>
        <w:spacing w:after="80" w:line="280" w:lineRule="auto"/>
      </w:pPr>
      <w:r>
        <w:t>Hedonic Motivation (HM) — Freude und Unterhaltung bei der Nutzung.</w:t>
      </w:r>
    </w:p>
    <w:p w14:paraId="74E78B20" w14:textId="77777777" w:rsidR="00913D9B" w:rsidRDefault="00000000">
      <w:pPr>
        <w:pStyle w:val="Listenabsatz"/>
        <w:numPr>
          <w:ilvl w:val="0"/>
          <w:numId w:val="2"/>
        </w:numPr>
        <w:spacing w:after="80" w:line="280" w:lineRule="auto"/>
      </w:pPr>
      <w:r>
        <w:t>Behavioral Intention (BI) — bekundete Absicht, das System nach dem Pilot weiter zu nutzen.</w:t>
      </w:r>
    </w:p>
    <w:p w14:paraId="71D151B8" w14:textId="77777777" w:rsidR="00913D9B" w:rsidRDefault="00000000">
      <w:pPr>
        <w:spacing w:after="120" w:line="300" w:lineRule="auto"/>
        <w:jc w:val="both"/>
      </w:pPr>
      <w:r>
        <w:t>Die Konstrukte Habit (HT) und Price Value (PV) entfallen — Habit erfordert eine längere Gewöhnungsphase, Price Value setzt eine reale Kaufentscheidung voraus, die im Forschungskontext nicht gegeben ist. Social Influence (SI) und Facilitating Conditions (FC) werden im qualitativen Interview adressiert, nicht über die Skala.</w:t>
      </w:r>
    </w:p>
    <w:p w14:paraId="0638ECDE" w14:textId="77777777" w:rsidR="00913D9B" w:rsidRDefault="00000000">
      <w:pPr>
        <w:pStyle w:val="berschrift2"/>
      </w:pPr>
      <w:r>
        <w:t>4.2   Operationalisierung</w:t>
      </w:r>
    </w:p>
    <w:p w14:paraId="50E3BF36" w14:textId="77777777" w:rsidR="00913D9B" w:rsidRDefault="00000000">
      <w:pPr>
        <w:spacing w:after="120" w:line="300" w:lineRule="auto"/>
        <w:jc w:val="both"/>
      </w:pPr>
      <w:r>
        <w:t>Pro Konstrukt werden drei Items übernommen und auf den Anwendungsfall „Attune” formuliert. Die Antworten erfolgen auf einer siebenstufigen Likert-Skala von 1 = „stimme überhaupt nicht zu” bis 7 = „stimme voll zu”. Die genaue Itemliste findet sich im Anhang Erhebungsinstrumente, Abschnitt D.</w:t>
      </w:r>
    </w:p>
    <w:p w14:paraId="4C2B6E28" w14:textId="77777777" w:rsidR="00913D9B" w:rsidRDefault="00000000">
      <w:pPr>
        <w:pStyle w:val="berschrift2"/>
      </w:pPr>
      <w:r>
        <w:t>4.3   Erfolgsschwellen</w:t>
      </w:r>
    </w:p>
    <w:p w14:paraId="392DD1D1" w14:textId="77777777" w:rsidR="00913D9B" w:rsidRDefault="00000000">
      <w:pPr>
        <w:pStyle w:val="Listenabsatz"/>
        <w:numPr>
          <w:ilvl w:val="0"/>
          <w:numId w:val="2"/>
        </w:numPr>
        <w:spacing w:after="80" w:line="280" w:lineRule="auto"/>
      </w:pPr>
      <w:r>
        <w:t>Mittelwert pro Konstrukt ≥ 5 (oberhalb des Skalenmittels von 4).</w:t>
      </w:r>
    </w:p>
    <w:p w14:paraId="2DD71E3C" w14:textId="77777777" w:rsidR="00913D9B" w:rsidRDefault="00000000">
      <w:pPr>
        <w:pStyle w:val="Listenabsatz"/>
        <w:numPr>
          <w:ilvl w:val="0"/>
          <w:numId w:val="2"/>
        </w:numPr>
        <w:spacing w:after="80" w:line="280" w:lineRule="auto"/>
      </w:pPr>
      <w:r>
        <w:t>Behavioral Intention im Mittel ≥ 5; mindestens drei der fünf bis acht Testpersonen formulieren im Interview eine konkrete Weiternutzungssituation.</w:t>
      </w:r>
    </w:p>
    <w:p w14:paraId="30AFBF6F" w14:textId="77777777" w:rsidR="00913D9B" w:rsidRDefault="00000000">
      <w:pPr>
        <w:pStyle w:val="berschrift1"/>
      </w:pPr>
      <w:r>
        <w:t>5   Säule 3 — Wirkung als Anschluss an den theoretischen Rahmen</w:t>
      </w:r>
    </w:p>
    <w:p w14:paraId="614FE4C8" w14:textId="77777777" w:rsidR="00913D9B" w:rsidRDefault="00000000">
      <w:pPr>
        <w:pStyle w:val="berschrift2"/>
      </w:pPr>
      <w:r>
        <w:t>5.1   Argumentationsfigur</w:t>
      </w:r>
    </w:p>
    <w:p w14:paraId="5108B63B" w14:textId="77777777" w:rsidR="00913D9B" w:rsidRDefault="00000000">
      <w:pPr>
        <w:spacing w:after="120" w:line="300" w:lineRule="auto"/>
        <w:jc w:val="both"/>
      </w:pPr>
      <w:r>
        <w:lastRenderedPageBreak/>
        <w:t>Die zentrale These der Arbeit (Kap. 1.7 und 3.3) lautet: Das gleiche technische Instrumentarium — LLM, TTS, Recommender — kann auf Wellbeing statt auf Engagement optimiert werden, wenn die Designentscheidungen an den Beurteilungsgrundlagen aus Kap. 2.3 ausgerichtet werden. Die Wirkungssäule ist der empirische Test dieser These. Sie misst nicht ein einzelnes Konstrukt, sondern prüft pro Baustein (Kap. 3.3) ein passendes Wirkkriterium aus dem theoretischen Rahmen.</w:t>
      </w:r>
    </w:p>
    <w:p w14:paraId="5643CCA6" w14:textId="77777777" w:rsidR="00913D9B" w:rsidRDefault="00000000">
      <w:pPr>
        <w:pStyle w:val="berschrift2"/>
      </w:pPr>
      <w:r>
        <w:t>5.2   Mapping Baustein → Theorie → Wirkungsindikator</w:t>
      </w:r>
    </w:p>
    <w:p w14:paraId="020EE6A2" w14:textId="77777777" w:rsidR="00913D9B" w:rsidRDefault="00000000">
      <w:pPr>
        <w:spacing w:after="120" w:line="300" w:lineRule="auto"/>
        <w:jc w:val="both"/>
      </w:pPr>
      <w:r>
        <w:t>Die Wirkungs-Items werden direkt aus dem Mapping abgeleitet: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2200"/>
        <w:gridCol w:w="2460"/>
      </w:tblGrid>
      <w:tr w:rsidR="00913D9B" w14:paraId="12D3DD1D"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E7EEF7"/>
            <w:tcMar>
              <w:top w:w="80" w:type="dxa"/>
              <w:left w:w="120" w:type="dxa"/>
              <w:bottom w:w="80" w:type="dxa"/>
              <w:right w:w="120" w:type="dxa"/>
            </w:tcMar>
          </w:tcPr>
          <w:p w14:paraId="10B27EAA" w14:textId="77777777" w:rsidR="00913D9B" w:rsidRDefault="00000000">
            <w:pPr>
              <w:spacing w:line="260" w:lineRule="auto"/>
            </w:pPr>
            <w:r>
              <w:rPr>
                <w:b/>
                <w:bCs/>
                <w:sz w:val="20"/>
                <w:szCs w:val="20"/>
              </w:rPr>
              <w:t>Baustein (Kap. 3.3)</w:t>
            </w:r>
          </w:p>
        </w:tc>
        <w:tc>
          <w:tcPr>
            <w:tcW w:w="2500" w:type="dxa"/>
            <w:tcBorders>
              <w:top w:val="single" w:sz="1" w:space="0" w:color="BFBFBF"/>
              <w:left w:val="single" w:sz="1" w:space="0" w:color="BFBFBF"/>
              <w:bottom w:val="single" w:sz="1" w:space="0" w:color="BFBFBF"/>
              <w:right w:val="single" w:sz="1" w:space="0" w:color="BFBFBF"/>
            </w:tcBorders>
            <w:shd w:val="clear" w:color="auto" w:fill="E7EEF7"/>
            <w:tcMar>
              <w:top w:w="80" w:type="dxa"/>
              <w:left w:w="120" w:type="dxa"/>
              <w:bottom w:w="80" w:type="dxa"/>
              <w:right w:w="120" w:type="dxa"/>
            </w:tcMar>
          </w:tcPr>
          <w:p w14:paraId="2AB200E0" w14:textId="77777777" w:rsidR="00913D9B" w:rsidRDefault="00000000">
            <w:pPr>
              <w:spacing w:line="260" w:lineRule="auto"/>
            </w:pPr>
            <w:r>
              <w:rPr>
                <w:b/>
                <w:bCs/>
                <w:sz w:val="20"/>
                <w:szCs w:val="20"/>
              </w:rPr>
              <w:t>Theorieanker (Kap. 2.3)</w:t>
            </w:r>
          </w:p>
        </w:tc>
        <w:tc>
          <w:tcPr>
            <w:tcW w:w="2200" w:type="dxa"/>
            <w:tcBorders>
              <w:top w:val="single" w:sz="1" w:space="0" w:color="BFBFBF"/>
              <w:left w:val="single" w:sz="1" w:space="0" w:color="BFBFBF"/>
              <w:bottom w:val="single" w:sz="1" w:space="0" w:color="BFBFBF"/>
              <w:right w:val="single" w:sz="1" w:space="0" w:color="BFBFBF"/>
            </w:tcBorders>
            <w:shd w:val="clear" w:color="auto" w:fill="E7EEF7"/>
            <w:tcMar>
              <w:top w:w="80" w:type="dxa"/>
              <w:left w:w="120" w:type="dxa"/>
              <w:bottom w:w="80" w:type="dxa"/>
              <w:right w:w="120" w:type="dxa"/>
            </w:tcMar>
          </w:tcPr>
          <w:p w14:paraId="09D855F0" w14:textId="77777777" w:rsidR="00913D9B" w:rsidRDefault="00000000">
            <w:pPr>
              <w:spacing w:line="260" w:lineRule="auto"/>
            </w:pPr>
            <w:r>
              <w:rPr>
                <w:b/>
                <w:bCs/>
                <w:sz w:val="20"/>
                <w:szCs w:val="20"/>
              </w:rPr>
              <w:t>Erwartete Wirkung</w:t>
            </w:r>
          </w:p>
        </w:tc>
        <w:tc>
          <w:tcPr>
            <w:tcW w:w="2460" w:type="dxa"/>
            <w:tcBorders>
              <w:top w:val="single" w:sz="1" w:space="0" w:color="BFBFBF"/>
              <w:left w:val="single" w:sz="1" w:space="0" w:color="BFBFBF"/>
              <w:bottom w:val="single" w:sz="1" w:space="0" w:color="BFBFBF"/>
              <w:right w:val="single" w:sz="1" w:space="0" w:color="BFBFBF"/>
            </w:tcBorders>
            <w:shd w:val="clear" w:color="auto" w:fill="E7EEF7"/>
            <w:tcMar>
              <w:top w:w="80" w:type="dxa"/>
              <w:left w:w="120" w:type="dxa"/>
              <w:bottom w:w="80" w:type="dxa"/>
              <w:right w:w="120" w:type="dxa"/>
            </w:tcMar>
          </w:tcPr>
          <w:p w14:paraId="4B659361" w14:textId="77777777" w:rsidR="00913D9B" w:rsidRDefault="00000000">
            <w:pPr>
              <w:spacing w:line="260" w:lineRule="auto"/>
            </w:pPr>
            <w:r>
              <w:rPr>
                <w:b/>
                <w:bCs/>
                <w:sz w:val="20"/>
                <w:szCs w:val="20"/>
              </w:rPr>
              <w:t>Erhebung</w:t>
            </w:r>
          </w:p>
        </w:tc>
      </w:tr>
      <w:tr w:rsidR="00913D9B" w14:paraId="16E31BD5"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4D65216" w14:textId="77777777" w:rsidR="00913D9B" w:rsidRDefault="00000000">
            <w:pPr>
              <w:spacing w:line="260" w:lineRule="auto"/>
            </w:pPr>
            <w:r>
              <w:rPr>
                <w:sz w:val="20"/>
                <w:szCs w:val="20"/>
              </w:rPr>
              <w:t>1 Explizite Präferenzen &amp; Profil</w:t>
            </w:r>
          </w:p>
        </w:tc>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D180ACF" w14:textId="77777777" w:rsidR="00913D9B" w:rsidRDefault="00000000">
            <w:pPr>
              <w:spacing w:line="260" w:lineRule="auto"/>
            </w:pPr>
            <w:r>
              <w:rPr>
                <w:sz w:val="20"/>
                <w:szCs w:val="20"/>
              </w:rPr>
              <w:t>SDT — Autonomie (Ryan &amp; Deci 2000)</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E63617E" w14:textId="77777777" w:rsidR="00913D9B" w:rsidRDefault="00000000">
            <w:pPr>
              <w:spacing w:line="260" w:lineRule="auto"/>
            </w:pPr>
            <w:r>
              <w:rPr>
                <w:sz w:val="20"/>
                <w:szCs w:val="20"/>
              </w:rPr>
              <w:t>„Ich erlebe meine Nutzung als selbstgesteuert.”</w:t>
            </w:r>
          </w:p>
        </w:tc>
        <w:tc>
          <w:tcPr>
            <w:tcW w:w="2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5A004BF" w14:textId="77777777" w:rsidR="00913D9B" w:rsidRDefault="00000000">
            <w:pPr>
              <w:spacing w:line="260" w:lineRule="auto"/>
            </w:pPr>
            <w:r>
              <w:rPr>
                <w:sz w:val="20"/>
                <w:szCs w:val="20"/>
              </w:rPr>
              <w:t>Wirkungs-Item W1, Tagebuch, Interview</w:t>
            </w:r>
          </w:p>
        </w:tc>
      </w:tr>
      <w:tr w:rsidR="00913D9B" w14:paraId="1A2B92E1"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1AF8B61" w14:textId="77777777" w:rsidR="00913D9B" w:rsidRDefault="00000000">
            <w:pPr>
              <w:spacing w:line="260" w:lineRule="auto"/>
            </w:pPr>
            <w:r>
              <w:rPr>
                <w:sz w:val="20"/>
                <w:szCs w:val="20"/>
              </w:rPr>
              <w:t>2 Vollautomatische Sendungspipeline</w:t>
            </w:r>
          </w:p>
        </w:tc>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682C946" w14:textId="77777777" w:rsidR="00913D9B" w:rsidRDefault="00000000">
            <w:pPr>
              <w:spacing w:line="260" w:lineRule="auto"/>
            </w:pPr>
            <w:r>
              <w:rPr>
                <w:sz w:val="20"/>
                <w:szCs w:val="20"/>
              </w:rPr>
              <w:t>METUX — Interface- und Task-Sphäre (Peters et al. 2018)</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27075BF" w14:textId="77777777" w:rsidR="00913D9B" w:rsidRDefault="00000000">
            <w:pPr>
              <w:spacing w:line="260" w:lineRule="auto"/>
            </w:pPr>
            <w:r>
              <w:rPr>
                <w:sz w:val="20"/>
                <w:szCs w:val="20"/>
              </w:rPr>
              <w:t>Reibungslose Bedienung ohne kognitive Last; flow-fähige Hörsituation.</w:t>
            </w:r>
          </w:p>
        </w:tc>
        <w:tc>
          <w:tcPr>
            <w:tcW w:w="2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61E8C4" w14:textId="77777777" w:rsidR="00913D9B" w:rsidRDefault="00000000">
            <w:pPr>
              <w:spacing w:line="260" w:lineRule="auto"/>
            </w:pPr>
            <w:r>
              <w:rPr>
                <w:sz w:val="20"/>
                <w:szCs w:val="20"/>
              </w:rPr>
              <w:t>Wirkungs-Item W2; Beobachtung Onboarding</w:t>
            </w:r>
          </w:p>
        </w:tc>
      </w:tr>
      <w:tr w:rsidR="00913D9B" w14:paraId="60938B4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4AE75F7" w14:textId="77777777" w:rsidR="00913D9B" w:rsidRDefault="00000000">
            <w:pPr>
              <w:spacing w:line="260" w:lineRule="auto"/>
            </w:pPr>
            <w:r>
              <w:rPr>
                <w:sz w:val="20"/>
                <w:szCs w:val="20"/>
              </w:rPr>
              <w:t>3 Kuratierungslogik mit alternativem Zielwert</w:t>
            </w:r>
          </w:p>
        </w:tc>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3F04F5D" w14:textId="77777777" w:rsidR="00913D9B" w:rsidRDefault="00000000">
            <w:pPr>
              <w:spacing w:line="260" w:lineRule="auto"/>
            </w:pPr>
            <w:r>
              <w:rPr>
                <w:sz w:val="20"/>
                <w:szCs w:val="20"/>
              </w:rPr>
              <w:t>Algorithmische Souveränität (Reviglio &amp; Agosti 2020); Digital Wellbeing — Diversität (Vanden Abeele 2021)</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52152F7" w14:textId="77777777" w:rsidR="00913D9B" w:rsidRDefault="00000000">
            <w:pPr>
              <w:spacing w:line="260" w:lineRule="auto"/>
            </w:pPr>
            <w:r>
              <w:rPr>
                <w:sz w:val="20"/>
                <w:szCs w:val="20"/>
              </w:rPr>
              <w:t>Inhaltliche Vielfalt; keine wahrgenommene Filterblase; Nachvollziehbarkeit der Auswahl.</w:t>
            </w:r>
          </w:p>
        </w:tc>
        <w:tc>
          <w:tcPr>
            <w:tcW w:w="2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A789FB3" w14:textId="77777777" w:rsidR="00913D9B" w:rsidRDefault="00000000">
            <w:pPr>
              <w:spacing w:line="260" w:lineRule="auto"/>
            </w:pPr>
            <w:r>
              <w:rPr>
                <w:sz w:val="20"/>
                <w:szCs w:val="20"/>
              </w:rPr>
              <w:t>Wirkungs-Items W3, W4; Tagebuch</w:t>
            </w:r>
          </w:p>
        </w:tc>
      </w:tr>
      <w:tr w:rsidR="00913D9B" w14:paraId="751EF50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75379FD" w14:textId="77777777" w:rsidR="00913D9B" w:rsidRDefault="00000000">
            <w:pPr>
              <w:spacing w:line="260" w:lineRule="auto"/>
            </w:pPr>
            <w:r>
              <w:rPr>
                <w:sz w:val="20"/>
                <w:szCs w:val="20"/>
              </w:rPr>
              <w:t>4 Definiertes Sessiondesign</w:t>
            </w:r>
          </w:p>
        </w:tc>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87BAC28" w14:textId="77777777" w:rsidR="00913D9B" w:rsidRDefault="00000000">
            <w:pPr>
              <w:spacing w:line="260" w:lineRule="auto"/>
            </w:pPr>
            <w:r>
              <w:rPr>
                <w:sz w:val="20"/>
                <w:szCs w:val="20"/>
              </w:rPr>
              <w:t>Digital Wellbeing — Calm/Kontrolle (Vanden Abeele 2021); SDT — Autonomie</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B888526" w14:textId="77777777" w:rsidR="00913D9B" w:rsidRDefault="00000000">
            <w:pPr>
              <w:spacing w:line="260" w:lineRule="auto"/>
            </w:pPr>
            <w:r>
              <w:rPr>
                <w:sz w:val="20"/>
                <w:szCs w:val="20"/>
              </w:rPr>
              <w:t>Hörende beenden die Nutzung selbstbestimmt; kein Sog, kein Cliffhanger-Effekt.</w:t>
            </w:r>
          </w:p>
        </w:tc>
        <w:tc>
          <w:tcPr>
            <w:tcW w:w="2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F68DE24" w14:textId="77777777" w:rsidR="00913D9B" w:rsidRDefault="00000000">
            <w:pPr>
              <w:spacing w:line="260" w:lineRule="auto"/>
            </w:pPr>
            <w:r>
              <w:rPr>
                <w:sz w:val="20"/>
                <w:szCs w:val="20"/>
              </w:rPr>
              <w:t>Wirkungs-Items W5, W6; Tagebuch (Pre/Post-Stimmung)</w:t>
            </w:r>
          </w:p>
        </w:tc>
      </w:tr>
      <w:tr w:rsidR="00913D9B" w14:paraId="1C3CA664"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FAAE163" w14:textId="77777777" w:rsidR="00913D9B" w:rsidRDefault="00000000">
            <w:pPr>
              <w:spacing w:line="260" w:lineRule="auto"/>
            </w:pPr>
            <w:r>
              <w:rPr>
                <w:sz w:val="20"/>
                <w:szCs w:val="20"/>
              </w:rPr>
              <w:t>5 Transparenz</w:t>
            </w:r>
          </w:p>
        </w:tc>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99576B2" w14:textId="77777777" w:rsidR="00913D9B" w:rsidRDefault="00000000">
            <w:pPr>
              <w:spacing w:line="260" w:lineRule="auto"/>
            </w:pPr>
            <w:r>
              <w:rPr>
                <w:sz w:val="20"/>
                <w:szCs w:val="20"/>
              </w:rPr>
              <w:t>Algorithmische Souveränität; VSD — Informed Consent (Hendry, Friedman &amp; Ballard 2021)</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5F75B71" w14:textId="77777777" w:rsidR="00913D9B" w:rsidRDefault="00000000">
            <w:pPr>
              <w:spacing w:line="260" w:lineRule="auto"/>
            </w:pPr>
            <w:r>
              <w:rPr>
                <w:sz w:val="20"/>
                <w:szCs w:val="20"/>
              </w:rPr>
              <w:t>Hörende verstehen, woher Inhalte stammen und warum sie ausgewählt wurden.</w:t>
            </w:r>
          </w:p>
        </w:tc>
        <w:tc>
          <w:tcPr>
            <w:tcW w:w="2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D7BAA2F" w14:textId="77777777" w:rsidR="00913D9B" w:rsidRDefault="00000000">
            <w:pPr>
              <w:spacing w:line="260" w:lineRule="auto"/>
            </w:pPr>
            <w:r>
              <w:rPr>
                <w:sz w:val="20"/>
                <w:szCs w:val="20"/>
              </w:rPr>
              <w:t>Wirkungs-Items W7, W8; Interview</w:t>
            </w:r>
          </w:p>
        </w:tc>
      </w:tr>
    </w:tbl>
    <w:p w14:paraId="5DC81195" w14:textId="77777777" w:rsidR="00913D9B" w:rsidRDefault="00913D9B">
      <w:pPr>
        <w:spacing w:after="120" w:line="300" w:lineRule="auto"/>
        <w:jc w:val="both"/>
      </w:pPr>
    </w:p>
    <w:p w14:paraId="5F57775D" w14:textId="77777777" w:rsidR="00913D9B" w:rsidRDefault="00000000">
      <w:pPr>
        <w:pStyle w:val="berschrift2"/>
      </w:pPr>
      <w:r>
        <w:t>5.3   Begleitende Befindlichkeits-Messung (WHO-5)</w:t>
      </w:r>
    </w:p>
    <w:p w14:paraId="398B1CC0" w14:textId="77777777" w:rsidR="00913D9B" w:rsidRDefault="00000000">
      <w:pPr>
        <w:spacing w:after="120" w:line="300" w:lineRule="auto"/>
        <w:jc w:val="both"/>
      </w:pPr>
      <w:r>
        <w:t>Zusätzlich zu den artefaktspezifischen Items wird der WHO-5 Wellbeing Index (Bech et al. 2003; deutsche Fassung Brähler et al. 2007) als kontextfreies Befindlichkeitsmaß einmal vor und einmal nach der Nutzungswoche erhoben. Der WHO-5 besteht aus fünf Items, ist in zahlreichen Validierungsstudien etabliert und liefert eine konservative Vergleichsgröße. Eine signifikante Verschlechterung wäre ein klares Warnsignal; eine substantielle Verbesserung ist bei einer Stichprobe von fünf bis acht Personen und sieben Tagen Erprobung methodisch nicht zu erwarten und auch nicht das Ziel.</w:t>
      </w:r>
    </w:p>
    <w:p w14:paraId="28DAD628" w14:textId="77777777" w:rsidR="00913D9B" w:rsidRDefault="00000000">
      <w:pPr>
        <w:pStyle w:val="berschrift2"/>
      </w:pPr>
      <w:r>
        <w:t>5.4   Erfolgsschwellen Wirkung</w:t>
      </w:r>
    </w:p>
    <w:p w14:paraId="6E567F4A" w14:textId="77777777" w:rsidR="00913D9B" w:rsidRDefault="00000000">
      <w:pPr>
        <w:pStyle w:val="Listenabsatz"/>
        <w:numPr>
          <w:ilvl w:val="0"/>
          <w:numId w:val="2"/>
        </w:numPr>
        <w:spacing w:after="80" w:line="280" w:lineRule="auto"/>
      </w:pPr>
      <w:r>
        <w:lastRenderedPageBreak/>
        <w:t>Wirkungs-Items W1–W8 im Mittel ≥ 5 auf siebenstufiger Skala; mindestens fünf der acht Items werden mehrheitlich (≥ 60 % der Antworten ≥ 5) bestätigt.</w:t>
      </w:r>
    </w:p>
    <w:p w14:paraId="075E3405" w14:textId="77777777" w:rsidR="00913D9B" w:rsidRDefault="00000000">
      <w:pPr>
        <w:pStyle w:val="Listenabsatz"/>
        <w:numPr>
          <w:ilvl w:val="0"/>
          <w:numId w:val="2"/>
        </w:numPr>
        <w:spacing w:after="80" w:line="280" w:lineRule="auto"/>
      </w:pPr>
      <w:r>
        <w:t>WHO-5: keine Verschlechterung &gt; 8 Punkte (Schwellenwert klinischer Relevanz nach Topp et al. 2015).</w:t>
      </w:r>
    </w:p>
    <w:p w14:paraId="43FE5A4A" w14:textId="77777777" w:rsidR="00913D9B" w:rsidRDefault="00000000">
      <w:pPr>
        <w:pStyle w:val="Listenabsatz"/>
        <w:numPr>
          <w:ilvl w:val="0"/>
          <w:numId w:val="2"/>
        </w:numPr>
        <w:spacing w:after="80" w:line="280" w:lineRule="auto"/>
      </w:pPr>
      <w:r>
        <w:t>Im Abschluss-Interview lassen sich pro Baustein mindestens zwei Belegzitate identifizieren, die die erwartete Wirkung stützen oder differenziert in Frage stellen.</w:t>
      </w:r>
    </w:p>
    <w:p w14:paraId="0FDAA4C0" w14:textId="77777777" w:rsidR="00913D9B" w:rsidRDefault="00000000">
      <w:pPr>
        <w:pStyle w:val="berschrift1"/>
      </w:pPr>
      <w:r>
        <w:t>6   Methodischer Rahmen der Erhebung</w:t>
      </w:r>
    </w:p>
    <w:p w14:paraId="51EF0163" w14:textId="77777777" w:rsidR="00913D9B" w:rsidRDefault="00000000">
      <w:pPr>
        <w:pStyle w:val="berschrift2"/>
      </w:pPr>
      <w:r>
        <w:t>6.1   Mixed-Methods-Design</w:t>
      </w:r>
    </w:p>
    <w:p w14:paraId="5915102D" w14:textId="77777777" w:rsidR="00913D9B" w:rsidRDefault="00000000">
      <w:pPr>
        <w:spacing w:after="120" w:line="300" w:lineRule="auto"/>
        <w:jc w:val="both"/>
      </w:pPr>
      <w:r>
        <w:t>Die Pilotstudie kombiniert quantitative Skalen (SUS, UTAUT2-Subset, WHO-5, eigene Wirkungs-Items) mit qualitativen Methoden (strukturiertes Tagebuch, semi-strukturiertes Abschluss-Interview, Beobachtungsprotokoll Onboarding). Der Mixed-Methods-Ansatz folgt einem konvergent-parallelen Design (Creswell &amp; Plano Clark 2018): quantitative und qualitative Daten werden parallel erhoben und in der Auswertung trianguliert. Der quantitative Strang liefert Kennwerte, der qualitative Strang liefert Kontext und Erklärungen für Auffälligkeiten.</w:t>
      </w:r>
    </w:p>
    <w:p w14:paraId="181A66B1" w14:textId="77777777" w:rsidR="00913D9B" w:rsidRDefault="00000000">
      <w:pPr>
        <w:pStyle w:val="berschrift2"/>
      </w:pPr>
      <w:r>
        <w:t>6.2   Zeitliche Struktur</w:t>
      </w:r>
    </w:p>
    <w:p w14:paraId="47E24DB2" w14:textId="77777777" w:rsidR="00913D9B" w:rsidRDefault="00000000">
      <w:pPr>
        <w:spacing w:after="120" w:line="300" w:lineRule="auto"/>
        <w:jc w:val="both"/>
      </w:pPr>
      <w:r>
        <w:t>Die Erhebung gliedert sich in fünf Phasen über sieben 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1831"/>
        <w:gridCol w:w="3314"/>
        <w:gridCol w:w="2662"/>
      </w:tblGrid>
      <w:tr w:rsidR="00913D9B" w14:paraId="3E5F31D8" w14:textId="77777777">
        <w:tblPrEx>
          <w:tblCellMar>
            <w:top w:w="0" w:type="dxa"/>
            <w:bottom w:w="0" w:type="dxa"/>
          </w:tblCellMar>
        </w:tblPrEx>
        <w:trPr>
          <w:tblHeader/>
        </w:trPr>
        <w:tc>
          <w:tcPr>
            <w:tcW w:w="1300" w:type="dxa"/>
            <w:tcBorders>
              <w:top w:val="single" w:sz="1" w:space="0" w:color="BFBFBF"/>
              <w:left w:val="single" w:sz="1" w:space="0" w:color="BFBFBF"/>
              <w:bottom w:val="single" w:sz="1" w:space="0" w:color="BFBFBF"/>
              <w:right w:val="single" w:sz="1" w:space="0" w:color="BFBFBF"/>
            </w:tcBorders>
            <w:shd w:val="clear" w:color="auto" w:fill="E7EEF7"/>
            <w:tcMar>
              <w:top w:w="80" w:type="dxa"/>
              <w:left w:w="120" w:type="dxa"/>
              <w:bottom w:w="80" w:type="dxa"/>
              <w:right w:w="120" w:type="dxa"/>
            </w:tcMar>
          </w:tcPr>
          <w:p w14:paraId="4FCB84BF" w14:textId="77777777" w:rsidR="00913D9B" w:rsidRDefault="00000000">
            <w:pPr>
              <w:spacing w:line="260" w:lineRule="auto"/>
            </w:pPr>
            <w:r>
              <w:rPr>
                <w:b/>
                <w:bCs/>
                <w:sz w:val="20"/>
                <w:szCs w:val="20"/>
              </w:rPr>
              <w:t>Phase</w:t>
            </w:r>
          </w:p>
        </w:tc>
        <w:tc>
          <w:tcPr>
            <w:tcW w:w="1900" w:type="dxa"/>
            <w:tcBorders>
              <w:top w:val="single" w:sz="1" w:space="0" w:color="BFBFBF"/>
              <w:left w:val="single" w:sz="1" w:space="0" w:color="BFBFBF"/>
              <w:bottom w:val="single" w:sz="1" w:space="0" w:color="BFBFBF"/>
              <w:right w:val="single" w:sz="1" w:space="0" w:color="BFBFBF"/>
            </w:tcBorders>
            <w:shd w:val="clear" w:color="auto" w:fill="E7EEF7"/>
            <w:tcMar>
              <w:top w:w="80" w:type="dxa"/>
              <w:left w:w="120" w:type="dxa"/>
              <w:bottom w:w="80" w:type="dxa"/>
              <w:right w:w="120" w:type="dxa"/>
            </w:tcMar>
          </w:tcPr>
          <w:p w14:paraId="4DB0807B" w14:textId="77777777" w:rsidR="00913D9B" w:rsidRDefault="00000000">
            <w:pPr>
              <w:spacing w:line="260" w:lineRule="auto"/>
            </w:pPr>
            <w:r>
              <w:rPr>
                <w:b/>
                <w:bCs/>
                <w:sz w:val="20"/>
                <w:szCs w:val="20"/>
              </w:rPr>
              <w:t>Zeitpunkt</w:t>
            </w:r>
          </w:p>
        </w:tc>
        <w:tc>
          <w:tcPr>
            <w:tcW w:w="3460" w:type="dxa"/>
            <w:tcBorders>
              <w:top w:val="single" w:sz="1" w:space="0" w:color="BFBFBF"/>
              <w:left w:val="single" w:sz="1" w:space="0" w:color="BFBFBF"/>
              <w:bottom w:val="single" w:sz="1" w:space="0" w:color="BFBFBF"/>
              <w:right w:val="single" w:sz="1" w:space="0" w:color="BFBFBF"/>
            </w:tcBorders>
            <w:shd w:val="clear" w:color="auto" w:fill="E7EEF7"/>
            <w:tcMar>
              <w:top w:w="80" w:type="dxa"/>
              <w:left w:w="120" w:type="dxa"/>
              <w:bottom w:w="80" w:type="dxa"/>
              <w:right w:w="120" w:type="dxa"/>
            </w:tcMar>
          </w:tcPr>
          <w:p w14:paraId="073DDA82" w14:textId="77777777" w:rsidR="00913D9B" w:rsidRDefault="00000000">
            <w:pPr>
              <w:spacing w:line="260" w:lineRule="auto"/>
            </w:pPr>
            <w:r>
              <w:rPr>
                <w:b/>
                <w:bCs/>
                <w:sz w:val="20"/>
                <w:szCs w:val="20"/>
              </w:rPr>
              <w:t>Aktivität</w:t>
            </w:r>
          </w:p>
        </w:tc>
        <w:tc>
          <w:tcPr>
            <w:tcW w:w="2700" w:type="dxa"/>
            <w:tcBorders>
              <w:top w:val="single" w:sz="1" w:space="0" w:color="BFBFBF"/>
              <w:left w:val="single" w:sz="1" w:space="0" w:color="BFBFBF"/>
              <w:bottom w:val="single" w:sz="1" w:space="0" w:color="BFBFBF"/>
              <w:right w:val="single" w:sz="1" w:space="0" w:color="BFBFBF"/>
            </w:tcBorders>
            <w:shd w:val="clear" w:color="auto" w:fill="E7EEF7"/>
            <w:tcMar>
              <w:top w:w="80" w:type="dxa"/>
              <w:left w:w="120" w:type="dxa"/>
              <w:bottom w:w="80" w:type="dxa"/>
              <w:right w:w="120" w:type="dxa"/>
            </w:tcMar>
          </w:tcPr>
          <w:p w14:paraId="6AF46F50" w14:textId="77777777" w:rsidR="00913D9B" w:rsidRDefault="00000000">
            <w:pPr>
              <w:spacing w:line="260" w:lineRule="auto"/>
            </w:pPr>
            <w:r>
              <w:rPr>
                <w:b/>
                <w:bCs/>
                <w:sz w:val="20"/>
                <w:szCs w:val="20"/>
              </w:rPr>
              <w:t>Erhebung</w:t>
            </w:r>
          </w:p>
        </w:tc>
      </w:tr>
      <w:tr w:rsidR="00913D9B" w14:paraId="2138CF2F"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50806F4" w14:textId="77777777" w:rsidR="00913D9B" w:rsidRDefault="00000000">
            <w:pPr>
              <w:spacing w:line="260" w:lineRule="auto"/>
            </w:pPr>
            <w:r>
              <w:rPr>
                <w:sz w:val="20"/>
                <w:szCs w:val="20"/>
              </w:rPr>
              <w:t>0 Vorgespräch</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FFFB686" w14:textId="77777777" w:rsidR="00913D9B" w:rsidRDefault="00000000">
            <w:pPr>
              <w:spacing w:line="260" w:lineRule="auto"/>
            </w:pPr>
            <w:r>
              <w:rPr>
                <w:sz w:val="20"/>
                <w:szCs w:val="20"/>
              </w:rPr>
              <w:t>Tag 0 (≈ 20 Min)</w:t>
            </w:r>
          </w:p>
        </w:tc>
        <w:tc>
          <w:tcPr>
            <w:tcW w:w="3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00A2480" w14:textId="77777777" w:rsidR="00913D9B" w:rsidRDefault="00000000">
            <w:pPr>
              <w:spacing w:line="260" w:lineRule="auto"/>
            </w:pPr>
            <w:r>
              <w:rPr>
                <w:sz w:val="20"/>
                <w:szCs w:val="20"/>
              </w:rPr>
              <w:t>Aufklärung, Einwilligung, Demografie, Hörgewohnheiten.</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026F2AD" w14:textId="77777777" w:rsidR="00913D9B" w:rsidRDefault="00000000">
            <w:pPr>
              <w:spacing w:line="260" w:lineRule="auto"/>
            </w:pPr>
            <w:r>
              <w:rPr>
                <w:sz w:val="20"/>
                <w:szCs w:val="20"/>
              </w:rPr>
              <w:t>Einwilligungserklärung; Pre-Test-Bogen inkl. WHO-5.</w:t>
            </w:r>
          </w:p>
        </w:tc>
      </w:tr>
      <w:tr w:rsidR="00913D9B" w14:paraId="300ED59A"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B710D20" w14:textId="77777777" w:rsidR="00913D9B" w:rsidRDefault="00000000">
            <w:pPr>
              <w:spacing w:line="260" w:lineRule="auto"/>
            </w:pPr>
            <w:r>
              <w:rPr>
                <w:sz w:val="20"/>
                <w:szCs w:val="20"/>
              </w:rPr>
              <w:t>1 Onboarding</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B11504D" w14:textId="77777777" w:rsidR="00913D9B" w:rsidRDefault="00000000">
            <w:pPr>
              <w:spacing w:line="260" w:lineRule="auto"/>
            </w:pPr>
            <w:r>
              <w:rPr>
                <w:sz w:val="20"/>
                <w:szCs w:val="20"/>
              </w:rPr>
              <w:t>Tag 1 (≈ 30 Min)</w:t>
            </w:r>
          </w:p>
        </w:tc>
        <w:tc>
          <w:tcPr>
            <w:tcW w:w="3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2428558" w14:textId="77777777" w:rsidR="00913D9B" w:rsidRDefault="00000000">
            <w:pPr>
              <w:spacing w:line="260" w:lineRule="auto"/>
            </w:pPr>
            <w:r>
              <w:rPr>
                <w:sz w:val="20"/>
                <w:szCs w:val="20"/>
              </w:rPr>
              <w:t>Begleitete Erstnutzung mit Aufgabenliste; Think-Aloud.</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D0265FA" w14:textId="77777777" w:rsidR="00913D9B" w:rsidRDefault="00000000">
            <w:pPr>
              <w:spacing w:line="260" w:lineRule="auto"/>
            </w:pPr>
            <w:r>
              <w:rPr>
                <w:sz w:val="20"/>
                <w:szCs w:val="20"/>
              </w:rPr>
              <w:t>Aufgabenprotokoll; Beobachtungsnotizen.</w:t>
            </w:r>
          </w:p>
        </w:tc>
      </w:tr>
      <w:tr w:rsidR="00913D9B" w14:paraId="1F74ED7A"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4254E1C" w14:textId="77777777" w:rsidR="00913D9B" w:rsidRDefault="00000000">
            <w:pPr>
              <w:spacing w:line="260" w:lineRule="auto"/>
            </w:pPr>
            <w:r>
              <w:rPr>
                <w:sz w:val="20"/>
                <w:szCs w:val="20"/>
              </w:rPr>
              <w:t>2 Selbstständige Nutzung</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63267DA" w14:textId="77777777" w:rsidR="00913D9B" w:rsidRDefault="00000000">
            <w:pPr>
              <w:spacing w:line="260" w:lineRule="auto"/>
            </w:pPr>
            <w:r>
              <w:rPr>
                <w:sz w:val="20"/>
                <w:szCs w:val="20"/>
              </w:rPr>
              <w:t>Tag 2 – Tag 7</w:t>
            </w:r>
          </w:p>
        </w:tc>
        <w:tc>
          <w:tcPr>
            <w:tcW w:w="3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6C714AD" w14:textId="77777777" w:rsidR="00913D9B" w:rsidRDefault="00000000">
            <w:pPr>
              <w:spacing w:line="260" w:lineRule="auto"/>
            </w:pPr>
            <w:r>
              <w:rPr>
                <w:sz w:val="20"/>
                <w:szCs w:val="20"/>
              </w:rPr>
              <w:t>Eigenständige Nutzung im Alltag; mindestens drei Sendungen.</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E70FBB4" w14:textId="77777777" w:rsidR="00913D9B" w:rsidRDefault="00000000">
            <w:pPr>
              <w:spacing w:line="260" w:lineRule="auto"/>
            </w:pPr>
            <w:r>
              <w:rPr>
                <w:sz w:val="20"/>
                <w:szCs w:val="20"/>
              </w:rPr>
              <w:t>Tagebuch täglich (5 Min, fünf Items).</w:t>
            </w:r>
          </w:p>
        </w:tc>
      </w:tr>
      <w:tr w:rsidR="00913D9B" w14:paraId="12C5F48B"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3C726ED" w14:textId="77777777" w:rsidR="00913D9B" w:rsidRDefault="00000000">
            <w:pPr>
              <w:spacing w:line="260" w:lineRule="auto"/>
            </w:pPr>
            <w:r>
              <w:rPr>
                <w:sz w:val="20"/>
                <w:szCs w:val="20"/>
              </w:rPr>
              <w:t>3 Post-Test</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A2D487B" w14:textId="77777777" w:rsidR="00913D9B" w:rsidRDefault="00000000">
            <w:pPr>
              <w:spacing w:line="260" w:lineRule="auto"/>
            </w:pPr>
            <w:r>
              <w:rPr>
                <w:sz w:val="20"/>
                <w:szCs w:val="20"/>
              </w:rPr>
              <w:t>Tag 7 (≈ 15 Min)</w:t>
            </w:r>
          </w:p>
        </w:tc>
        <w:tc>
          <w:tcPr>
            <w:tcW w:w="3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6429696" w14:textId="77777777" w:rsidR="00913D9B" w:rsidRDefault="00000000">
            <w:pPr>
              <w:spacing w:line="260" w:lineRule="auto"/>
            </w:pPr>
            <w:r>
              <w:rPr>
                <w:sz w:val="20"/>
                <w:szCs w:val="20"/>
              </w:rPr>
              <w:t>Selbstausfüllen am Ende der Woche.</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397D4A8" w14:textId="77777777" w:rsidR="00913D9B" w:rsidRDefault="00000000">
            <w:pPr>
              <w:spacing w:line="260" w:lineRule="auto"/>
            </w:pPr>
            <w:r>
              <w:rPr>
                <w:sz w:val="20"/>
                <w:szCs w:val="20"/>
              </w:rPr>
              <w:t>SUS; UTAUT2-Kurzform; Wirkungs-Items W1–W8; WHO-5.</w:t>
            </w:r>
          </w:p>
        </w:tc>
      </w:tr>
      <w:tr w:rsidR="00913D9B" w14:paraId="6A37E768"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434539" w14:textId="77777777" w:rsidR="00913D9B" w:rsidRDefault="00000000">
            <w:pPr>
              <w:spacing w:line="260" w:lineRule="auto"/>
            </w:pPr>
            <w:r>
              <w:rPr>
                <w:sz w:val="20"/>
                <w:szCs w:val="20"/>
              </w:rPr>
              <w:t>4 Interview</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2C3758B" w14:textId="77777777" w:rsidR="00913D9B" w:rsidRDefault="00000000">
            <w:pPr>
              <w:spacing w:line="260" w:lineRule="auto"/>
            </w:pPr>
            <w:r>
              <w:rPr>
                <w:sz w:val="20"/>
                <w:szCs w:val="20"/>
              </w:rPr>
              <w:t>Tag 7 oder Tag 8 (≈ 45 Min)</w:t>
            </w:r>
          </w:p>
        </w:tc>
        <w:tc>
          <w:tcPr>
            <w:tcW w:w="3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F814D87" w14:textId="77777777" w:rsidR="00913D9B" w:rsidRDefault="00000000">
            <w:pPr>
              <w:spacing w:line="260" w:lineRule="auto"/>
            </w:pPr>
            <w:r>
              <w:rPr>
                <w:sz w:val="20"/>
                <w:szCs w:val="20"/>
              </w:rPr>
              <w:t>Semi-strukturiertes Interview, audio-aufgezeichnet, transkribiert.</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E8833CC" w14:textId="77777777" w:rsidR="00913D9B" w:rsidRDefault="00000000">
            <w:pPr>
              <w:spacing w:line="260" w:lineRule="auto"/>
            </w:pPr>
            <w:r>
              <w:rPr>
                <w:sz w:val="20"/>
                <w:szCs w:val="20"/>
              </w:rPr>
              <w:t>Leitfaden mit fünf Themenblöcken (s. Anhang G).</w:t>
            </w:r>
          </w:p>
        </w:tc>
      </w:tr>
    </w:tbl>
    <w:p w14:paraId="7DB579DD" w14:textId="77777777" w:rsidR="00913D9B" w:rsidRDefault="00913D9B">
      <w:pPr>
        <w:spacing w:after="120" w:line="300" w:lineRule="auto"/>
        <w:jc w:val="both"/>
      </w:pPr>
    </w:p>
    <w:p w14:paraId="36110181" w14:textId="77777777" w:rsidR="00913D9B" w:rsidRDefault="00000000">
      <w:pPr>
        <w:pStyle w:val="berschrift2"/>
      </w:pPr>
      <w:r>
        <w:t>6.3   Iterativer Aufbau gemäss Betreuerempfehlung</w:t>
      </w:r>
    </w:p>
    <w:p w14:paraId="45739332" w14:textId="77777777" w:rsidR="00913D9B" w:rsidRDefault="00000000">
      <w:pPr>
        <w:spacing w:after="120" w:line="300" w:lineRule="auto"/>
        <w:jc w:val="both"/>
      </w:pPr>
      <w:r>
        <w:t xml:space="preserve">In der Besprechung vom 23. April 2026 wurde ein zweistufiger Pilot vereinbart: Zunächst werden drei Personen befragt, die Befunde fließen in eine Iteration des Prototyps ein, anschließend wird der vollständige Pilot mit fünf bis acht Personen durchgeführt. Der erste Durchlauf wirkt als Voruntersuchung im Sinne von Hevner (2007, Relevance Cycle); er testet </w:t>
        <w:lastRenderedPageBreak/>
        <w:t>primär die Erhebungsinstrumente und die Onboarding-Aufgaben. Skalen-Items werden zwischen den Durchläufen nicht verändert — nur Formulierung und Reihenfolge der Tagebuch-Fragen sowie die Onboarding-Aufgabenliste.</w:t>
      </w:r>
    </w:p>
    <w:p w14:paraId="7DE2BD20" w14:textId="77777777" w:rsidR="00913D9B" w:rsidRDefault="00000000">
      <w:pPr>
        <w:pStyle w:val="berschrift2"/>
      </w:pPr>
      <w:r>
        <w:t>6.4   Stichprobe</w:t>
      </w:r>
    </w:p>
    <w:p w14:paraId="7E7E7E44" w14:textId="77777777" w:rsidR="00913D9B" w:rsidRDefault="00000000">
      <w:pPr>
        <w:spacing w:after="120" w:line="300" w:lineRule="auto"/>
        <w:jc w:val="both"/>
      </w:pPr>
      <w:r>
        <w:t>Convenience Sample aus dem persönlichen und semi-professionellen Umfeld; Inklusionskriterien: 18+ Jahre, Wohnsitz Schweiz, regelmäßige Nutzung mindestens eines digitalen Audio- oder Newsangebots, ausreichende Deutschkenntnisse für Tagebuch und Interview. Quotierung: heterogene Verteilung nach Alter, Geschlecht und Vorerfahrung mit algorithmischen Empfehlungssystemen, soweit aus dem Sample möglich. Bei n = 5–8 ist keine statistische Repräsentativität intendiert.</w:t>
      </w:r>
    </w:p>
    <w:p w14:paraId="55BEEA77" w14:textId="77777777" w:rsidR="00913D9B" w:rsidRDefault="00000000">
      <w:pPr>
        <w:pStyle w:val="berschrift2"/>
      </w:pPr>
      <w:r>
        <w:t>6.5   Datenmanagement</w:t>
      </w:r>
    </w:p>
    <w:p w14:paraId="1835C980" w14:textId="77777777" w:rsidR="00913D9B" w:rsidRDefault="00000000">
      <w:pPr>
        <w:spacing w:after="120" w:line="300" w:lineRule="auto"/>
        <w:jc w:val="both"/>
      </w:pPr>
      <w:r>
        <w:t>Alle Daten werden pseudonymisiert (Code-Liste getrennt vom Datensatz). Tonaufnahmen werden nach Transkription gelöscht. Die Aufbewahrungsfrist für die transkribierten und pseudonymisierten Daten beträgt zwei Jahre nach Abgabe der Arbeit; danach werden sie gelöscht. Die Speicherung erfolgt verschlüsselt auf einem lokalen Datenträger, nicht in einer Cloud.</w:t>
      </w:r>
    </w:p>
    <w:p w14:paraId="627FE70D" w14:textId="77777777" w:rsidR="00913D9B" w:rsidRDefault="00000000">
      <w:pPr>
        <w:pStyle w:val="berschrift1"/>
      </w:pPr>
      <w:r>
        <w:t>7   Auswertungsstrategie</w:t>
      </w:r>
    </w:p>
    <w:p w14:paraId="5FCFB65C" w14:textId="77777777" w:rsidR="00913D9B" w:rsidRDefault="00000000">
      <w:pPr>
        <w:pStyle w:val="berschrift2"/>
      </w:pPr>
      <w:r>
        <w:t>7.1   Quantitativer Strang</w:t>
      </w:r>
    </w:p>
    <w:p w14:paraId="3E93E30E" w14:textId="77777777" w:rsidR="00913D9B" w:rsidRDefault="00000000">
      <w:pPr>
        <w:spacing w:after="120" w:line="300" w:lineRule="auto"/>
        <w:jc w:val="both"/>
      </w:pPr>
      <w:r>
        <w:t>Aufgrund der kleinen Stichprobe wird ausschließlich deskriptiv ausgewertet (Mittelwert, Median, Spannweite, sowie individuelle Werte je Person). Inferenzstatistik wird nicht eingesetzt; die Ergebnisse werden als Indikatoren, nicht als Befunde formuliert. Pre-/Post-Vergleiche (WHO-5) werden auf Personenebene dargestellt.</w:t>
      </w:r>
    </w:p>
    <w:p w14:paraId="4A7A5EAF" w14:textId="77777777" w:rsidR="00913D9B" w:rsidRDefault="00000000">
      <w:pPr>
        <w:pStyle w:val="berschrift2"/>
      </w:pPr>
      <w:r>
        <w:t>7.2   Qualitativer Strang</w:t>
      </w:r>
    </w:p>
    <w:p w14:paraId="538F4E2B" w14:textId="77777777" w:rsidR="00913D9B" w:rsidRDefault="00000000">
      <w:pPr>
        <w:spacing w:after="120" w:line="300" w:lineRule="auto"/>
        <w:jc w:val="both"/>
      </w:pPr>
      <w:r>
        <w:t>Die Tagebuch-Einträge und Interview-Transkripte werden mit qualitativer Inhaltsanalyse nach Mayring (2022) ausgewertet. Das Kategoriensystem ist deduktiv aus den fünf Bausteinen und den Theorieankern abgeleitet (deduktive Kategorien: Autonomie, Transparenz, Calm/Kontrolle, Vielfalt, Bedien­aufwand) und wird induktiv durch im Material auftauchende Themen ergänzt. Mindestens zwei Codings werden durch eine zweite Person blind kontrolliert; Diskrepanzen werden im Diskussionsteil offengelegt.</w:t>
      </w:r>
    </w:p>
    <w:p w14:paraId="3BB6A55B" w14:textId="77777777" w:rsidR="00913D9B" w:rsidRDefault="00000000">
      <w:pPr>
        <w:pStyle w:val="berschrift2"/>
      </w:pPr>
      <w:r>
        <w:t>7.3   Triangulation</w:t>
      </w:r>
    </w:p>
    <w:p w14:paraId="68F276D0" w14:textId="77777777" w:rsidR="00913D9B" w:rsidRDefault="00000000">
      <w:pPr>
        <w:spacing w:after="120" w:line="300" w:lineRule="auto"/>
        <w:jc w:val="both"/>
      </w:pPr>
      <w:r>
        <w:t>In der Diskussion (Kap. 10) werden quantitative Kennwerte und qualitative Themen pro Säule und pro Baustein gegenübergestellt. Konvergente Befunde werden als „gestützt” markiert, divergente Befunde werden als Differenz zwischen wahrgenommener und intendierter Wirkung diskutiert — gerade Letzteres ist für den Erkenntnisgewinn besonders wertvoll.</w:t>
      </w:r>
    </w:p>
    <w:p w14:paraId="38C4F2D6" w14:textId="77777777" w:rsidR="00913D9B" w:rsidRDefault="00000000">
      <w:pPr>
        <w:pStyle w:val="berschrift1"/>
      </w:pPr>
      <w:r>
        <w:t>8   Gütekriterien und Limitationen</w:t>
      </w:r>
    </w:p>
    <w:p w14:paraId="76A4DD72" w14:textId="77777777" w:rsidR="00913D9B" w:rsidRDefault="00000000">
      <w:pPr>
        <w:pStyle w:val="berschrift2"/>
      </w:pPr>
      <w:r>
        <w:lastRenderedPageBreak/>
        <w:t>8.1   Gütekriterien</w:t>
      </w:r>
    </w:p>
    <w:p w14:paraId="2DD05939" w14:textId="77777777" w:rsidR="00913D9B" w:rsidRDefault="00000000">
      <w:pPr>
        <w:pStyle w:val="Listenabsatz"/>
        <w:numPr>
          <w:ilvl w:val="0"/>
          <w:numId w:val="2"/>
        </w:numPr>
        <w:spacing w:after="80" w:line="280" w:lineRule="auto"/>
      </w:pPr>
      <w:r>
        <w:t>Konstruktvalidität — durch die Verwendung etablierter, mehrfach validierter Skalen (ISO 9241-11/SUS, UTAUT2, WHO-5).</w:t>
      </w:r>
    </w:p>
    <w:p w14:paraId="2CFBAE75" w14:textId="77777777" w:rsidR="00913D9B" w:rsidRDefault="00000000">
      <w:pPr>
        <w:pStyle w:val="Listenabsatz"/>
        <w:numPr>
          <w:ilvl w:val="0"/>
          <w:numId w:val="2"/>
        </w:numPr>
        <w:spacing w:after="80" w:line="280" w:lineRule="auto"/>
      </w:pPr>
      <w:r>
        <w:t>Inhaltliche Validität der eigenen Wirkungs-Items — durch das transparente Mapping in Kap. 5.2.</w:t>
      </w:r>
    </w:p>
    <w:p w14:paraId="4E6094AC" w14:textId="77777777" w:rsidR="00913D9B" w:rsidRDefault="00000000">
      <w:pPr>
        <w:pStyle w:val="Listenabsatz"/>
        <w:numPr>
          <w:ilvl w:val="0"/>
          <w:numId w:val="2"/>
        </w:numPr>
        <w:spacing w:after="80" w:line="280" w:lineRule="auto"/>
      </w:pPr>
      <w:r>
        <w:t>Auswertungsobjektivität qualitativ — durch ein vorab dokumentiertes Kategoriensystem und Zweitkodierung mindestens zweier Tagebücher und Interviews.</w:t>
      </w:r>
    </w:p>
    <w:p w14:paraId="6A345FFA" w14:textId="77777777" w:rsidR="00913D9B" w:rsidRDefault="00000000">
      <w:pPr>
        <w:pStyle w:val="Listenabsatz"/>
        <w:numPr>
          <w:ilvl w:val="0"/>
          <w:numId w:val="2"/>
        </w:numPr>
        <w:spacing w:after="80" w:line="280" w:lineRule="auto"/>
      </w:pPr>
      <w:r>
        <w:t>Transparenz und Nachvollziehbarkeit — durch vollständige Veröffentlichung der Instrumente im Anhang.</w:t>
      </w:r>
    </w:p>
    <w:p w14:paraId="7652DD52" w14:textId="77777777" w:rsidR="00913D9B" w:rsidRDefault="00000000">
      <w:pPr>
        <w:pStyle w:val="berschrift2"/>
      </w:pPr>
      <w:r>
        <w:t>8.2   Limitationen</w:t>
      </w:r>
    </w:p>
    <w:p w14:paraId="64019B62" w14:textId="77777777" w:rsidR="00913D9B" w:rsidRDefault="00000000">
      <w:pPr>
        <w:pStyle w:val="Listenabsatz"/>
        <w:numPr>
          <w:ilvl w:val="0"/>
          <w:numId w:val="2"/>
        </w:numPr>
        <w:spacing w:after="80" w:line="280" w:lineRule="auto"/>
      </w:pPr>
      <w:r>
        <w:t>Stichprobengrösse n = 5–8 erlaubt keine inferenzstatistischen Aussagen; alle Befunde sind explorativer Natur.</w:t>
      </w:r>
    </w:p>
    <w:p w14:paraId="2CB2DD8A" w14:textId="77777777" w:rsidR="00913D9B" w:rsidRDefault="00000000">
      <w:pPr>
        <w:pStyle w:val="Listenabsatz"/>
        <w:numPr>
          <w:ilvl w:val="0"/>
          <w:numId w:val="2"/>
        </w:numPr>
        <w:spacing w:after="80" w:line="280" w:lineRule="auto"/>
      </w:pPr>
      <w:r>
        <w:t>Convenience Sample begünstigt eine systematische Selektion (technikaffines, deutschsprachiges Umfeld).</w:t>
      </w:r>
    </w:p>
    <w:p w14:paraId="64E9AFED" w14:textId="77777777" w:rsidR="00913D9B" w:rsidRDefault="00000000">
      <w:pPr>
        <w:pStyle w:val="Listenabsatz"/>
        <w:numPr>
          <w:ilvl w:val="0"/>
          <w:numId w:val="2"/>
        </w:numPr>
        <w:spacing w:after="80" w:line="280" w:lineRule="auto"/>
      </w:pPr>
      <w:r>
        <w:t>Sieben Tage sind zu kurz, um Habit-Effekte (UTAUT2) oder mittelfristige Wellbeing-Veränderungen valide zu messen — der WHO-5 fungiert deshalb als Sicherheitsindikator, nicht als Wirkungsnachweis.</w:t>
      </w:r>
    </w:p>
    <w:p w14:paraId="740F0B29" w14:textId="77777777" w:rsidR="00913D9B" w:rsidRDefault="00000000">
      <w:pPr>
        <w:pStyle w:val="Listenabsatz"/>
        <w:numPr>
          <w:ilvl w:val="0"/>
          <w:numId w:val="2"/>
        </w:numPr>
        <w:spacing w:after="80" w:line="280" w:lineRule="auto"/>
      </w:pPr>
      <w:r>
        <w:t>Selbstauskunft unterliegt sozialer Erwünschtheit; das Tagebuch reduziert dies durch zeitnahe Erhebung, eliminiert sie aber nicht.</w:t>
      </w:r>
    </w:p>
    <w:p w14:paraId="002C0B99" w14:textId="77777777" w:rsidR="00913D9B" w:rsidRDefault="00000000">
      <w:pPr>
        <w:pStyle w:val="berschrift1"/>
      </w:pPr>
      <w:r>
        <w:t>9   Ethik und Einwilligung</w:t>
      </w:r>
    </w:p>
    <w:p w14:paraId="34C5AF0B" w14:textId="77777777" w:rsidR="00913D9B" w:rsidRDefault="00000000">
      <w:pPr>
        <w:spacing w:after="120" w:line="300" w:lineRule="auto"/>
        <w:jc w:val="both"/>
      </w:pPr>
      <w:r>
        <w:t>Die Studie folgt den Grundsätzen der Helsinki-Deklaration (World Medical Association 2013, akt. Fassung) und den ZHAW-Richtlinien für studentische Forschungsarbeiten. Vor Beginn unterzeichnen alle Teilnehmenden eine schriftliche Einwilligungserklärung, die folgende Punkte deckt:</w:t>
      </w:r>
    </w:p>
    <w:p w14:paraId="1ED91742" w14:textId="77777777" w:rsidR="00913D9B" w:rsidRDefault="00000000">
      <w:pPr>
        <w:pStyle w:val="Listenabsatz"/>
        <w:numPr>
          <w:ilvl w:val="0"/>
          <w:numId w:val="2"/>
        </w:numPr>
        <w:spacing w:after="80" w:line="280" w:lineRule="auto"/>
      </w:pPr>
      <w:r>
        <w:t>Zweck und Ablauf der Studie.</w:t>
      </w:r>
    </w:p>
    <w:p w14:paraId="095E142C" w14:textId="77777777" w:rsidR="00913D9B" w:rsidRDefault="00000000">
      <w:pPr>
        <w:pStyle w:val="Listenabsatz"/>
        <w:numPr>
          <w:ilvl w:val="0"/>
          <w:numId w:val="2"/>
        </w:numPr>
        <w:spacing w:after="80" w:line="280" w:lineRule="auto"/>
      </w:pPr>
      <w:r>
        <w:t>Art der erhobenen Daten (Fragebögen, Tagebuch, Interview-Audio, Nutzungslogs des Prototyps).</w:t>
      </w:r>
    </w:p>
    <w:p w14:paraId="7938A39D" w14:textId="77777777" w:rsidR="00913D9B" w:rsidRDefault="00000000">
      <w:pPr>
        <w:pStyle w:val="Listenabsatz"/>
        <w:numPr>
          <w:ilvl w:val="0"/>
          <w:numId w:val="2"/>
        </w:numPr>
        <w:spacing w:after="80" w:line="280" w:lineRule="auto"/>
      </w:pPr>
      <w:r>
        <w:t>Pseudonymisierung, Speicherung, Löschfristen.</w:t>
      </w:r>
    </w:p>
    <w:p w14:paraId="0CE9B0C1" w14:textId="77777777" w:rsidR="00913D9B" w:rsidRDefault="00000000">
      <w:pPr>
        <w:pStyle w:val="Listenabsatz"/>
        <w:numPr>
          <w:ilvl w:val="0"/>
          <w:numId w:val="2"/>
        </w:numPr>
        <w:spacing w:after="80" w:line="280" w:lineRule="auto"/>
      </w:pPr>
      <w:r>
        <w:t>Freiwilligkeit der Teilnahme; jederzeitiges Widerrufsrecht ohne Angabe von Gründen und ohne Nachteile.</w:t>
      </w:r>
    </w:p>
    <w:p w14:paraId="7C2E932F" w14:textId="77777777" w:rsidR="00913D9B" w:rsidRDefault="00000000">
      <w:pPr>
        <w:pStyle w:val="Listenabsatz"/>
        <w:numPr>
          <w:ilvl w:val="0"/>
          <w:numId w:val="2"/>
        </w:numPr>
        <w:spacing w:after="80" w:line="280" w:lineRule="auto"/>
      </w:pPr>
      <w:r>
        <w:t>Verwendung der pseudonymisierten Daten in der Bachelorarbeit und in einer allfälligen wissenschaftlichen Veröffentlichung.</w:t>
      </w:r>
    </w:p>
    <w:p w14:paraId="21D15F52" w14:textId="77777777" w:rsidR="00913D9B" w:rsidRDefault="00000000">
      <w:pPr>
        <w:spacing w:after="120" w:line="300" w:lineRule="auto"/>
        <w:jc w:val="both"/>
      </w:pPr>
      <w:r>
        <w:t>Die Einwilligungserklärung im Wortlaut sowie alle Erhebungsinstrumente finden sich im separaten Dokument „Attune — Erhebungsinstrumente”.</w:t>
      </w:r>
    </w:p>
    <w:p w14:paraId="7842A055" w14:textId="77777777" w:rsidR="00913D9B" w:rsidRDefault="00000000">
      <w:pPr>
        <w:pStyle w:val="berschrift1"/>
      </w:pPr>
      <w:r>
        <w:t>10   Zusammenfassung des Evaluationskonzepts</w:t>
      </w:r>
    </w:p>
    <w:p w14:paraId="2F0DCB06" w14:textId="77777777" w:rsidR="00913D9B" w:rsidRDefault="00000000">
      <w:pPr>
        <w:spacing w:after="120" w:line="300" w:lineRule="auto"/>
        <w:jc w:val="both"/>
      </w:pPr>
      <w:r>
        <w:lastRenderedPageBreak/>
        <w:t>Das Konzept operationalisiert die drei vom Betreuer verlangten Ebenen Usability, Akzeptanz und Wirkung mit jeweils einem etablierten Anker (ISO 9241-11/SUS, UTAUT2, theoretischer Rahmen Kap. 2.3) und einem konkreten Erhebungsinstrument. Die Wirkungssäule ist dabei das eigentliche Argument der Arbeit: sie prüft je Baustein des Forschungsartefakts ein theoriegeleitetes Kriterium und macht den Anspruch — Wellbeing-orientierte Personalisierung mit gleicher Technik wie engagement-getriebene Plattformen — empirisch beurteilbar. Das Mixed-Methods-Design kompensiert die kleine Stichprobe durch dichte qualitative Daten und vollständige Transparenz aller Instrumente. Die nächsten Schritte sind: (i) Pretest der Instrumente mit drei Personen, (ii) Iteration des Prototyps und der Aufgabenliste, (iii) Hauptpilot mit fünf bis acht Personen, (iv) Auswertung gemäss Kap. 7.</w:t>
      </w:r>
    </w:p>
    <w:p w14:paraId="3F327F9E" w14:textId="77777777" w:rsidR="00913D9B" w:rsidRDefault="00000000">
      <w:pPr>
        <w:pStyle w:val="berschrift1"/>
      </w:pPr>
      <w:r>
        <w:t>Quellenverzeichnis (zitiert in diesem Dokument)</w:t>
      </w:r>
    </w:p>
    <w:p w14:paraId="0F56B375" w14:textId="77777777" w:rsidR="00913D9B" w:rsidRPr="00B358EA" w:rsidRDefault="00000000">
      <w:pPr>
        <w:spacing w:after="120" w:line="300" w:lineRule="auto"/>
        <w:jc w:val="both"/>
        <w:rPr>
          <w:lang w:val="en-US"/>
        </w:rPr>
      </w:pPr>
      <w:r>
        <w:t xml:space="preserve">Bangor, A., Kortum, P. T. &amp; Miller, J. T. (2008). </w:t>
      </w:r>
      <w:r>
        <w:rPr>
          <w:lang w:val="en-US"/>
        </w:rPr>
        <w:t>An Empirical Evaluation of the System Usability Scale. International Journal of Human-Computer Interaction, 24 (6), 574–594.</w:t>
      </w:r>
    </w:p>
    <w:p w14:paraId="0C2F47EE" w14:textId="77777777" w:rsidR="00913D9B" w:rsidRDefault="00000000">
      <w:pPr>
        <w:spacing w:after="120" w:line="300" w:lineRule="auto"/>
        <w:jc w:val="both"/>
      </w:pPr>
      <w:r>
        <w:rPr>
          <w:lang w:val="en-US"/>
        </w:rPr>
        <w:t xml:space="preserve">Bech, P., Olsen, L. R., Kjoller, M. &amp; Rasmussen, N. K. (2003). Measuring well-being rather than the absence of distress symptoms: a comparison of the SF-36 Mental Health subscale and the WHO-Five Well-Being Scale. </w:t>
      </w:r>
      <w:r>
        <w:t>International Journal of Methods in Psychiatric Research, 12 (2), 85–91.</w:t>
      </w:r>
    </w:p>
    <w:p w14:paraId="0CE72053" w14:textId="77777777" w:rsidR="00913D9B" w:rsidRPr="00B358EA" w:rsidRDefault="00000000">
      <w:pPr>
        <w:spacing w:after="120" w:line="300" w:lineRule="auto"/>
        <w:jc w:val="both"/>
        <w:rPr>
          <w:lang w:val="en-US"/>
        </w:rPr>
      </w:pPr>
      <w:r>
        <w:t xml:space="preserve">Brähler, E., Mühlan, H., Albani, C. &amp; Schmidt, S. (2007). Teststatistische Prüfung und Normierung der deutschen Versionen des EUROHIS-QOL Lebensqualität-Index und des WHO-5 Wohlbefindens-Index. </w:t>
      </w:r>
      <w:r>
        <w:rPr>
          <w:lang w:val="en-US"/>
        </w:rPr>
        <w:t>Diagnostica, 53 (2), 83–96.</w:t>
      </w:r>
    </w:p>
    <w:p w14:paraId="19CFBFBC" w14:textId="77777777" w:rsidR="00913D9B" w:rsidRPr="00B358EA" w:rsidRDefault="00000000">
      <w:pPr>
        <w:spacing w:after="120" w:line="300" w:lineRule="auto"/>
        <w:jc w:val="both"/>
        <w:rPr>
          <w:lang w:val="en-US"/>
        </w:rPr>
      </w:pPr>
      <w:r>
        <w:rPr>
          <w:lang w:val="en-US"/>
        </w:rPr>
        <w:t>Brooke, J. (1996). SUS — A quick and dirty usability scale. In: P. W. Jordan et al. (Hrsg.), Usability Evaluation in Industry (S. 189–194). Taylor &amp; Francis.</w:t>
      </w:r>
    </w:p>
    <w:p w14:paraId="51FB4FE2" w14:textId="77777777" w:rsidR="00913D9B" w:rsidRPr="00B358EA" w:rsidRDefault="00000000">
      <w:pPr>
        <w:spacing w:after="120" w:line="300" w:lineRule="auto"/>
        <w:jc w:val="both"/>
        <w:rPr>
          <w:lang w:val="en-US"/>
        </w:rPr>
      </w:pPr>
      <w:r>
        <w:rPr>
          <w:lang w:val="en-US"/>
        </w:rPr>
        <w:t>Creswell, J. W. &amp; Plano Clark, V. L. (2018). Designing and Conducting Mixed Methods Research (3. Aufl.). Sage.</w:t>
      </w:r>
    </w:p>
    <w:p w14:paraId="313480F9" w14:textId="77777777" w:rsidR="00913D9B" w:rsidRPr="00B358EA" w:rsidRDefault="00000000">
      <w:pPr>
        <w:spacing w:after="120" w:line="300" w:lineRule="auto"/>
        <w:jc w:val="both"/>
        <w:rPr>
          <w:lang w:val="en-US"/>
        </w:rPr>
      </w:pPr>
      <w:r>
        <w:rPr>
          <w:lang w:val="en-US"/>
        </w:rPr>
        <w:t>Hendry, D. G., Friedman, B. &amp; Ballard, S. (2021). Value-Sensitive Design as a Formative Framework. Ethics and Information Technology, 23 (1), 39–44.</w:t>
      </w:r>
    </w:p>
    <w:p w14:paraId="46448B33" w14:textId="77777777" w:rsidR="00913D9B" w:rsidRPr="00B358EA" w:rsidRDefault="00000000">
      <w:pPr>
        <w:spacing w:after="120" w:line="300" w:lineRule="auto"/>
        <w:jc w:val="both"/>
        <w:rPr>
          <w:lang w:val="en-US"/>
        </w:rPr>
      </w:pPr>
      <w:r>
        <w:rPr>
          <w:lang w:val="en-US"/>
        </w:rPr>
        <w:t>Hevner, A. R. (2007). A Three Cycle View of Design Science Research. Scandinavian Journal of Information Systems, 19 (2), 87–92.</w:t>
      </w:r>
    </w:p>
    <w:p w14:paraId="4E9D0CF3" w14:textId="77777777" w:rsidR="00913D9B" w:rsidRPr="00B358EA" w:rsidRDefault="00000000">
      <w:pPr>
        <w:spacing w:after="120" w:line="300" w:lineRule="auto"/>
        <w:jc w:val="both"/>
        <w:rPr>
          <w:lang w:val="en-US"/>
        </w:rPr>
      </w:pPr>
      <w:r>
        <w:rPr>
          <w:lang w:val="en-US"/>
        </w:rPr>
        <w:t>ISO 9241-11:2018. Ergonomics of human-system interaction — Part 11: Usability: Definitions and concepts. International Organization for Standardization.</w:t>
      </w:r>
    </w:p>
    <w:p w14:paraId="7A06B5EB" w14:textId="77777777" w:rsidR="00913D9B" w:rsidRPr="00B358EA" w:rsidRDefault="00000000">
      <w:pPr>
        <w:spacing w:after="120" w:line="300" w:lineRule="auto"/>
        <w:jc w:val="both"/>
        <w:rPr>
          <w:lang w:val="en-US"/>
        </w:rPr>
      </w:pPr>
      <w:r>
        <w:rPr>
          <w:lang w:val="en-US"/>
        </w:rPr>
        <w:t>Lewis, J. R. &amp; Sauro, J. (2009). The Factor Structure of the System Usability Scale. In: M. Kurosu (Hrsg.), Human Centered Design (S. 94–103). Springer.</w:t>
      </w:r>
    </w:p>
    <w:p w14:paraId="6E7DEAEF" w14:textId="77777777" w:rsidR="00913D9B" w:rsidRPr="00B358EA" w:rsidRDefault="00000000">
      <w:pPr>
        <w:spacing w:after="120" w:line="300" w:lineRule="auto"/>
        <w:jc w:val="both"/>
        <w:rPr>
          <w:lang w:val="en-US"/>
        </w:rPr>
      </w:pPr>
      <w:r>
        <w:rPr>
          <w:lang w:val="en-US"/>
        </w:rPr>
        <w:t xml:space="preserve">Mayring, P. (2022). </w:t>
      </w:r>
      <w:r>
        <w:t xml:space="preserve">Qualitative Inhaltsanalyse: Grundlagen und Techniken (13. Aufl.). </w:t>
      </w:r>
      <w:r>
        <w:rPr>
          <w:lang w:val="en-US"/>
        </w:rPr>
        <w:t>Beltz.</w:t>
      </w:r>
    </w:p>
    <w:p w14:paraId="6FAAC8AF" w14:textId="77777777" w:rsidR="00913D9B" w:rsidRPr="00B358EA" w:rsidRDefault="00000000">
      <w:pPr>
        <w:spacing w:after="120" w:line="300" w:lineRule="auto"/>
        <w:jc w:val="both"/>
        <w:rPr>
          <w:lang w:val="en-US"/>
        </w:rPr>
      </w:pPr>
      <w:r>
        <w:rPr>
          <w:lang w:val="en-US"/>
        </w:rPr>
        <w:t>Peters, D., Calvo, R. A. &amp; Ryan, R. M. (2018). Designing for Motivation, Engagement and Wellbeing in Digital Experience. Frontiers in Psychology, 9, 797.</w:t>
      </w:r>
    </w:p>
    <w:p w14:paraId="05E1D724" w14:textId="77777777" w:rsidR="00913D9B" w:rsidRPr="00B358EA" w:rsidRDefault="00000000">
      <w:pPr>
        <w:spacing w:after="120" w:line="300" w:lineRule="auto"/>
        <w:jc w:val="both"/>
        <w:rPr>
          <w:lang w:val="en-US"/>
        </w:rPr>
      </w:pPr>
      <w:r>
        <w:rPr>
          <w:lang w:val="en-US"/>
        </w:rPr>
        <w:t>Reviglio, U. &amp; Agosti, C. (2020). Thinking Outside the Black-Box: The Case for „Algorithmic Sovereignty” in Social Media. Social Media + Society, 6 (2).</w:t>
      </w:r>
    </w:p>
    <w:p w14:paraId="44073367" w14:textId="77777777" w:rsidR="00913D9B" w:rsidRDefault="00000000">
      <w:pPr>
        <w:spacing w:after="120" w:line="300" w:lineRule="auto"/>
        <w:jc w:val="both"/>
      </w:pPr>
      <w:r>
        <w:rPr>
          <w:lang w:val="en-US"/>
        </w:rPr>
        <w:lastRenderedPageBreak/>
        <w:t xml:space="preserve">Ryan, R. M. &amp; Deci, E. L. (2000). Self-Determination Theory and the Facilitation of Intrinsic Motivation, Social Development, and Well-Being. </w:t>
      </w:r>
      <w:r>
        <w:t>American Psychologist, 55 (1), 68–78.</w:t>
      </w:r>
    </w:p>
    <w:p w14:paraId="634BE084" w14:textId="77777777" w:rsidR="00913D9B" w:rsidRPr="00B358EA" w:rsidRDefault="00000000">
      <w:pPr>
        <w:spacing w:after="120" w:line="300" w:lineRule="auto"/>
        <w:jc w:val="both"/>
        <w:rPr>
          <w:lang w:val="en-US"/>
        </w:rPr>
      </w:pPr>
      <w:r>
        <w:t xml:space="preserve">Topp, C. W., Østergaard, S. D., Søndergaard, S. &amp; Bech, P. (2015). </w:t>
      </w:r>
      <w:r>
        <w:rPr>
          <w:lang w:val="en-US"/>
        </w:rPr>
        <w:t>The WHO-5 Well-Being Index: A Systematic Review of the Literature. Psychotherapy and Psychosomatics, 84 (3), 167–176.</w:t>
      </w:r>
    </w:p>
    <w:p w14:paraId="70F10995" w14:textId="77777777" w:rsidR="00913D9B" w:rsidRPr="00B358EA" w:rsidRDefault="00000000">
      <w:pPr>
        <w:spacing w:after="120" w:line="300" w:lineRule="auto"/>
        <w:jc w:val="both"/>
        <w:rPr>
          <w:lang w:val="en-US"/>
        </w:rPr>
      </w:pPr>
      <w:r>
        <w:rPr>
          <w:lang w:val="en-US"/>
        </w:rPr>
        <w:t>Vanden Abeele, M. M. P. (2021). Digital Wellbeing as a Dynamic Construct. Communication Theory, 31 (4), 932–955.</w:t>
      </w:r>
    </w:p>
    <w:p w14:paraId="6A098CF7" w14:textId="77777777" w:rsidR="00913D9B" w:rsidRPr="00B358EA" w:rsidRDefault="00000000">
      <w:pPr>
        <w:spacing w:after="120" w:line="300" w:lineRule="auto"/>
        <w:jc w:val="both"/>
        <w:rPr>
          <w:lang w:val="en-US"/>
        </w:rPr>
      </w:pPr>
      <w:r>
        <w:rPr>
          <w:lang w:val="en-US"/>
        </w:rPr>
        <w:t>Venkatesh, V., Morris, M. G., Davis, G. B. &amp; Davis, F. D. (2003). User Acceptance of Information Technology: Toward a Unified View. MIS Quarterly, 27 (3), 425–478.</w:t>
      </w:r>
    </w:p>
    <w:p w14:paraId="0B71D90B" w14:textId="77777777" w:rsidR="00913D9B" w:rsidRPr="00B358EA" w:rsidRDefault="00000000">
      <w:pPr>
        <w:spacing w:after="120" w:line="300" w:lineRule="auto"/>
        <w:jc w:val="both"/>
        <w:rPr>
          <w:lang w:val="en-US"/>
        </w:rPr>
      </w:pPr>
      <w:r>
        <w:rPr>
          <w:lang w:val="en-US"/>
        </w:rPr>
        <w:t>Venkatesh, V., Thong, J. Y. L. &amp; Xu, X. (2012). Consumer Acceptance and Use of Information Technology: Extending the Unified Theory of Acceptance and Use of Technology. MIS Quarterly, 36 (1), 157–178.</w:t>
      </w:r>
    </w:p>
    <w:p w14:paraId="29A03165" w14:textId="77777777" w:rsidR="00913D9B" w:rsidRPr="00B358EA" w:rsidRDefault="00000000">
      <w:pPr>
        <w:spacing w:after="120" w:line="300" w:lineRule="auto"/>
        <w:jc w:val="both"/>
        <w:rPr>
          <w:lang w:val="en-US"/>
        </w:rPr>
      </w:pPr>
      <w:r>
        <w:rPr>
          <w:lang w:val="en-US"/>
        </w:rPr>
        <w:t>World Medical Association (2013). WMA Declaration of Helsinki — Ethical Principles for Medical Research Involving Human Subjects.</w:t>
      </w:r>
    </w:p>
    <w:sectPr w:rsidR="00913D9B" w:rsidRPr="00B358EA">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9CA4F" w14:textId="77777777" w:rsidR="00FB7AF7" w:rsidRDefault="00FB7AF7">
      <w:r>
        <w:separator/>
      </w:r>
    </w:p>
  </w:endnote>
  <w:endnote w:type="continuationSeparator" w:id="0">
    <w:p w14:paraId="25E7B3B5" w14:textId="77777777" w:rsidR="00FB7AF7" w:rsidRDefault="00FB7A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3D0A7" w14:textId="77777777" w:rsidR="00913D9B" w:rsidRDefault="00000000">
    <w:pPr>
      <w:jc w:val="center"/>
    </w:pPr>
    <w:r>
      <w:rPr>
        <w:color w:val="888888"/>
        <w:sz w:val="18"/>
        <w:szCs w:val="18"/>
      </w:rPr>
      <w:t xml:space="preserve">Seite </w:t>
    </w:r>
    <w:r>
      <w:rPr>
        <w:color w:val="888888"/>
        <w:sz w:val="18"/>
        <w:szCs w:val="18"/>
      </w:rPr>
      <w:fldChar w:fldCharType="begin"/>
    </w:r>
    <w:r>
      <w:rPr>
        <w:color w:val="888888"/>
        <w:sz w:val="18"/>
        <w:szCs w:val="18"/>
      </w:rPr>
      <w:instrText>PAGE</w:instrText>
    </w:r>
    <w:r>
      <w:rPr>
        <w:color w:val="888888"/>
        <w:sz w:val="18"/>
        <w:szCs w:val="18"/>
      </w:rPr>
      <w:fldChar w:fldCharType="separate"/>
    </w:r>
    <w:r w:rsidR="00B358EA">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B358EA">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69E51" w14:textId="77777777" w:rsidR="00FB7AF7" w:rsidRDefault="00FB7AF7">
      <w:r>
        <w:separator/>
      </w:r>
    </w:p>
  </w:footnote>
  <w:footnote w:type="continuationSeparator" w:id="0">
    <w:p w14:paraId="60D9FA68" w14:textId="77777777" w:rsidR="00FB7AF7" w:rsidRDefault="00FB7A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BDAF7" w14:textId="77777777" w:rsidR="00913D9B" w:rsidRDefault="00000000">
    <w:pPr>
      <w:jc w:val="right"/>
    </w:pPr>
    <w:r>
      <w:rPr>
        <w:color w:val="888888"/>
        <w:sz w:val="18"/>
        <w:szCs w:val="18"/>
      </w:rPr>
      <w:t>Attune — Evaluationskonzept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87969"/>
    <w:multiLevelType w:val="hybridMultilevel"/>
    <w:tmpl w:val="064AA6B0"/>
    <w:lvl w:ilvl="0" w:tplc="51A20AEA">
      <w:start w:val="1"/>
      <w:numFmt w:val="bullet"/>
      <w:lvlText w:val="●"/>
      <w:lvlJc w:val="left"/>
      <w:pPr>
        <w:ind w:left="720" w:hanging="360"/>
      </w:pPr>
    </w:lvl>
    <w:lvl w:ilvl="1" w:tplc="28500EEC">
      <w:start w:val="1"/>
      <w:numFmt w:val="bullet"/>
      <w:lvlText w:val="○"/>
      <w:lvlJc w:val="left"/>
      <w:pPr>
        <w:ind w:left="1440" w:hanging="360"/>
      </w:pPr>
    </w:lvl>
    <w:lvl w:ilvl="2" w:tplc="CA8E3488">
      <w:start w:val="1"/>
      <w:numFmt w:val="bullet"/>
      <w:lvlText w:val="■"/>
      <w:lvlJc w:val="left"/>
      <w:pPr>
        <w:ind w:left="2160" w:hanging="360"/>
      </w:pPr>
    </w:lvl>
    <w:lvl w:ilvl="3" w:tplc="C722E46E">
      <w:start w:val="1"/>
      <w:numFmt w:val="bullet"/>
      <w:lvlText w:val="●"/>
      <w:lvlJc w:val="left"/>
      <w:pPr>
        <w:ind w:left="2880" w:hanging="360"/>
      </w:pPr>
    </w:lvl>
    <w:lvl w:ilvl="4" w:tplc="0F80EC3C">
      <w:start w:val="1"/>
      <w:numFmt w:val="bullet"/>
      <w:lvlText w:val="○"/>
      <w:lvlJc w:val="left"/>
      <w:pPr>
        <w:ind w:left="3600" w:hanging="360"/>
      </w:pPr>
    </w:lvl>
    <w:lvl w:ilvl="5" w:tplc="717E78CA">
      <w:start w:val="1"/>
      <w:numFmt w:val="bullet"/>
      <w:lvlText w:val="■"/>
      <w:lvlJc w:val="left"/>
      <w:pPr>
        <w:ind w:left="4320" w:hanging="360"/>
      </w:pPr>
    </w:lvl>
    <w:lvl w:ilvl="6" w:tplc="766EDA92">
      <w:start w:val="1"/>
      <w:numFmt w:val="bullet"/>
      <w:lvlText w:val="●"/>
      <w:lvlJc w:val="left"/>
      <w:pPr>
        <w:ind w:left="5040" w:hanging="360"/>
      </w:pPr>
    </w:lvl>
    <w:lvl w:ilvl="7" w:tplc="AF4099C4">
      <w:start w:val="1"/>
      <w:numFmt w:val="bullet"/>
      <w:lvlText w:val="●"/>
      <w:lvlJc w:val="left"/>
      <w:pPr>
        <w:ind w:left="5760" w:hanging="360"/>
      </w:pPr>
    </w:lvl>
    <w:lvl w:ilvl="8" w:tplc="9894D8AA">
      <w:start w:val="1"/>
      <w:numFmt w:val="bullet"/>
      <w:lvlText w:val="●"/>
      <w:lvlJc w:val="left"/>
      <w:pPr>
        <w:ind w:left="6480" w:hanging="360"/>
      </w:pPr>
    </w:lvl>
  </w:abstractNum>
  <w:abstractNum w:abstractNumId="1" w15:restartNumberingAfterBreak="0">
    <w:nsid w:val="12EB05CE"/>
    <w:multiLevelType w:val="hybridMultilevel"/>
    <w:tmpl w:val="BB02EB18"/>
    <w:lvl w:ilvl="0" w:tplc="9A762530">
      <w:start w:val="1"/>
      <w:numFmt w:val="bullet"/>
      <w:lvlText w:val="•"/>
      <w:lvlJc w:val="left"/>
      <w:pPr>
        <w:ind w:left="720" w:hanging="360"/>
      </w:pPr>
    </w:lvl>
    <w:lvl w:ilvl="1" w:tplc="01C41A38">
      <w:numFmt w:val="decimal"/>
      <w:lvlText w:val=""/>
      <w:lvlJc w:val="left"/>
    </w:lvl>
    <w:lvl w:ilvl="2" w:tplc="46F4563C">
      <w:numFmt w:val="decimal"/>
      <w:lvlText w:val=""/>
      <w:lvlJc w:val="left"/>
    </w:lvl>
    <w:lvl w:ilvl="3" w:tplc="AF4C88F0">
      <w:numFmt w:val="decimal"/>
      <w:lvlText w:val=""/>
      <w:lvlJc w:val="left"/>
    </w:lvl>
    <w:lvl w:ilvl="4" w:tplc="C57E2C8C">
      <w:numFmt w:val="decimal"/>
      <w:lvlText w:val=""/>
      <w:lvlJc w:val="left"/>
    </w:lvl>
    <w:lvl w:ilvl="5" w:tplc="5DA63338">
      <w:numFmt w:val="decimal"/>
      <w:lvlText w:val=""/>
      <w:lvlJc w:val="left"/>
    </w:lvl>
    <w:lvl w:ilvl="6" w:tplc="43F0B304">
      <w:numFmt w:val="decimal"/>
      <w:lvlText w:val=""/>
      <w:lvlJc w:val="left"/>
    </w:lvl>
    <w:lvl w:ilvl="7" w:tplc="301CF882">
      <w:numFmt w:val="decimal"/>
      <w:lvlText w:val=""/>
      <w:lvlJc w:val="left"/>
    </w:lvl>
    <w:lvl w:ilvl="8" w:tplc="36E8BA38">
      <w:numFmt w:val="decimal"/>
      <w:lvlText w:val=""/>
      <w:lvlJc w:val="left"/>
    </w:lvl>
  </w:abstractNum>
  <w:num w:numId="1" w16cid:durableId="65342519">
    <w:abstractNumId w:val="0"/>
    <w:lvlOverride w:ilvl="0">
      <w:startOverride w:val="1"/>
    </w:lvlOverride>
  </w:num>
  <w:num w:numId="2" w16cid:durableId="11458995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D9B"/>
    <w:rsid w:val="007E4EF8"/>
    <w:rsid w:val="00913D9B"/>
    <w:rsid w:val="00B358EA"/>
    <w:rsid w:val="00F5744F"/>
    <w:rsid w:val="00FB7AF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2D23B"/>
  <w15:docId w15:val="{A5BF1E7C-7302-40FB-B666-7AC311A7B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180"/>
      <w:outlineLvl w:val="0"/>
    </w:pPr>
    <w:rPr>
      <w:b/>
      <w:bCs/>
      <w:color w:val="1F3A5F"/>
      <w:sz w:val="30"/>
      <w:szCs w:val="30"/>
    </w:rPr>
  </w:style>
  <w:style w:type="paragraph" w:styleId="berschrift2">
    <w:name w:val="heading 2"/>
    <w:uiPriority w:val="9"/>
    <w:unhideWhenUsed/>
    <w:qFormat/>
    <w:pPr>
      <w:spacing w:before="280" w:after="140"/>
      <w:outlineLvl w:val="1"/>
    </w:pPr>
    <w:rPr>
      <w:b/>
      <w:bCs/>
      <w:color w:val="1F3A5F"/>
      <w:sz w:val="26"/>
      <w:szCs w:val="26"/>
    </w:rPr>
  </w:style>
  <w:style w:type="paragraph" w:styleId="berschrift3">
    <w:name w:val="heading 3"/>
    <w:uiPriority w:val="9"/>
    <w:semiHidden/>
    <w:unhideWhenUsed/>
    <w:qFormat/>
    <w:pPr>
      <w:spacing w:before="220" w:after="120"/>
      <w:outlineLvl w:val="2"/>
    </w:pPr>
    <w:rPr>
      <w:b/>
      <w:bCs/>
      <w:color w:val="333333"/>
      <w:sz w:val="23"/>
      <w:szCs w:val="23"/>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2629</Words>
  <Characters>16563</Characters>
  <Application>Microsoft Office Word</Application>
  <DocSecurity>0</DocSecurity>
  <Lines>138</Lines>
  <Paragraphs>38</Paragraphs>
  <ScaleCrop>false</ScaleCrop>
  <HeadingPairs>
    <vt:vector size="2" baseType="variant">
      <vt:variant>
        <vt:lpstr>Titel</vt:lpstr>
      </vt:variant>
      <vt:variant>
        <vt:i4>1</vt:i4>
      </vt:variant>
    </vt:vector>
  </HeadingPairs>
  <TitlesOfParts>
    <vt:vector size="1" baseType="lpstr">
      <vt:lpstr>Radio 25 — Evaluationskonzept</vt:lpstr>
    </vt:vector>
  </TitlesOfParts>
  <Company/>
  <LinksUpToDate>false</LinksUpToDate>
  <CharactersWithSpaces>19154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25 — Evaluationskonzept</dc:title>
  <dc:creator>Radio 25 Thesis</dc:creator>
  <cp:lastModifiedBy>Michael Möckli</cp:lastModifiedBy>
  <cp:revision>3</cp:revision>
  <dcterms:created xsi:type="dcterms:W3CDTF">2026-04-28T19:41:00Z</dcterms:created>
  <dcterms:modified xsi:type="dcterms:W3CDTF">2026-05-01T00:15:00Z</dcterms:modified>
</cp:coreProperties>
</file>