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7E62" w14:textId="77777777" w:rsidR="001666F9" w:rsidRDefault="00000000">
      <w:pPr>
        <w:spacing w:before="800" w:after="200"/>
        <w:jc w:val="center"/>
      </w:pPr>
      <w:r>
        <w:rPr>
          <w:b/>
          <w:bCs/>
        </w:rPr>
        <w:t>ZHAW Zürcher Hochschule für Angewandte Wissenschaften</w:t>
      </w:r>
    </w:p>
    <w:p w14:paraId="6DCE2DDF" w14:textId="77777777" w:rsidR="001666F9" w:rsidRDefault="00000000">
      <w:pPr>
        <w:spacing w:after="1200"/>
        <w:jc w:val="center"/>
      </w:pPr>
      <w:r>
        <w:t>Institut für Wirtschaftsinformatik</w:t>
      </w:r>
    </w:p>
    <w:p w14:paraId="19C2ADAA" w14:textId="77777777" w:rsidR="001666F9" w:rsidRDefault="00000000">
      <w:pPr>
        <w:spacing w:after="600"/>
        <w:jc w:val="center"/>
      </w:pPr>
      <w:r>
        <w:rPr>
          <w:b/>
          <w:bCs/>
          <w:sz w:val="28"/>
          <w:szCs w:val="28"/>
        </w:rPr>
        <w:t>BSc-Thesis</w:t>
      </w:r>
    </w:p>
    <w:p w14:paraId="5C8D1884" w14:textId="77777777" w:rsidR="001666F9" w:rsidRDefault="00000000">
      <w:pPr>
        <w:spacing w:after="80"/>
        <w:jc w:val="center"/>
      </w:pPr>
      <w:r>
        <w:rPr>
          <w:b/>
          <w:bCs/>
          <w:sz w:val="44"/>
          <w:szCs w:val="44"/>
        </w:rPr>
        <w:t>Attune: Nutzerzentrierte Personalisierung</w:t>
      </w:r>
    </w:p>
    <w:p w14:paraId="2BF25DEA" w14:textId="77777777" w:rsidR="001666F9" w:rsidRDefault="00000000">
      <w:pPr>
        <w:spacing w:after="80"/>
        <w:jc w:val="center"/>
      </w:pPr>
      <w:r>
        <w:rPr>
          <w:b/>
          <w:bCs/>
          <w:sz w:val="44"/>
          <w:szCs w:val="44"/>
        </w:rPr>
        <w:t>im vollautomatisierten Radio</w:t>
      </w:r>
    </w:p>
    <w:p w14:paraId="0C09AB4F" w14:textId="77777777" w:rsidR="001666F9" w:rsidRDefault="00000000">
      <w:pPr>
        <w:spacing w:after="1200"/>
        <w:jc w:val="center"/>
      </w:pPr>
      <w:r>
        <w:rPr>
          <w:i/>
          <w:iCs/>
          <w:sz w:val="28"/>
          <w:szCs w:val="28"/>
        </w:rPr>
        <w:t>Eine Konzeptstudie im Kontext von Digital Wellbeing</w:t>
      </w:r>
    </w:p>
    <w:p w14:paraId="69FDAC3F" w14:textId="77777777" w:rsidR="001666F9" w:rsidRDefault="00000000">
      <w:pPr>
        <w:spacing w:after="80"/>
        <w:jc w:val="center"/>
      </w:pPr>
      <w:r>
        <w:t>Autor: Michael Möckli</w:t>
      </w:r>
    </w:p>
    <w:p w14:paraId="43C5CFB8" w14:textId="77777777" w:rsidR="001666F9" w:rsidRDefault="00000000">
      <w:pPr>
        <w:spacing w:after="80"/>
        <w:jc w:val="center"/>
      </w:pPr>
      <w:r>
        <w:t>Betreuer: Alexandre de Spindler</w:t>
      </w:r>
    </w:p>
    <w:p w14:paraId="16BE8FBA" w14:textId="77777777" w:rsidR="001666F9" w:rsidRDefault="00000000">
      <w:pPr>
        <w:spacing w:after="200"/>
        <w:jc w:val="center"/>
      </w:pPr>
      <w:r>
        <w:t>Stand: 25. April 2026</w:t>
      </w:r>
    </w:p>
    <w:p w14:paraId="279C89CB" w14:textId="77777777" w:rsidR="001666F9" w:rsidRDefault="00000000">
      <w:pPr>
        <w:pStyle w:val="berschrift1"/>
        <w:pageBreakBefore/>
      </w:pPr>
      <w:r>
        <w:lastRenderedPageBreak/>
        <w:t>1  Motivation</w:t>
      </w:r>
    </w:p>
    <w:p w14:paraId="3B5F0591" w14:textId="77777777" w:rsidR="001666F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14:paraId="476556D4" w14:textId="77777777" w:rsidR="001666F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15C0E3FA" w14:textId="77777777" w:rsidR="001666F9" w:rsidRDefault="00000000">
      <w:pPr>
        <w:pStyle w:val="berschrift2"/>
      </w:pPr>
      <w:r>
        <w:t>1.1  Das Spannungsfeld zwischen Nutzer und Anbieter</w:t>
      </w:r>
    </w:p>
    <w:p w14:paraId="23F6A2F2" w14:textId="77777777" w:rsidR="001666F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14:paraId="47D5EF70" w14:textId="77777777" w:rsidR="001666F9" w:rsidRDefault="00000000">
      <w:pPr>
        <w:spacing w:after="160" w:line="360" w:lineRule="auto"/>
      </w:pPr>
      <w:r>
        <w:t>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14:paraId="754F6723" w14:textId="77777777" w:rsidR="001666F9" w:rsidRDefault="00000000">
      <w:pPr>
        <w:spacing w:after="160" w:line="360" w:lineRule="auto"/>
      </w:pPr>
      <w:r>
        <w:t xml:space="preserve">Solange die Ziele beider Seiten in die gleiche Richtung zeigen, ist dieses System funktional. Problematisch wird es dort, wo die Maximierung der Verweildauer nicht mehr mit dem Wohlbefinden der Nutzenden übereinstimmt, etwa weil Inhalte bewusst emotional </w:t>
      </w:r>
      <w:r>
        <w:lastRenderedPageBreak/>
        <w:t>aufgeladen werden, weil Nutzungssessions künstlich verlängert werden oder weil Vielfalt zugunsten reiner Relevanz geopfert wird. Genau dies ist in den letzten Jahren empirisch immer besser dokumentiert (Burr et al., 2020; Milano et al., 2020).</w:t>
      </w:r>
    </w:p>
    <w:p w14:paraId="0234A68D" w14:textId="77777777" w:rsidR="001666F9" w:rsidRDefault="00000000">
      <w:pPr>
        <w:pStyle w:val="berschrift2"/>
      </w:pPr>
      <w:r>
        <w:t>1.2  Das Geschäftsmodell der Aufmerksamkeitsökonomie</w:t>
      </w:r>
    </w:p>
    <w:p w14:paraId="38E61403" w14:textId="77777777" w:rsidR="001666F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6D9A980C" w14:textId="77777777" w:rsidR="001666F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5EC7F6D9" w14:textId="77777777" w:rsidR="001666F9" w:rsidRDefault="00000000">
      <w:pPr>
        <w:pStyle w:val="berschrift2"/>
      </w:pPr>
      <w:r>
        <w:t>1.3  Manipulative Designmuster</w:t>
      </w:r>
    </w:p>
    <w:p w14:paraId="3855D1A7" w14:textId="77777777" w:rsidR="001666F9" w:rsidRDefault="00000000">
      <w:pPr>
        <w:spacing w:after="160" w:line="360" w:lineRule="auto"/>
      </w:pPr>
      <w:r>
        <w:t>Die ökonomische Logik manifestiert sich in konkreten Designmustern, die gezielt auf Schwachstellen der menschlichen Psyche zielen. Zu den am besten dokumentierten Mustern gehören:</w:t>
      </w:r>
    </w:p>
    <w:p w14:paraId="4F58BFF2" w14:textId="77777777" w:rsidR="001666F9" w:rsidRDefault="00000000">
      <w:pPr>
        <w:pStyle w:val="Listenabsatz"/>
        <w:numPr>
          <w:ilvl w:val="0"/>
          <w:numId w:val="2"/>
        </w:numPr>
        <w:spacing w:after="80" w:line="360" w:lineRule="auto"/>
      </w:pPr>
      <w:r>
        <w:t>Endloses Scrollen (Infinite Scroll), das natürliche Unterbrechungspunkte entfernt und die Verweildauer verlängert.</w:t>
      </w:r>
    </w:p>
    <w:p w14:paraId="1AC87D4F" w14:textId="77777777" w:rsidR="001666F9" w:rsidRDefault="00000000">
      <w:pPr>
        <w:pStyle w:val="Listenabsatz"/>
        <w:numPr>
          <w:ilvl w:val="0"/>
          <w:numId w:val="2"/>
        </w:numPr>
        <w:spacing w:after="80" w:line="360" w:lineRule="auto"/>
      </w:pPr>
      <w:r>
        <w:t>Variable Belohnungsmuster nach dem Vorbild des Glücksspiels: unvorhersehbare Erfolgserlebnisse (Likes, neue Inhalte, Matches) halten die Aufmerksamkeit aufrecht.</w:t>
      </w:r>
    </w:p>
    <w:p w14:paraId="187C03BD" w14:textId="77777777" w:rsidR="001666F9" w:rsidRDefault="00000000">
      <w:pPr>
        <w:pStyle w:val="Listenabsatz"/>
        <w:numPr>
          <w:ilvl w:val="0"/>
          <w:numId w:val="2"/>
        </w:numPr>
        <w:spacing w:after="80" w:line="360" w:lineRule="auto"/>
      </w:pPr>
      <w:r>
        <w:t>Push-Benachrichtigungen, die andere Tätigkeiten unterbrechen und Nutzende zurück auf die Plattform holen.</w:t>
      </w:r>
    </w:p>
    <w:p w14:paraId="68A81A70" w14:textId="77777777" w:rsidR="001666F9" w:rsidRDefault="00000000">
      <w:pPr>
        <w:pStyle w:val="Listenabsatz"/>
        <w:numPr>
          <w:ilvl w:val="0"/>
          <w:numId w:val="2"/>
        </w:numPr>
        <w:spacing w:after="80" w:line="360" w:lineRule="auto"/>
      </w:pPr>
      <w:r>
        <w:t>Autoplay und ähnliche Automatismen, die stellvertretend über den nächsten Inhalt entscheiden.</w:t>
      </w:r>
    </w:p>
    <w:p w14:paraId="140B1E0C" w14:textId="77777777" w:rsidR="001666F9" w:rsidRDefault="00000000">
      <w:pPr>
        <w:pStyle w:val="Listenabsatz"/>
        <w:numPr>
          <w:ilvl w:val="0"/>
          <w:numId w:val="2"/>
        </w:numPr>
        <w:spacing w:after="80" w:line="360" w:lineRule="auto"/>
      </w:pPr>
      <w:r>
        <w:t>Social-Proof- und Reziprozitätsmechanismen, die soziale Grundbedürfnisse (Bestätigung, Gegenseitigkeit) für die Plattformbindung nutzen.</w:t>
      </w:r>
    </w:p>
    <w:p w14:paraId="098C604B" w14:textId="77777777" w:rsidR="001666F9" w:rsidRDefault="00000000">
      <w:pPr>
        <w:spacing w:after="160" w:line="360" w:lineRule="auto"/>
      </w:pPr>
      <w:r>
        <w:lastRenderedPageBreak/>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14:paraId="6956DDFB" w14:textId="77777777" w:rsidR="001666F9" w:rsidRDefault="00000000">
      <w:pPr>
        <w:pStyle w:val="berschrift2"/>
      </w:pPr>
      <w:r>
        <w:t>1.4  Filterblasen, Echokammern und Polarisierung</w:t>
      </w:r>
    </w:p>
    <w:p w14:paraId="448EE3FD" w14:textId="77777777" w:rsidR="001666F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38CD39C7" w14:textId="77777777" w:rsidR="001666F9" w:rsidRDefault="00000000">
      <w:pPr>
        <w:spacing w:after="160" w:line="360" w:lineRule="auto"/>
      </w:pPr>
      <w:r>
        <w:t>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342E4B1B" w14:textId="77777777" w:rsidR="001666F9" w:rsidRDefault="00000000">
      <w:pPr>
        <w:pStyle w:val="berschrift2"/>
      </w:pPr>
      <w:r>
        <w:t>1.5  Psychisches Wohlbefinden und Suchtverhalten</w:t>
      </w:r>
    </w:p>
    <w:p w14:paraId="6F040D0B" w14:textId="77777777" w:rsidR="001666F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09754EB8" w14:textId="77777777" w:rsidR="001666F9" w:rsidRDefault="00000000">
      <w:pPr>
        <w:spacing w:after="160" w:line="360" w:lineRule="auto"/>
      </w:pPr>
      <w:r>
        <w:lastRenderedPageBreak/>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14:paraId="745995B9" w14:textId="77777777" w:rsidR="001666F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2BD1D2D8" w14:textId="77777777" w:rsidR="001666F9" w:rsidRDefault="00000000">
      <w:pPr>
        <w:pStyle w:val="berschrift2"/>
      </w:pPr>
      <w:r>
        <w:t>1.6  Verlust der Nutzerautonomie</w:t>
      </w:r>
    </w:p>
    <w:p w14:paraId="2B926D08" w14:textId="77777777" w:rsidR="001666F9" w:rsidRDefault="00000000">
      <w:pPr>
        <w:spacing w:after="160" w:line="360" w:lineRule="auto"/>
      </w:pPr>
      <w:r>
        <w:t>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2B6D871A" w14:textId="77777777" w:rsidR="001666F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14:paraId="23E4B6F4" w14:textId="77777777" w:rsidR="001666F9" w:rsidRDefault="00000000">
      <w:pPr>
        <w:pStyle w:val="berschrift2"/>
      </w:pPr>
      <w:r>
        <w:t>1.7  Zwischenfazit: Der Kern des Problems</w:t>
      </w:r>
    </w:p>
    <w:p w14:paraId="184B858F" w14:textId="77777777" w:rsidR="001666F9" w:rsidRDefault="00000000">
      <w:pPr>
        <w:spacing w:after="160" w:line="360" w:lineRule="auto"/>
      </w:pPr>
      <w: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w:t>
      </w:r>
      <w:r>
        <w:lastRenderedPageBreak/>
        <w:t>Unterhaltung gedacht waren, haben sich zu Systemen entwickelt, die primär ihre eigene Nutzungszeit maximieren, häufig auf Kosten der Nutzenden.</w:t>
      </w:r>
    </w:p>
    <w:p w14:paraId="244F8D67" w14:textId="77777777" w:rsidR="001666F9" w:rsidRDefault="00000000">
      <w:pPr>
        <w:spacing w:after="160" w:line="360" w:lineRule="auto"/>
      </w:pPr>
      <w:r>
        <w:t>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14:paraId="1AF062B7" w14:textId="77777777" w:rsidR="001666F9" w:rsidRDefault="00000000">
      <w:pPr>
        <w:spacing w:after="160" w:line="360" w:lineRule="auto"/>
      </w:pPr>
      <w:r>
        <w:t>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14:paraId="1307C619" w14:textId="77777777" w:rsidR="001666F9" w:rsidRDefault="00000000">
      <w:pPr>
        <w:pStyle w:val="berschrift1"/>
        <w:pageBreakBefore/>
      </w:pPr>
      <w:r>
        <w:lastRenderedPageBreak/>
        <w:t>2  Background</w:t>
      </w:r>
    </w:p>
    <w:p w14:paraId="2C4768BA" w14:textId="77777777" w:rsidR="001666F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4A897186" w14:textId="77777777" w:rsidR="001666F9" w:rsidRDefault="00000000">
      <w:pPr>
        <w:pStyle w:val="berschrift2"/>
      </w:pPr>
      <w:r>
        <w:t>2.1  Bedürfnisse und Motivationen der Akteure</w:t>
      </w:r>
    </w:p>
    <w:p w14:paraId="15D5063D" w14:textId="77777777" w:rsidR="001666F9" w:rsidRDefault="00000000">
      <w:pPr>
        <w:pStyle w:val="berschrift3"/>
      </w:pPr>
      <w:r>
        <w:t>2.1.1  Anbieterseite</w:t>
      </w:r>
    </w:p>
    <w:p w14:paraId="285CFC7F" w14:textId="77777777" w:rsidR="001666F9" w:rsidRDefault="00000000">
      <w:pPr>
        <w:spacing w:after="160" w:line="360" w:lineRule="auto"/>
      </w:pPr>
      <w:r>
        <w:t>Anbieter digitaler Medien verfolgen unterschiedliche Motive, die sich drei idealtypischen Kategorien zuordnen lassen.</w:t>
      </w:r>
    </w:p>
    <w:p w14:paraId="124F5FAB" w14:textId="77777777" w:rsidR="001666F9" w:rsidRDefault="00000000">
      <w:pPr>
        <w:pStyle w:val="Listenabsatz"/>
        <w:numPr>
          <w:ilvl w:val="0"/>
          <w:numId w:val="2"/>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0A15DA32" w14:textId="77777777" w:rsidR="001666F9" w:rsidRDefault="00000000">
      <w:pPr>
        <w:pStyle w:val="Listenabsatz"/>
        <w:numPr>
          <w:ilvl w:val="0"/>
          <w:numId w:val="2"/>
        </w:numPr>
        <w:spacing w:after="80" w:line="360" w:lineRule="auto"/>
      </w:pPr>
      <w:r>
        <w:t>Abonnement- und On-Demand-Anbieter (Netflix, Spotify, Disney+) leben von langfristiger Kundenbindung. Ihr Ziel ist Engagement im Sinne von Zufriedenheit und Retention, nicht primär Scroll-Dauer.</w:t>
      </w:r>
    </w:p>
    <w:p w14:paraId="0360770D" w14:textId="77777777" w:rsidR="001666F9" w:rsidRDefault="00000000">
      <w:pPr>
        <w:pStyle w:val="Listenabsatz"/>
        <w:numPr>
          <w:ilvl w:val="0"/>
          <w:numId w:val="2"/>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26C3DAC2" w14:textId="77777777" w:rsidR="001666F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42ABFE52" w14:textId="77777777" w:rsidR="001666F9" w:rsidRDefault="00000000">
      <w:pPr>
        <w:pStyle w:val="berschrift3"/>
      </w:pPr>
      <w:r>
        <w:t>2.1.2  Nutzerseite</w:t>
      </w:r>
    </w:p>
    <w:p w14:paraId="5B487252" w14:textId="77777777" w:rsidR="001666F9" w:rsidRDefault="00000000">
      <w:pPr>
        <w:spacing w:after="160" w:line="360" w:lineRule="auto"/>
      </w:pPr>
      <w:r>
        <w:t>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14:paraId="0556882A" w14:textId="77777777" w:rsidR="001666F9" w:rsidRDefault="00000000">
      <w:pPr>
        <w:spacing w:after="160" w:line="360" w:lineRule="auto"/>
      </w:pPr>
      <w:r>
        <w:lastRenderedPageBreak/>
        <w:t>Ergänzend identifizieren Ryan und Deci (2000) in der Self-Determination Theory drei psychologische Grundbedürfnisse, die für intrinsische Motivation und Wohlbefinden zentral sind:</w:t>
      </w:r>
    </w:p>
    <w:p w14:paraId="63B25499" w14:textId="77777777" w:rsidR="001666F9" w:rsidRDefault="00000000">
      <w:pPr>
        <w:pStyle w:val="Listenabsatz"/>
        <w:numPr>
          <w:ilvl w:val="0"/>
          <w:numId w:val="2"/>
        </w:numPr>
        <w:spacing w:after="80" w:line="360" w:lineRule="auto"/>
      </w:pPr>
      <w:r>
        <w:t>Autonomie: das Erleben, selbstbestimmt zu handeln und eigene Entscheidungen zu treffen;</w:t>
      </w:r>
    </w:p>
    <w:p w14:paraId="4B646B44" w14:textId="77777777" w:rsidR="001666F9" w:rsidRDefault="00000000">
      <w:pPr>
        <w:pStyle w:val="Listenabsatz"/>
        <w:numPr>
          <w:ilvl w:val="0"/>
          <w:numId w:val="2"/>
        </w:numPr>
        <w:spacing w:after="80" w:line="360" w:lineRule="auto"/>
      </w:pPr>
      <w:r>
        <w:t>Kompetenz: das Gefühl, wirksam zu sein und Herausforderungen bewältigen zu können;</w:t>
      </w:r>
    </w:p>
    <w:p w14:paraId="6673E8F1" w14:textId="77777777" w:rsidR="001666F9" w:rsidRDefault="00000000">
      <w:pPr>
        <w:pStyle w:val="Listenabsatz"/>
        <w:numPr>
          <w:ilvl w:val="0"/>
          <w:numId w:val="2"/>
        </w:numPr>
        <w:spacing w:after="80" w:line="360" w:lineRule="auto"/>
      </w:pPr>
      <w:r>
        <w:t>soziale Eingebundenheit: das Erleben von bedeutungsvollen Beziehungen und Zugehörigkeit.</w:t>
      </w:r>
    </w:p>
    <w:p w14:paraId="07BC4C35" w14:textId="77777777" w:rsidR="001666F9" w:rsidRDefault="00000000">
      <w:pPr>
        <w:spacing w:after="160" w:line="360" w:lineRule="auto"/>
      </w:pPr>
      <w:r>
        <w:t>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14:paraId="5DC43AE2" w14:textId="77777777" w:rsidR="001666F9" w:rsidRDefault="00000000">
      <w:pPr>
        <w:spacing w:after="160" w:line="360" w:lineRule="auto"/>
      </w:pPr>
      <w:r>
        <w:t>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14:paraId="4C13E1B1" w14:textId="77777777" w:rsidR="001666F9" w:rsidRDefault="00000000">
      <w:pPr>
        <w:pStyle w:val="berschrift2"/>
      </w:pPr>
      <w:r>
        <w:t>2.2  Mechanismen digitaler Medienangebote</w:t>
      </w:r>
    </w:p>
    <w:p w14:paraId="31C62B3A" w14:textId="77777777" w:rsidR="001666F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1A752770" w14:textId="77777777" w:rsidR="001666F9" w:rsidRDefault="00000000">
      <w:pPr>
        <w:pStyle w:val="berschrift3"/>
      </w:pPr>
      <w:r>
        <w:t>2.2.1  Klassifikation und Ontologien</w:t>
      </w:r>
    </w:p>
    <w:p w14:paraId="1B76C596" w14:textId="77777777" w:rsidR="001666F9" w:rsidRDefault="00000000">
      <w:pPr>
        <w:spacing w:after="160" w:line="360" w:lineRule="auto"/>
      </w:pPr>
      <w:r>
        <w:t>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14:paraId="3686D36D" w14:textId="77777777" w:rsidR="001666F9" w:rsidRDefault="00000000">
      <w:pPr>
        <w:pStyle w:val="berschrift3"/>
      </w:pPr>
      <w:r>
        <w:t>2.2.2  Suche</w:t>
      </w:r>
    </w:p>
    <w:p w14:paraId="6D69BE75" w14:textId="77777777" w:rsidR="001666F9" w:rsidRDefault="00000000">
      <w:pPr>
        <w:spacing w:after="160" w:line="360" w:lineRule="auto"/>
      </w:pPr>
      <w:r>
        <w:lastRenderedPageBreak/>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14:paraId="0CBC81BF" w14:textId="77777777" w:rsidR="001666F9" w:rsidRDefault="00000000">
      <w:pPr>
        <w:pStyle w:val="berschrift3"/>
      </w:pPr>
      <w:r>
        <w:t>2.2.3  Empfehlungssysteme</w:t>
      </w:r>
    </w:p>
    <w:p w14:paraId="36CA3DF3" w14:textId="77777777" w:rsidR="001666F9" w:rsidRDefault="00000000">
      <w:pPr>
        <w:spacing w:after="160" w:line="360" w:lineRule="auto"/>
      </w:pPr>
      <w:r>
        <w:t>Empfehlungssysteme (Recommender Systems) schlagen Inhalte vor, ohne dass die Nutzenden aktiv danach suchen. In der Standardliteratur werden drei klassische Hauptparadigmen unterschieden (Ricci, Rokach &amp; Shapira, 2015):</w:t>
      </w:r>
    </w:p>
    <w:p w14:paraId="07B76AA6" w14:textId="77777777" w:rsidR="001666F9" w:rsidRDefault="00000000">
      <w:pPr>
        <w:pStyle w:val="Listenabsatz"/>
        <w:numPr>
          <w:ilvl w:val="0"/>
          <w:numId w:val="2"/>
        </w:numPr>
        <w:spacing w:after="80" w:line="360" w:lineRule="auto"/>
      </w:pPr>
      <w:r>
        <w:t>Kollaboratives Filtern: Empfehlungen auf Basis der Ähnlichkeit zwischen Nutzenden (Prinzip: «Personen, die X mochten, mochten auch Y»).</w:t>
      </w:r>
    </w:p>
    <w:p w14:paraId="22830DD7" w14:textId="77777777" w:rsidR="001666F9" w:rsidRDefault="00000000">
      <w:pPr>
        <w:pStyle w:val="Listenabsatz"/>
        <w:numPr>
          <w:ilvl w:val="0"/>
          <w:numId w:val="2"/>
        </w:numPr>
        <w:spacing w:after="80" w:line="360" w:lineRule="auto"/>
      </w:pPr>
      <w:r>
        <w:t>Inhaltsbasiertes Filtern: Empfehlungen auf Basis der Ähnlichkeit zwischen Inhalten und des bisherigen Nutzerprofils.</w:t>
      </w:r>
    </w:p>
    <w:p w14:paraId="18B6B90A" w14:textId="77777777" w:rsidR="001666F9" w:rsidRDefault="00000000">
      <w:pPr>
        <w:pStyle w:val="Listenabsatz"/>
        <w:numPr>
          <w:ilvl w:val="0"/>
          <w:numId w:val="2"/>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34E5767F" w14:textId="77777777" w:rsidR="001666F9" w:rsidRDefault="00000000">
      <w:pPr>
        <w:spacing w:after="160" w:line="360" w:lineRule="auto"/>
      </w:pPr>
      <w:r>
        <w:t>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14:paraId="61FFB303" w14:textId="77777777" w:rsidR="001666F9" w:rsidRDefault="00000000">
      <w:pPr>
        <w:pStyle w:val="berschrift3"/>
      </w:pPr>
      <w:r>
        <w:t>2.2.4  Personalisierung und Feed-Kuration</w:t>
      </w:r>
    </w:p>
    <w:p w14:paraId="298361DE" w14:textId="77777777" w:rsidR="001666F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14:paraId="304E4B14" w14:textId="77777777" w:rsidR="001666F9" w:rsidRDefault="00000000">
      <w:pPr>
        <w:pStyle w:val="berschrift3"/>
      </w:pPr>
      <w:r>
        <w:t>2.2.5  Sharing und soziale Mechanismen</w:t>
      </w:r>
    </w:p>
    <w:p w14:paraId="46A31867" w14:textId="77777777" w:rsidR="001666F9" w:rsidRDefault="00000000">
      <w:pPr>
        <w:spacing w:after="160" w:line="360" w:lineRule="auto"/>
      </w:pPr>
      <w:r>
        <w:t xml:space="preserve">Teilen, Kommentieren und Reagieren erzeugen Netzwerkeffekte: Inhalte verbreiten sich viral, wenn sie starke emotionale Reaktionen auslösen. Diese Mechanismen sind nicht neutral, sondern begünstigen systematisch emotional aufgeladene, oft polarisierende Inhalte </w:t>
      </w:r>
      <w:r>
        <w:lastRenderedPageBreak/>
        <w:t>und wirken damit auf die in Abschnitt 1.4 beschriebene Triple-Filter-Bubble (Geschke et al., 2019; Sunstein, 2017).</w:t>
      </w:r>
    </w:p>
    <w:p w14:paraId="79EC14F6" w14:textId="77777777" w:rsidR="001666F9" w:rsidRDefault="00000000">
      <w:pPr>
        <w:pStyle w:val="berschrift3"/>
      </w:pPr>
      <w:r>
        <w:t>2.2.6  Persuasive Design und Nudging</w:t>
      </w:r>
    </w:p>
    <w:p w14:paraId="70ED10A2" w14:textId="77777777" w:rsidR="001666F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14:paraId="51A40D03" w14:textId="77777777" w:rsidR="001666F9" w:rsidRDefault="00000000">
      <w:pPr>
        <w:spacing w:after="160" w:line="360" w:lineRule="auto"/>
      </w:pPr>
      <w:r>
        <w:t>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14:paraId="1D94172A" w14:textId="77777777" w:rsidR="001666F9" w:rsidRDefault="00000000">
      <w:pPr>
        <w:pStyle w:val="berschrift3"/>
      </w:pPr>
      <w:r>
        <w:t>2.2.7  Monetarisierungsmechanismen</w:t>
      </w:r>
    </w:p>
    <w:p w14:paraId="55496F63" w14:textId="77777777" w:rsidR="001666F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14:paraId="7D430D97" w14:textId="77777777" w:rsidR="001666F9" w:rsidRDefault="00000000">
      <w:pPr>
        <w:pStyle w:val="berschrift2"/>
      </w:pPr>
      <w:r>
        <w:t>2.3  Beurteilungsgrundlagen</w:t>
      </w:r>
    </w:p>
    <w:p w14:paraId="106D57E3" w14:textId="77777777" w:rsidR="001666F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DD16705" w14:textId="77777777" w:rsidR="001666F9" w:rsidRDefault="00000000">
      <w:pPr>
        <w:pStyle w:val="berschrift3"/>
      </w:pPr>
      <w:r>
        <w:t>2.3.1  Self-Determination Theory (SDT)</w:t>
      </w:r>
    </w:p>
    <w:p w14:paraId="756A168F" w14:textId="77777777" w:rsidR="001666F9" w:rsidRDefault="00000000">
      <w:pPr>
        <w:spacing w:after="160" w:line="360" w:lineRule="auto"/>
      </w:pPr>
      <w:r>
        <w:t xml:space="preserve">Die Self-Determination Theory (Ryan &amp; Deci, 2000) liefert mit den drei psychologischen Grundbedürfnissen Autonomie, Kompetenz und soziale Eingebundenheit einen psychologischen Massstab für die Beurteilung digitaler Systeme. Mechanismen sind </w:t>
      </w:r>
      <w:r>
        <w:lastRenderedPageBreak/>
        <w:t>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14:paraId="01F073CC" w14:textId="77777777" w:rsidR="001666F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009718BA" w14:textId="77777777" w:rsidR="001666F9" w:rsidRDefault="00000000">
      <w:pPr>
        <w:pStyle w:val="berschrift3"/>
      </w:pPr>
      <w:r>
        <w:t>2.3.2  Value-Sensitive Design (VSD)</w:t>
      </w:r>
    </w:p>
    <w:p w14:paraId="3F9C5337" w14:textId="77777777" w:rsidR="001666F9" w:rsidRDefault="00000000">
      <w:pPr>
        <w:spacing w:after="160" w:line="360" w:lineRule="auto"/>
      </w:pPr>
      <w:r>
        <w:t>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6B3145EE" w14:textId="77777777" w:rsidR="001666F9" w:rsidRDefault="00000000">
      <w:pPr>
        <w:pStyle w:val="berschrift3"/>
      </w:pPr>
      <w:r>
        <w:t>2.3.3  Digital Wellbeing</w:t>
      </w:r>
    </w:p>
    <w:p w14:paraId="5C54AA34" w14:textId="77777777" w:rsidR="001666F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14:paraId="371278B7" w14:textId="77777777" w:rsidR="001666F9" w:rsidRDefault="00000000">
      <w:pPr>
        <w:pStyle w:val="berschrift3"/>
      </w:pPr>
      <w:r>
        <w:t>2.3.4  Ethik von Empfehlungssystemen und algorithmische Souveränität</w:t>
      </w:r>
    </w:p>
    <w:p w14:paraId="5AADC691" w14:textId="77777777" w:rsidR="001666F9" w:rsidRDefault="00000000">
      <w:pPr>
        <w:spacing w:after="160" w:line="360" w:lineRule="auto"/>
      </w:pPr>
      <w:r>
        <w:t xml:space="preserve">Milano et al. (2020) systematisieren die ethischen Herausforderungen von Empfehlungssystemen und argumentieren, dass neben Relevanz auch Diversität, Fairness und Nutzerwohl als Optimierungsziele verankert werden müssen. Reviglio und Agosti (2020) </w:t>
      </w:r>
      <w:r>
        <w:lastRenderedPageBreak/>
        <w:t>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57A78A75" w14:textId="77777777" w:rsidR="001666F9" w:rsidRDefault="00000000">
      <w:pPr>
        <w:pStyle w:val="berschrift3"/>
      </w:pPr>
      <w:r>
        <w:t>2.3.5  Gebrauchstauglichkeit und Akzeptanz</w:t>
      </w:r>
    </w:p>
    <w:p w14:paraId="517785EA" w14:textId="77777777" w:rsidR="001666F9" w:rsidRDefault="00000000">
      <w:pPr>
        <w:spacing w:after="160" w:line="360" w:lineRule="auto"/>
      </w:pPr>
      <w:r>
        <w:t>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14:paraId="715952EC" w14:textId="77777777" w:rsidR="001666F9" w:rsidRDefault="00000000">
      <w:pPr>
        <w:pStyle w:val="berschrift2"/>
      </w:pPr>
      <w:r>
        <w:t>2.4  Gegenüberstellung der Medienmodelle</w:t>
      </w:r>
    </w:p>
    <w:p w14:paraId="0ACF1DAD" w14:textId="77777777" w:rsidR="001666F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46B225BA" w14:textId="77777777" w:rsidR="001666F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00"/>
      </w:tblGrid>
      <w:tr w:rsidR="001666F9" w14:paraId="3CE29F56"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B5E2D08" w14:textId="77777777" w:rsidR="001666F9" w:rsidRDefault="00000000">
            <w:r>
              <w:rPr>
                <w:b/>
                <w:bCs/>
                <w:sz w:val="20"/>
                <w:szCs w:val="20"/>
              </w:rPr>
              <w:t>Dimension</w:t>
            </w:r>
          </w:p>
        </w:tc>
        <w:tc>
          <w:tcPr>
            <w:tcW w:w="23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26F26B4B" w14:textId="77777777" w:rsidR="001666F9" w:rsidRDefault="00000000">
            <w:r>
              <w:rPr>
                <w:b/>
                <w:bCs/>
                <w:sz w:val="20"/>
                <w:szCs w:val="20"/>
              </w:rPr>
              <w:t>Redaktionelles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3D0AD87D" w14:textId="77777777" w:rsidR="001666F9" w:rsidRDefault="00000000">
            <w:r>
              <w:rPr>
                <w:b/>
                <w:bCs/>
                <w:sz w:val="20"/>
                <w:szCs w:val="20"/>
              </w:rPr>
              <w:t>Engagement-optimiertes Modell</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cMar>
              <w:top w:w="80" w:type="dxa"/>
              <w:left w:w="120" w:type="dxa"/>
              <w:bottom w:w="80" w:type="dxa"/>
              <w:right w:w="120" w:type="dxa"/>
            </w:tcMar>
          </w:tcPr>
          <w:p w14:paraId="64200EBF" w14:textId="77777777" w:rsidR="001666F9" w:rsidRDefault="00000000">
            <w:r>
              <w:rPr>
                <w:b/>
                <w:bCs/>
                <w:sz w:val="20"/>
                <w:szCs w:val="20"/>
              </w:rPr>
              <w:t>Wellbeing-orientiertes Modell</w:t>
            </w:r>
          </w:p>
        </w:tc>
      </w:tr>
      <w:tr w:rsidR="001666F9" w14:paraId="7D976D9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0779F0" w14:textId="77777777" w:rsidR="001666F9" w:rsidRDefault="00000000">
            <w:r>
              <w:rPr>
                <w:sz w:val="20"/>
                <w:szCs w:val="20"/>
              </w:rPr>
              <w:t>Kuration</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DC1E9" w14:textId="77777777" w:rsidR="001666F9" w:rsidRDefault="00000000">
            <w:r>
              <w:rPr>
                <w:sz w:val="20"/>
                <w:szCs w:val="20"/>
              </w:rPr>
              <w:t>Menschliche Redaktion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4B355" w14:textId="77777777" w:rsidR="001666F9" w:rsidRDefault="00000000">
            <w:r>
              <w:rPr>
                <w:sz w:val="20"/>
                <w:szCs w:val="20"/>
              </w:rPr>
              <w:t>Algorithmisch, auf Verweildauer optimiert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07364" w14:textId="77777777" w:rsidR="001666F9" w:rsidRDefault="00000000">
            <w:r>
              <w:rPr>
                <w:sz w:val="20"/>
                <w:szCs w:val="20"/>
              </w:rPr>
              <w:t>Algorithmisch, auf Nutzerwohl optimiert</w:t>
            </w:r>
          </w:p>
        </w:tc>
      </w:tr>
      <w:tr w:rsidR="001666F9" w14:paraId="173A427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3FE6B" w14:textId="77777777" w:rsidR="001666F9" w:rsidRDefault="00000000">
            <w:r>
              <w:rPr>
                <w:sz w:val="20"/>
                <w:szCs w:val="20"/>
              </w:rPr>
              <w:t>Transparenz</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42111" w14:textId="77777777" w:rsidR="001666F9" w:rsidRDefault="00000000">
            <w:r>
              <w:rPr>
                <w:sz w:val="20"/>
                <w:szCs w:val="20"/>
              </w:rPr>
              <w:t>Redaktionsstatut, öffentliche Leitlinien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56CFC" w14:textId="77777777" w:rsidR="001666F9" w:rsidRDefault="00000000">
            <w:r>
              <w:rPr>
                <w:sz w:val="20"/>
                <w:szCs w:val="20"/>
              </w:rPr>
              <w:t>Black-Box-Algorithmus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B2B0ED" w14:textId="77777777" w:rsidR="001666F9" w:rsidRDefault="00000000">
            <w:r>
              <w:rPr>
                <w:sz w:val="20"/>
                <w:szCs w:val="20"/>
              </w:rPr>
              <w:t>Nachvollziehbare Kriterien, offene Logik</w:t>
            </w:r>
          </w:p>
        </w:tc>
      </w:tr>
      <w:tr w:rsidR="001666F9" w14:paraId="53945F81"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4F5A6" w14:textId="77777777" w:rsidR="001666F9" w:rsidRDefault="00000000">
            <w:r>
              <w:rPr>
                <w:sz w:val="20"/>
                <w:szCs w:val="20"/>
              </w:rPr>
              <w:t>Nutzerkontrolle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20A50B" w14:textId="77777777" w:rsidR="001666F9" w:rsidRDefault="00000000">
            <w:r>
              <w:rPr>
                <w:sz w:val="20"/>
                <w:szCs w:val="20"/>
              </w:rPr>
              <w:t>Gering (fixer Programmplan)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85243" w14:textId="77777777" w:rsidR="001666F9" w:rsidRPr="000C4A8B" w:rsidRDefault="00000000">
            <w:pPr>
              <w:rPr>
                <w:lang w:val="en-US"/>
              </w:rPr>
            </w:pPr>
            <w:r>
              <w:rPr>
                <w:sz w:val="20"/>
                <w:szCs w:val="20"/>
                <w:lang w:val="en-US"/>
              </w:rPr>
              <w:t>Minimal (Like/Skip, Interessen-Tagging)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28C82E" w14:textId="77777777" w:rsidR="001666F9" w:rsidRDefault="00000000">
            <w:r>
              <w:rPr>
                <w:sz w:val="20"/>
                <w:szCs w:val="20"/>
              </w:rPr>
              <w:t>Aktiv (Themen, Filter, Intensität)</w:t>
            </w:r>
          </w:p>
        </w:tc>
      </w:tr>
      <w:tr w:rsidR="001666F9" w14:paraId="129E4A3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20CD0C" w14:textId="77777777" w:rsidR="001666F9" w:rsidRDefault="00000000">
            <w:r>
              <w:rPr>
                <w:sz w:val="20"/>
                <w:szCs w:val="20"/>
              </w:rPr>
              <w:t>Inhaltsvielfalt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6748DC" w14:textId="77777777" w:rsidR="001666F9" w:rsidRDefault="00000000">
            <w:r>
              <w:rPr>
                <w:sz w:val="20"/>
                <w:szCs w:val="20"/>
              </w:rPr>
              <w:t>Pluralismusauftrag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62F15E" w14:textId="77777777" w:rsidR="001666F9" w:rsidRDefault="00000000">
            <w:r>
              <w:rPr>
                <w:sz w:val="20"/>
                <w:szCs w:val="20"/>
              </w:rPr>
              <w:t>Filterblasen, Echokammern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D28DFE" w14:textId="77777777" w:rsidR="001666F9" w:rsidRDefault="00000000">
            <w:r>
              <w:rPr>
                <w:sz w:val="20"/>
                <w:szCs w:val="20"/>
              </w:rPr>
              <w:t>Bewusste Diversifikation, Serendipität</w:t>
            </w:r>
          </w:p>
        </w:tc>
      </w:tr>
      <w:tr w:rsidR="001666F9" w14:paraId="1D67076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925DC6" w14:textId="77777777" w:rsidR="001666F9" w:rsidRDefault="00000000">
            <w:r>
              <w:rPr>
                <w:sz w:val="20"/>
                <w:szCs w:val="20"/>
              </w:rPr>
              <w:t>Zeitmanagement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245270" w14:textId="77777777" w:rsidR="001666F9" w:rsidRDefault="00000000">
            <w:r>
              <w:rPr>
                <w:sz w:val="20"/>
                <w:szCs w:val="20"/>
              </w:rPr>
              <w:t>Sendezeiten, Programmrahmen</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B86E7" w14:textId="77777777" w:rsidR="001666F9" w:rsidRDefault="00000000">
            <w:r>
              <w:rPr>
                <w:sz w:val="20"/>
                <w:szCs w:val="20"/>
              </w:rPr>
              <w:t>Endloses Scrollen, Autoplay</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F31B32" w14:textId="77777777" w:rsidR="001666F9" w:rsidRDefault="00000000">
            <w:r>
              <w:rPr>
                <w:sz w:val="20"/>
                <w:szCs w:val="20"/>
              </w:rPr>
              <w:t>Definierte Länge, natürliche Pausen</w:t>
            </w:r>
          </w:p>
        </w:tc>
      </w:tr>
      <w:tr w:rsidR="001666F9" w14:paraId="419B826A"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3199D" w14:textId="77777777" w:rsidR="001666F9" w:rsidRDefault="00000000">
            <w:r>
              <w:rPr>
                <w:sz w:val="20"/>
                <w:szCs w:val="20"/>
              </w:rPr>
              <w:lastRenderedPageBreak/>
              <w:t>Finanzierung</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4A5BCC" w14:textId="77777777" w:rsidR="001666F9" w:rsidRDefault="00000000">
            <w:r>
              <w:rPr>
                <w:sz w:val="20"/>
                <w:szCs w:val="20"/>
              </w:rPr>
              <w:t>Gebühren, Abonnement</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B0910D" w14:textId="77777777" w:rsidR="001666F9" w:rsidRDefault="00000000">
            <w:r>
              <w:rPr>
                <w:sz w:val="20"/>
                <w:szCs w:val="20"/>
              </w:rPr>
              <w:t>Werbung, Datenhandel</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B987CD" w14:textId="77777777" w:rsidR="001666F9" w:rsidRDefault="00000000">
            <w:r>
              <w:rPr>
                <w:sz w:val="20"/>
                <w:szCs w:val="20"/>
              </w:rPr>
              <w:t>Variabel (Gebühren, Abo, Stiftung)</w:t>
            </w:r>
          </w:p>
        </w:tc>
      </w:tr>
      <w:tr w:rsidR="001666F9" w14:paraId="16EB84A8"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E6E62B" w14:textId="77777777" w:rsidR="001666F9" w:rsidRDefault="00000000">
            <w:r>
              <w:rPr>
                <w:sz w:val="20"/>
                <w:szCs w:val="20"/>
              </w:rPr>
              <w:t>Leitwert</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18A1F1" w14:textId="77777777" w:rsidR="001666F9" w:rsidRDefault="00000000">
            <w:r>
              <w:rPr>
                <w:sz w:val="20"/>
                <w:szCs w:val="20"/>
              </w:rPr>
              <w:t>Qualität, Pluralismus</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09555E" w14:textId="77777777" w:rsidR="001666F9" w:rsidRDefault="00000000">
            <w:r>
              <w:rPr>
                <w:sz w:val="20"/>
                <w:szCs w:val="20"/>
              </w:rPr>
              <w:t>Gewinnmaximierung</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1CE78A" w14:textId="77777777" w:rsidR="001666F9" w:rsidRDefault="00000000">
            <w:r>
              <w:rPr>
                <w:sz w:val="20"/>
                <w:szCs w:val="20"/>
              </w:rPr>
              <w:t>Nutzerwohl, Autonomie</w:t>
            </w:r>
          </w:p>
        </w:tc>
      </w:tr>
    </w:tbl>
    <w:p w14:paraId="644CED9B" w14:textId="77777777" w:rsidR="001666F9" w:rsidRDefault="00000000">
      <w:pPr>
        <w:pStyle w:val="berschrift2"/>
      </w:pPr>
      <w:r>
        <w:t>2.5  Forschungslücke</w:t>
      </w:r>
    </w:p>
    <w:p w14:paraId="76444592" w14:textId="77777777" w:rsidR="001666F9" w:rsidRDefault="00000000">
      <w:pPr>
        <w:spacing w:after="160" w:line="360" w:lineRule="auto"/>
      </w:pPr>
      <w:r>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342DF251" w14:textId="77777777" w:rsidR="001666F9" w:rsidRDefault="00000000">
      <w:pPr>
        <w:spacing w:after="160" w:line="360" w:lineRule="auto"/>
      </w:pPr>
      <w:r>
        <w:t>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14:paraId="61B5E610" w14:textId="77777777" w:rsidR="001666F9" w:rsidRDefault="00000000">
      <w:pPr>
        <w:pStyle w:val="berschrift1"/>
        <w:pageBreakBefore/>
      </w:pPr>
      <w:r>
        <w:lastRenderedPageBreak/>
        <w:t>3  Attune als Forschungsartefakt</w:t>
      </w:r>
    </w:p>
    <w:p w14:paraId="1A47EF72" w14:textId="77777777" w:rsidR="001666F9" w:rsidRDefault="00000000">
      <w:pPr>
        <w:spacing w:after="160" w:line="360" w:lineRule="auto"/>
      </w:pPr>
      <w: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w:t>
      </w:r>
      <w:r>
        <w:t xml:space="preserve">Entwickelt wurde das Artefakt zunächst unter dem Arbeitstitel «Radio 25»; nach dem formativen Erstfeedback wurde es umbenannt, weil der Name den Vergleich mit klassischem Radio nahelegte und Verwechslungen mit dem Schweizer Sender Radio 24 provozierte (vgl. Abschnitt 8.3). </w:t>
      </w:r>
      <w:r>
        <w:t>Dieses Kapitel begründet die Wahl des Mediums, beschreibt den geplanten Untersuchungsgegenstand und ordnet die zu untersuchenden Mechanismen den in Kapitel 2 entwickelten Beurteilungsgrundlagen zu.</w:t>
      </w:r>
    </w:p>
    <w:p w14:paraId="54B9B703" w14:textId="77777777" w:rsidR="001666F9" w:rsidRDefault="00000000">
      <w:pPr>
        <w:pStyle w:val="berschrift2"/>
      </w:pPr>
      <w:r>
        <w:t>3.1  Warum dieses Untersuchungsmedium?</w:t>
      </w:r>
    </w:p>
    <w:p w14:paraId="73AEDCAE" w14:textId="77777777" w:rsidR="001666F9" w:rsidRDefault="00000000">
      <w:pPr>
        <w:spacing w:after="160" w:line="360" w:lineRule="auto"/>
      </w:pPr>
      <w:r>
        <w:t>Ein Radio eignet sich aus mehreren Gründen besonders gut, um die Spannungsfelder zwischen Engagement-Optimierung und Nutzerwohl experimentell zu untersuchen.</w:t>
      </w:r>
    </w:p>
    <w:p w14:paraId="16550350" w14:textId="77777777" w:rsidR="001666F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566CD087" w14:textId="77777777" w:rsidR="001666F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14:paraId="2788BB4A" w14:textId="77777777" w:rsidR="001666F9" w:rsidRDefault="00000000">
      <w:pPr>
        <w:spacing w:after="160" w:line="360" w:lineRule="auto"/>
      </w:pPr>
      <w:r>
        <w:t>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14:paraId="4385BD1B" w14:textId="77777777" w:rsidR="001666F9" w:rsidRDefault="00000000">
      <w:pPr>
        <w:spacing w:after="160" w:line="360" w:lineRule="auto"/>
      </w:pPr>
      <w:r>
        <w:lastRenderedPageBreak/>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7CB489A0" w14:textId="77777777" w:rsidR="001666F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3510B0A4" w14:textId="77777777" w:rsidR="001666F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5C55649C" w14:textId="77777777" w:rsidR="001666F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14:paraId="53019720" w14:textId="77777777" w:rsidR="001666F9" w:rsidRDefault="00000000">
      <w:pPr>
        <w:spacing w:after="160" w:line="360" w:lineRule="auto"/>
      </w:pPr>
      <w:r>
        <w:t>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7F0F9A63" w14:textId="77777777" w:rsidR="001666F9" w:rsidRDefault="00000000">
      <w:pPr>
        <w:spacing w:after="160" w:line="360" w:lineRule="auto"/>
      </w:pPr>
      <w: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w:t>
      </w:r>
      <w:r>
        <w:lastRenderedPageBreak/>
        <w:t>kann dennoch Personalisierung, Inhaltsdiversität, Transparenz und Zeitgestaltung in einem konsistenten Erlebnis kombinieren.</w:t>
      </w:r>
    </w:p>
    <w:p w14:paraId="14A2BA29" w14:textId="77777777" w:rsidR="001666F9" w:rsidRDefault="00000000">
      <w:pPr>
        <w:pStyle w:val="berschrift2"/>
      </w:pPr>
      <w:r>
        <w:t>3.3  Was an Attune konkret umgesetzt wird</w:t>
      </w:r>
    </w:p>
    <w:p w14:paraId="41CC637A" w14:textId="77777777" w:rsidR="001666F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59111C15" w14:textId="77777777" w:rsidR="001666F9" w:rsidRDefault="00000000">
      <w:pPr>
        <w:pStyle w:val="berschrift3"/>
      </w:pPr>
      <w:r>
        <w:t>3.3.1  Explizite Präferenzangaben und Profilkonstruktion</w:t>
      </w:r>
    </w:p>
    <w:p w14:paraId="006F2687" w14:textId="77777777" w:rsidR="001666F9" w:rsidRDefault="00000000">
      <w:pPr>
        <w:spacing w:after="160" w:line="360" w:lineRule="auto"/>
      </w:pPr>
      <w:r>
        <w:t>Die Hörerinnen und Hörer geben ihre Interessen, ihren Standort und einen Moderationsstil aktiv und nachvollziehbar an. Anders als bei Plattformen, die Profile primär aus implizitem Verhalten lernen, bleibt das Profil bei Attune transparent, einsehbar und jederzeit veränderbar. Damit wird die Anforderung an algorithmische Souveränität (Reviglio &amp; Agosti, 2020) konkret operationalisierbar, ohne die Nutzenden mit einem aufwendigen Konfigurationsritual zu überfordern.</w:t>
      </w:r>
    </w:p>
    <w:p w14:paraId="4325B4CD" w14:textId="77777777" w:rsidR="001666F9" w:rsidRDefault="00000000">
      <w:pPr>
        <w:pStyle w:val="berschrift3"/>
      </w:pPr>
      <w:r>
        <w:t>3.3.2  Vollautomatisierte Sendungspipeline</w:t>
      </w:r>
    </w:p>
    <w:p w14:paraId="1895F950" w14:textId="77777777" w:rsidR="001666F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4C8A3306" w14:textId="77777777" w:rsidR="001666F9" w:rsidRDefault="00000000">
      <w:pPr>
        <w:pStyle w:val="berschrift3"/>
      </w:pPr>
      <w:r>
        <w:t>3.3.3  Kuratierungs- und Empfehlungslogik mit alternativem Zielwert</w:t>
      </w:r>
    </w:p>
    <w:p w14:paraId="6CD45986" w14:textId="77777777" w:rsidR="001666F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14:paraId="297B5C8C" w14:textId="77777777" w:rsidR="001666F9" w:rsidRDefault="00000000">
      <w:pPr>
        <w:pStyle w:val="berschrift3"/>
      </w:pPr>
      <w:r>
        <w:t>3.3.4  Definierte Sessiongestaltung statt endlosem Strom</w:t>
      </w:r>
    </w:p>
    <w:p w14:paraId="7C9A2BDD" w14:textId="77777777" w:rsidR="001666F9" w:rsidRDefault="00000000">
      <w:pPr>
        <w:spacing w:after="160" w:line="360" w:lineRule="auto"/>
      </w:pPr>
      <w: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w:t>
      </w:r>
      <w:r>
        <w:lastRenderedPageBreak/>
        <w:t>Designmuster und übersetzt die METUX-Forderung nach Autonomie auf der Verhaltensebene (Peters et al., 2018) in ein konkretes Sendungsformat.</w:t>
      </w:r>
    </w:p>
    <w:p w14:paraId="4191C8A7" w14:textId="77777777" w:rsidR="001666F9" w:rsidRDefault="00000000">
      <w:pPr>
        <w:pStyle w:val="berschrift3"/>
      </w:pPr>
      <w:r>
        <w:t>3.3.5  Transparenz über Quellen, Logik und Personalisierung</w:t>
      </w:r>
    </w:p>
    <w:p w14:paraId="10CB82D1" w14:textId="77777777" w:rsidR="001666F9" w:rsidRDefault="00000000">
      <w:pPr>
        <w:spacing w:after="160" w:line="360" w:lineRule="auto"/>
      </w:pPr>
      <w:r>
        <w:t>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14:paraId="6A663EBA" w14:textId="77777777" w:rsidR="001666F9" w:rsidRDefault="00000000">
      <w:pPr>
        <w:pStyle w:val="berschrift2"/>
      </w:pPr>
      <w:r>
        <w:t>3.4  Welche Mechanismen am Radio untersucht und verbessert werden</w:t>
      </w:r>
    </w:p>
    <w:p w14:paraId="6F814540" w14:textId="77777777" w:rsidR="001666F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w:t>
      </w:r>
    </w:p>
    <w:p w14:paraId="4D4AA6BA" w14:textId="77777777" w:rsidR="001666F9" w:rsidRDefault="00000000">
      <w:pPr>
        <w:pStyle w:val="Listenabsatz"/>
        <w:numPr>
          <w:ilvl w:val="0"/>
          <w:numId w:val="2"/>
        </w:numPr>
        <w:spacing w:after="80" w:line="360" w:lineRule="auto"/>
      </w:pPr>
      <w:r>
        <w:t>Profil- und Präferenzbildung: Wie wirkt sich ein explizit deklariertes Profil im Vergleich zu impliziter Verhaltensanalyse auf das wahrgenommene Autonomie- und Kompetenzerleben aus (Ryan &amp; Deci, 2000; Peters et al., 2018)?</w:t>
      </w:r>
    </w:p>
    <w:p w14:paraId="43EB1EC9" w14:textId="77777777" w:rsidR="001666F9" w:rsidRDefault="00000000">
      <w:pPr>
        <w:pStyle w:val="Listenabsatz"/>
        <w:numPr>
          <w:ilvl w:val="0"/>
          <w:numId w:val="2"/>
        </w:numPr>
        <w:spacing w:after="80" w:line="360" w:lineRule="auto"/>
      </w:pPr>
      <w:r>
        <w:t>Personalisierte Kuratierung mit alternativer Zielfunktion: Welche Effekte hat eine auf Vielfalt, Tageskontext und Selbstbestimmung optimierte Auswahl gegenüber einer engagement-optimierten Empfehlungslogik (Nguyen et al., 2014; Milano et al., 2020)?</w:t>
      </w:r>
    </w:p>
    <w:p w14:paraId="2E08F078" w14:textId="77777777" w:rsidR="001666F9" w:rsidRDefault="00000000">
      <w:pPr>
        <w:pStyle w:val="Listenabsatz"/>
        <w:numPr>
          <w:ilvl w:val="0"/>
          <w:numId w:val="2"/>
        </w:numPr>
        <w:spacing w:after="80" w:line="360" w:lineRule="auto"/>
      </w:pPr>
      <w:r>
        <w:t>Sessiongestaltung: Wie wirken eine definierte Sendungslänge und ein bewusst gesetzter Abschluss im Vergleich zu endlosen Strömen auf die subjektive Zufriedenheit, das Zeitempfinden und die Nutzungskontrolle (Vanden Abeele, 2021; Montag et al., 2019)?</w:t>
      </w:r>
    </w:p>
    <w:p w14:paraId="27FDF134" w14:textId="77777777" w:rsidR="001666F9" w:rsidRDefault="00000000">
      <w:pPr>
        <w:pStyle w:val="Listenabsatz"/>
        <w:numPr>
          <w:ilvl w:val="0"/>
          <w:numId w:val="2"/>
        </w:numPr>
        <w:spacing w:after="80" w:line="360" w:lineRule="auto"/>
      </w:pPr>
      <w:r>
        <w:t>Transparenz der Algorithmik: Wie verändert eine offengelegte Personalisierungslogik das Vertrauen, die wahrgenommene Fairness und die Bereitschaft zur weiteren Nutzung (Reviglio &amp; Agosti, 2020; Milano et al., 2020)?</w:t>
      </w:r>
    </w:p>
    <w:p w14:paraId="541B27EA" w14:textId="77777777" w:rsidR="001666F9" w:rsidRDefault="00000000">
      <w:pPr>
        <w:pStyle w:val="Listenabsatz"/>
        <w:numPr>
          <w:ilvl w:val="0"/>
          <w:numId w:val="2"/>
        </w:numPr>
        <w:spacing w:after="80" w:line="360" w:lineRule="auto"/>
      </w:pPr>
      <w:r>
        <w:t>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14:paraId="30D7158C" w14:textId="77777777" w:rsidR="001666F9" w:rsidRDefault="00000000">
      <w:pPr>
        <w:pStyle w:val="Listenabsatz"/>
        <w:numPr>
          <w:ilvl w:val="0"/>
          <w:numId w:val="2"/>
        </w:numPr>
        <w:spacing w:after="80" w:line="360" w:lineRule="auto"/>
      </w:pPr>
      <w:r>
        <w:t>Gebrauchstauglichkeit und Akzeptanz: Wie schneidet ein wellbeing-orientiertes Radio im System Usability Scale (Brooke, 1996; Bangor et al., 2008) und in der subjektiven Akzeptanz im Vergleich zu vertrauten Plattformen ab?</w:t>
      </w:r>
    </w:p>
    <w:p w14:paraId="46627805" w14:textId="77777777" w:rsidR="001666F9" w:rsidRDefault="00000000">
      <w:pPr>
        <w:pStyle w:val="berschrift2"/>
      </w:pPr>
      <w:r>
        <w:lastRenderedPageBreak/>
        <w:t>3.5  Abgrenzung des Untersuchungsumfangs</w:t>
      </w:r>
    </w:p>
    <w:p w14:paraId="4AA341B1" w14:textId="77777777" w:rsidR="001666F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14:paraId="741BF006" w14:textId="77777777" w:rsidR="001666F9" w:rsidRDefault="00000000">
      <w:pPr>
        <w:pStyle w:val="berschrift1"/>
        <w:pageBreakBefore/>
      </w:pPr>
      <w:r>
        <w:lastRenderedPageBreak/>
        <w:t>4  Forschungsfrage und Zielsetzung</w:t>
      </w:r>
    </w:p>
    <w:p w14:paraId="6ED41661" w14:textId="77777777" w:rsidR="001666F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596B7F59" w14:textId="77777777" w:rsidR="001666F9" w:rsidRDefault="00000000">
      <w:pPr>
        <w:pStyle w:val="berschrift2"/>
      </w:pPr>
      <w:r>
        <w:t>4.1  Forschungsfrage</w:t>
      </w:r>
    </w:p>
    <w:p w14:paraId="0C0159C5" w14:textId="77777777" w:rsidR="001666F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2ADD8547" w14:textId="77777777" w:rsidR="001666F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optimal erfüllt und gleichzeitig ihr Wohlbefinden fördert?»</w:t>
      </w:r>
    </w:p>
    <w:p w14:paraId="0F4EBCCD" w14:textId="77777777" w:rsidR="001666F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(Vanden Abeele, 2021; Peters et al., 2018) messen lassen. Drittens wird die Frage methodisch über ein konkretes, lauffähiges Artefakt beantwortet, an dem sich die genannten Mechanismen sichtbar und beobachtbar machen lassen.</w:t>
      </w:r>
    </w:p>
    <w:p w14:paraId="5AADCD4D" w14:textId="77777777" w:rsidR="001666F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einem einwöchigen Pilottest mit Nutzenden empirisch beobachten lässt. Das methodische Vorgehen wird in Kapitel 5 ausführlich entfaltet.</w:t>
      </w:r>
    </w:p>
    <w:p w14:paraId="58A9F217" w14:textId="77777777" w:rsidR="001666F9" w:rsidRDefault="00000000">
      <w:pPr>
        <w:pStyle w:val="berschrift2"/>
      </w:pPr>
      <w:r>
        <w:t>4.2  Teilfragen</w:t>
      </w:r>
    </w:p>
    <w:p w14:paraId="0AB94482" w14:textId="77777777" w:rsidR="001666F9" w:rsidRDefault="00000000">
      <w:pPr>
        <w:spacing w:after="160" w:line="360" w:lineRule="auto"/>
      </w:pPr>
      <w:r>
        <w:lastRenderedPageBreak/>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085F524" w14:textId="77777777" w:rsidR="001666F9" w:rsidRDefault="00000000">
      <w:pPr>
        <w:pStyle w:val="Listenabsatz"/>
        <w:numPr>
          <w:ilvl w:val="0"/>
          <w:numId w:val="2"/>
        </w:numPr>
        <w:spacing w:after="80" w:line="360" w:lineRule="auto"/>
      </w:pPr>
      <w:r>
        <w:t>T1 – Präferenzbildung und Autonomie: Wie wirkt eine explizite, transparente Profilkonfiguration auf das von den Nutzenden berichtete Autonomie- und Kompetenzerleben im Sinne der Self-Determination Theory (Ryan &amp; Deci, 2000; Peters et al., 2018)?</w:t>
      </w:r>
    </w:p>
    <w:p w14:paraId="2E1A0540" w14:textId="77777777" w:rsidR="001666F9" w:rsidRDefault="00000000">
      <w:pPr>
        <w:pStyle w:val="Listenabsatz"/>
        <w:numPr>
          <w:ilvl w:val="0"/>
          <w:numId w:val="2"/>
        </w:numPr>
        <w:spacing w:after="80" w:line="360" w:lineRule="auto"/>
      </w:pPr>
      <w:r>
        <w:t>T2 – Inhaltsdiversität und Bedürfnisgerechtigkeit: In welchem Mass werden eine bewusst diversifizierte Inhaltsauswahl und eine am Tageskontext orientierte Reihenfolge gegenüber einer engagement-optimierten Logik als bedürfnisgerecht und qualitativ angemessen erlebt (Nguyen et al., 2014; Milano et al., 2020)?</w:t>
      </w:r>
    </w:p>
    <w:p w14:paraId="3748314F" w14:textId="77777777" w:rsidR="001666F9" w:rsidRDefault="00000000">
      <w:pPr>
        <w:pStyle w:val="Listenabsatz"/>
        <w:numPr>
          <w:ilvl w:val="0"/>
          <w:numId w:val="2"/>
        </w:numPr>
        <w:spacing w:after="80" w:line="360" w:lineRule="auto"/>
      </w:pPr>
      <w:r>
        <w:t>T3 – Sessiongestaltung und Nutzungskontrolle: Wie wirken eine definierte Sendungslänge und ein bewusst gesetzter Sendungsabschluss auf die subjektive Zufriedenheit, das Zeitempfinden und die wahrgenommene Kontrolle über die eigene Mediennutzung (Vanden Abeele, 2021; Montag et al., 2019)?</w:t>
      </w:r>
    </w:p>
    <w:p w14:paraId="6798667F" w14:textId="77777777" w:rsidR="001666F9" w:rsidRDefault="00000000">
      <w:pPr>
        <w:pStyle w:val="Listenabsatz"/>
        <w:numPr>
          <w:ilvl w:val="0"/>
          <w:numId w:val="2"/>
        </w:numPr>
        <w:spacing w:after="80" w:line="360" w:lineRule="auto"/>
      </w:pPr>
      <w:r>
        <w:t>T4 – Transparenz und Akzeptanz: Wie verändert eine offengelegte Personalisierungslogik die wahrgenommene Fairness, das Vertrauen und die Gebrauchstauglichkeit, gemessen unter anderem über den System Usability Scale (Brooke, 1996; Bangor et al., 2008; Reviglio &amp; Agosti, 2020)?</w:t>
      </w:r>
    </w:p>
    <w:p w14:paraId="5CA10089" w14:textId="77777777" w:rsidR="001666F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 die Pilotstudie ist auf qualitative und deskriptive Erkenntnisgewinnung mit einer kleinen Probandengruppe ausgelegt (vgl. Abschnitte 5.4 und 5.5).</w:t>
      </w:r>
    </w:p>
    <w:p w14:paraId="279E5EEA" w14:textId="77777777" w:rsidR="001666F9" w:rsidRDefault="00000000">
      <w:pPr>
        <w:pStyle w:val="berschrift2"/>
      </w:pPr>
      <w:r>
        <w:t>4.3  Goal und Objective</w:t>
      </w:r>
    </w:p>
    <w:p w14:paraId="01ABF401" w14:textId="77777777" w:rsidR="001666F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3CBC784B" w14:textId="77777777" w:rsidR="001666F9" w:rsidRDefault="00000000">
      <w:pPr>
        <w:spacing w:after="160" w:line="360" w:lineRule="auto"/>
      </w:pPr>
      <w:r>
        <w:rPr>
          <w:b/>
          <w:bCs/>
        </w:rPr>
        <w:lastRenderedPageBreak/>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255FBC5A" w14:textId="77777777" w:rsidR="001666F9" w:rsidRDefault="00000000">
      <w:pPr>
        <w:spacing w:after="160" w:line="360" w:lineRule="auto"/>
      </w:pPr>
      <w:r>
        <w:rPr>
          <w:b/>
          <w:bCs/>
        </w:rPr>
        <w:t xml:space="preserve">Objective. </w:t>
      </w:r>
      <w:r>
        <w:t>Im Rahmen dieser Arbeit wird ein funktionsfähiger Demonstrator entwickelt, der die Prinzipien der nutzerzentrierten Personalisierung – explizite Präferenzangabe, transparente Empfehlungslogik, bewusste Inhaltsdiversität und definierte Sessiongestaltung – in einem Ende-zu-Ende-System umsetzt. Das System integriert externe Datenquellen (RSS-Feeds, Wetter-API), eine LLM-basierte Textgenerierung, eine Sprachsynthese und eine Webapplikation zu einer durchgängigen Sendungsproduktion und stellt das Ergebnis einem einwöchigen Pilottest mit einer kleinen Probandengruppe zur Verfügung.</w:t>
      </w:r>
    </w:p>
    <w:p w14:paraId="64C990C6" w14:textId="77777777" w:rsidR="001666F9" w:rsidRDefault="00000000">
      <w:pPr>
        <w:spacing w:after="160" w:line="360" w:lineRule="auto"/>
      </w:pPr>
      <w:r>
        <w:t>Aus Goal und Objective leiten sich die Erfolgskriterien der Arbeit ab, die in Abschnitt 8.4 operationalisiert werden.</w:t>
      </w:r>
    </w:p>
    <w:p w14:paraId="23C3F218" w14:textId="77777777" w:rsidR="001666F9" w:rsidRDefault="00000000">
      <w:pPr>
        <w:pStyle w:val="berschrift2"/>
      </w:pPr>
      <w:r>
        <w:t>4.4  Nutzen</w:t>
      </w:r>
    </w:p>
    <w:p w14:paraId="2F2B475B" w14:textId="77777777" w:rsidR="001666F9" w:rsidRDefault="00000000">
      <w:pPr>
        <w:spacing w:after="160" w:line="360" w:lineRule="auto"/>
      </w:pPr>
      <w:r>
        <w:t>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bietet das Artefakt ein Erlebnis, das in der heutigen Medienlandschaft als integriertes, durchgängig wellbeing-orientiertes Format kaum verfügbar ist.</w:t>
      </w:r>
    </w:p>
    <w:p w14:paraId="2A5D3039" w14:textId="77777777" w:rsidR="001666F9" w:rsidRDefault="00000000">
      <w:pPr>
        <w:spacing w:after="160" w:line="360" w:lineRule="auto"/>
      </w:pPr>
      <w:r>
        <w:t xml:space="preserve">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(Vanden Abeele, 2021; Burr et al., 2020; Peters et al., 2020) und algorithmischer Souveränität (Reviglio &amp; Agosti, 2020) integriert beobachten lassen – ein Setting, das in der bisherigen Literatur überwiegend konzeptionell, aber nur selten in einem konsistent gebauten System adressiert wird (vgl. Abschnitt 2.5). Der Pilottest erzeugt darüber hinaus erste empirische Hinweise auf die Nutzerakzeptanz </w:t>
      </w:r>
      <w:r>
        <w:lastRenderedPageBreak/>
        <w:t>wellbeing-orientierter Personalisierung und liefert eine methodische Vorlage, an der sich grössere Folgestudien orientieren können.</w:t>
      </w:r>
    </w:p>
    <w:p w14:paraId="540FBD18" w14:textId="77777777" w:rsidR="001666F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7AD61902" w14:textId="77777777" w:rsidR="001666F9" w:rsidRDefault="00000000">
      <w:pPr>
        <w:pStyle w:val="berschrift2"/>
      </w:pPr>
      <w:r>
        <w:t>4.5  Abgrenzung</w:t>
      </w:r>
    </w:p>
    <w:p w14:paraId="028A5306" w14:textId="77777777" w:rsidR="001666F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0F9FB2DF" w14:textId="77777777" w:rsidR="001666F9" w:rsidRDefault="00000000">
      <w:pPr>
        <w:pStyle w:val="Listenabsatz"/>
        <w:numPr>
          <w:ilvl w:val="0"/>
          <w:numId w:val="2"/>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7C9DD67F" w14:textId="77777777" w:rsidR="001666F9" w:rsidRDefault="00000000">
      <w:pPr>
        <w:pStyle w:val="Listenabsatz"/>
        <w:numPr>
          <w:ilvl w:val="0"/>
          <w:numId w:val="2"/>
        </w:numPr>
        <w:spacing w:after="80" w:line="360" w:lineRule="auto"/>
      </w:pPr>
      <w:r>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4E3AD3E7" w14:textId="77777777" w:rsidR="001666F9" w:rsidRDefault="00000000">
      <w:pPr>
        <w:pStyle w:val="Listenabsatz"/>
        <w:numPr>
          <w:ilvl w:val="0"/>
          <w:numId w:val="2"/>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41E011DF" w14:textId="77777777" w:rsidR="001666F9" w:rsidRDefault="00000000">
      <w:pPr>
        <w:pStyle w:val="Listenabsatz"/>
        <w:numPr>
          <w:ilvl w:val="0"/>
          <w:numId w:val="2"/>
        </w:numPr>
        <w:spacing w:after="80" w:line="360" w:lineRule="auto"/>
      </w:pPr>
      <w:r>
        <w:t>Quantitative Hypothesentests: Die Pilotstudie erhebt qualitative und deskriptive Daten mit einer kleinen Probandengruppe (n ≈ 5). Statistisch generalisierende Aussagen über die Gesamtbevölkerung sind nicht Teil der Arbeit (vgl. Abschnitt 5.5).</w:t>
      </w:r>
    </w:p>
    <w:p w14:paraId="4C1A6064" w14:textId="77777777" w:rsidR="001666F9" w:rsidRDefault="00000000">
      <w:pPr>
        <w:pStyle w:val="Listenabsatz"/>
        <w:numPr>
          <w:ilvl w:val="0"/>
          <w:numId w:val="2"/>
        </w:numPr>
        <w:spacing w:after="80" w:line="360" w:lineRule="auto"/>
      </w:pPr>
      <w:r>
        <w:t xml:space="preserve">Sprach- und Kulturraum: Untersucht wird der deutschsprachige Raum mit Schweizer Hochdeutsch als Sprachausgabe; mehrsprachige Anwendung und kulturelle </w:t>
      </w:r>
      <w:r>
        <w:lastRenderedPageBreak/>
        <w:t>Adaption werden im Ausblick (Abschnitt 11.3) gestreift, nicht aber empirisch untersucht.</w:t>
      </w:r>
    </w:p>
    <w:p w14:paraId="2AF0C800" w14:textId="77777777" w:rsidR="001666F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r>
    </w:p>
    <w:p w14:paraId="72358283" w14:textId="77777777" w:rsidR="001666F9" w:rsidRDefault="00000000">
      <w:pPr>
        <w:pStyle w:val="berschrift1"/>
        <w:pageBreakBefore/>
      </w:pPr>
      <w:r>
        <w:lastRenderedPageBreak/>
        <w:t>5  Methodik</w:t>
      </w:r>
    </w:p>
    <w:p w14:paraId="09DCC59E" w14:textId="77777777" w:rsidR="001666F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et al., 2004; Peffers et al., 2007; Hevner, 2007) ein. Abschnitt 5.3 fasst das praktische Vorgehen entlang der Arbeitspakete zusammen. Die Abschnitte 5.4 und 5.5 beschreiben die Methoden der Datenerhebung (Pilottest, System Usability Scale, Wellbeing-Items, Interviews, Nutzungslogs) und der Auswertung (qualitative Analyse, deskriptive Statistik). Abschnitt 5.6 reflektiert schliesslich die eingesetzten Ressourcen und Kompetenzen.</w:t>
      </w:r>
    </w:p>
    <w:p w14:paraId="7595F2C5" w14:textId="77777777" w:rsidR="001666F9" w:rsidRDefault="00000000">
      <w:pPr>
        <w:pStyle w:val="berschrift2"/>
      </w:pPr>
      <w:r>
        <w:t>5.1  Vorgehen der Literaturrecherche</w:t>
      </w:r>
    </w:p>
    <w:p w14:paraId="148F6E7F" w14:textId="77777777" w:rsidR="001666F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5D8ECC96" w14:textId="77777777" w:rsidR="001666F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4A4B7726" w14:textId="77777777" w:rsidR="001666F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w:t>
      </w:r>
      <w:r>
        <w:lastRenderedPageBreak/>
        <w:t>Swisscovery, im Verlagskatalog oder über den Digital Object Identifier verifiziert und als Originaldokument bezogen. Kein Inhalt wurde ohne Gegenprüfung übernommen.</w:t>
      </w:r>
    </w:p>
    <w:p w14:paraId="4C26D2C8" w14:textId="77777777" w:rsidR="001666F9" w:rsidRDefault="00000000">
      <w:pPr>
        <w:spacing w:after="160" w:line="360" w:lineRule="auto"/>
      </w:pPr>
      <w:r>
        <w:t>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14:paraId="087124AB" w14:textId="77777777" w:rsidR="001666F9" w:rsidRDefault="00000000">
      <w:pPr>
        <w:spacing w:after="160" w:line="360" w:lineRule="auto"/>
      </w:pPr>
      <w:r>
        <w:t>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14:paraId="779857B5" w14:textId="77777777" w:rsidR="001666F9" w:rsidRDefault="00000000">
      <w:pPr>
        <w:pStyle w:val="berschrift2"/>
      </w:pPr>
      <w:r>
        <w:t>5.2  Forschungsdesign</w:t>
      </w:r>
    </w:p>
    <w:p w14:paraId="2A69C5AC" w14:textId="77777777" w:rsidR="001666F9" w:rsidRDefault="00000000">
      <w:pPr>
        <w:spacing w:after="160" w:line="360" w:lineRule="auto"/>
      </w:pPr>
      <w:r>
        <w:t>Die Arbeit folgt dem Design-Science-Ansatz, wie er von Hevner, March, Park und Ram (2004) für die Wirtschaftsinformatik etabliert und von Peffers, Tuunanen, Rothenberger und Chatterjee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36D12855" w14:textId="77777777" w:rsidR="001666F9" w:rsidRDefault="00000000">
      <w:pPr>
        <w:spacing w:after="160" w:line="360" w:lineRule="auto"/>
      </w:pPr>
      <w:r>
        <w:t>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Recommender-Systems-Forschung, Persuasive Technology) fliessen in das Design ein, und die gewonnenen Erkenntnisse werden zur Wissensbasis zurückgegeben. Im inneren Design Cycle werden die Konstruktion und die Evaluation des Artefakts iterativ verschränkt.</w:t>
      </w:r>
    </w:p>
    <w:p w14:paraId="11051E59" w14:textId="77777777" w:rsidR="001666F9" w:rsidRDefault="00000000">
      <w:pPr>
        <w:spacing w:after="160" w:line="360" w:lineRule="auto"/>
      </w:pPr>
      <w:r>
        <w:t xml:space="preserve">Auf die vorliegende Arbeit übertragen bedeutet dies: Der Relevance Cycle ist in den Kapiteln 1 und 3 sowie im Pilottest (Abschnitt 8.3) verankert; der Rigor Cycle wird in Kapitel 2 sowie </w:t>
      </w:r>
      <w:r>
        <w:lastRenderedPageBreak/>
        <w:t>in Abschnitt 5.1 dokumentiert; der Design Cycle umfasst die in den Kapiteln 6 und 7 beschriebene iterative Konstruktion und die in Kapitel 8 ausgeführte Evaluation. Peffers et al. (2007) ergänzen diesen Rahmen um eine konkrete Schrittfolge – Problem Identification, Definition of Objectives, Design and Development, Demonstration, Evaluation, Communication –, die im Gesamtaufbau dieser Arbeit unmittelbar erkennbar ist und in der nachfolgenden Vorgehensbeschreibung in Abschnitt 5.3 ihren operativen Ausdruck findet.</w:t>
      </w:r>
    </w:p>
    <w:p w14:paraId="0C69EB2A" w14:textId="77777777" w:rsidR="001666F9" w:rsidRDefault="00000000">
      <w:pPr>
        <w:pStyle w:val="berschrift2"/>
      </w:pPr>
      <w:r>
        <w:t>5.3  Vorgehen im Überblick</w:t>
      </w:r>
    </w:p>
    <w:p w14:paraId="566F71E3" w14:textId="77777777" w:rsidR="001666F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des Pilottests (AP5). Die folgende Tabelle fasst die Pakete entlang von Beschreibung, Input und Output zusammen.</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700"/>
        <w:gridCol w:w="3500"/>
        <w:gridCol w:w="2400"/>
        <w:gridCol w:w="2400"/>
      </w:tblGrid>
      <w:tr w:rsidR="001666F9" w14:paraId="308819E3"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C71042F" w14:textId="77777777" w:rsidR="001666F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6BA3612" w14:textId="77777777" w:rsidR="001666F9" w:rsidRDefault="00000000">
            <w:pPr>
              <w:spacing w:line="276" w:lineRule="auto"/>
            </w:pPr>
            <w:r>
              <w:rPr>
                <w:b/>
                <w:bCs/>
                <w:sz w:val="20"/>
                <w:szCs w:val="20"/>
              </w:rPr>
              <w:t>Beschreibung</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0B936D2" w14:textId="77777777" w:rsidR="001666F9" w:rsidRDefault="00000000">
            <w:pPr>
              <w:spacing w:line="276" w:lineRule="auto"/>
            </w:pPr>
            <w:r>
              <w:rPr>
                <w:b/>
                <w:bCs/>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C78C772" w14:textId="77777777" w:rsidR="001666F9" w:rsidRDefault="00000000">
            <w:pPr>
              <w:spacing w:line="276" w:lineRule="auto"/>
            </w:pPr>
            <w:r>
              <w:rPr>
                <w:b/>
                <w:bCs/>
                <w:sz w:val="20"/>
                <w:szCs w:val="20"/>
              </w:rPr>
              <w:t>Output</w:t>
            </w:r>
          </w:p>
        </w:tc>
      </w:tr>
      <w:tr w:rsidR="001666F9" w14:paraId="3125217D"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5D927" w14:textId="77777777" w:rsidR="001666F9" w:rsidRDefault="00000000">
            <w:pPr>
              <w:spacing w:line="276" w:lineRule="auto"/>
            </w:pPr>
            <w:r>
              <w:rPr>
                <w:sz w:val="20"/>
                <w:szCs w:val="20"/>
              </w:rPr>
              <w:t>1</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89625" w14:textId="77777777" w:rsidR="001666F9" w:rsidRDefault="00000000">
            <w:pPr>
              <w:spacing w:line="276" w:lineRule="auto"/>
            </w:pPr>
            <w:r>
              <w:rPr>
                <w:sz w:val="20"/>
                <w:szCs w:val="20"/>
              </w:rPr>
              <w:t>Literaturrecherche und Theorierahmen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24CF5A" w14:textId="77777777" w:rsidR="001666F9" w:rsidRDefault="00000000">
            <w:pPr>
              <w:spacing w:line="276" w:lineRule="auto"/>
            </w:pPr>
            <w:r>
              <w:rPr>
                <w:sz w:val="20"/>
                <w:szCs w:val="20"/>
              </w:rPr>
              <w:t>Literatur zu Digital Wellbeing, Personalisierung, Medienethik</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33753A" w14:textId="77777777" w:rsidR="001666F9" w:rsidRDefault="00000000">
            <w:pPr>
              <w:spacing w:line="276" w:lineRule="auto"/>
            </w:pPr>
            <w:r>
              <w:rPr>
                <w:sz w:val="20"/>
                <w:szCs w:val="20"/>
              </w:rPr>
              <w:t>Theoretischer Rahmen, Gegenüberstellung der Medienmodelle</w:t>
            </w:r>
          </w:p>
        </w:tc>
      </w:tr>
      <w:tr w:rsidR="001666F9" w14:paraId="3416C6A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829611" w14:textId="77777777" w:rsidR="001666F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C40C54" w14:textId="77777777" w:rsidR="001666F9" w:rsidRDefault="00000000">
            <w:pPr>
              <w:spacing w:line="276" w:lineRule="auto"/>
            </w:pPr>
            <w:r>
              <w:rPr>
                <w:sz w:val="20"/>
                <w:szCs w:val="20"/>
              </w:rPr>
              <w:t>Architekturentwurf</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19B9A0" w14:textId="77777777" w:rsidR="001666F9" w:rsidRDefault="00000000">
            <w:pPr>
              <w:spacing w:line="276" w:lineRule="auto"/>
            </w:pPr>
            <w:r>
              <w:rPr>
                <w:sz w:val="20"/>
                <w:szCs w:val="20"/>
              </w:rPr>
              <w:t>Anforderungen, Wellbeing-Prinzipien, API-Dokumentation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2F10F" w14:textId="77777777" w:rsidR="001666F9" w:rsidRDefault="00000000">
            <w:pPr>
              <w:spacing w:line="276" w:lineRule="auto"/>
            </w:pPr>
            <w:r>
              <w:rPr>
                <w:sz w:val="20"/>
                <w:szCs w:val="20"/>
              </w:rPr>
              <w:t>Systemarchitektur mit Personalisierungsmodul</w:t>
            </w:r>
          </w:p>
        </w:tc>
      </w:tr>
      <w:tr w:rsidR="001666F9" w14:paraId="354F271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CFFEAF" w14:textId="77777777" w:rsidR="001666F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6A6FBF" w14:textId="77777777" w:rsidR="001666F9" w:rsidRDefault="00000000">
            <w:pPr>
              <w:spacing w:line="276" w:lineRule="auto"/>
            </w:pPr>
            <w:r>
              <w:rPr>
                <w:sz w:val="20"/>
                <w:szCs w:val="20"/>
              </w:rPr>
              <w:t>Durchstich (End-to-End)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DA2A4" w14:textId="77777777" w:rsidR="001666F9" w:rsidRDefault="00000000">
            <w:pPr>
              <w:spacing w:line="276" w:lineRule="auto"/>
            </w:pPr>
            <w:r>
              <w:rPr>
                <w:sz w:val="20"/>
                <w:szCs w:val="20"/>
              </w:rPr>
              <w:t>Architektur, externe APIs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654684" w14:textId="77777777" w:rsidR="001666F9" w:rsidRDefault="00000000">
            <w:pPr>
              <w:spacing w:line="276" w:lineRule="auto"/>
            </w:pPr>
            <w:r>
              <w:rPr>
                <w:sz w:val="20"/>
                <w:szCs w:val="20"/>
              </w:rPr>
              <w:t>Lauffähiger Minimalprototyp</w:t>
            </w:r>
          </w:p>
        </w:tc>
      </w:tr>
      <w:tr w:rsidR="001666F9" w14:paraId="025BEFD8"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BA833" w14:textId="77777777" w:rsidR="001666F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907642" w14:textId="77777777" w:rsidR="001666F9" w:rsidRDefault="00000000">
            <w:pPr>
              <w:spacing w:line="276" w:lineRule="auto"/>
            </w:pPr>
            <w:r>
              <w:rPr>
                <w:sz w:val="20"/>
                <w:szCs w:val="20"/>
              </w:rPr>
              <w:t>Iterative Verfeinerung und Wellbeing-Features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1591A0" w14:textId="77777777" w:rsidR="001666F9" w:rsidRDefault="00000000">
            <w:pPr>
              <w:spacing w:line="276" w:lineRule="auto"/>
            </w:pPr>
            <w:r>
              <w:rPr>
                <w:sz w:val="20"/>
                <w:szCs w:val="20"/>
              </w:rPr>
              <w:t>Prototyp, Personalisierungs- und Transparenzkonzept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80842F" w14:textId="77777777" w:rsidR="001666F9" w:rsidRDefault="00000000">
            <w:pPr>
              <w:spacing w:line="276" w:lineRule="auto"/>
            </w:pPr>
            <w:r>
              <w:rPr>
                <w:sz w:val="20"/>
                <w:szCs w:val="20"/>
              </w:rPr>
              <w:t>Erweiterter Demonstrator mit wellbeing-orientierten Features</w:t>
            </w:r>
          </w:p>
        </w:tc>
      </w:tr>
      <w:tr w:rsidR="001666F9" w14:paraId="2168937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0CF31C" w14:textId="77777777" w:rsidR="001666F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73125" w14:textId="77777777" w:rsidR="001666F9" w:rsidRDefault="00000000">
            <w:pPr>
              <w:spacing w:line="276" w:lineRule="auto"/>
            </w:pPr>
            <w:r>
              <w:rPr>
                <w:sz w:val="20"/>
                <w:szCs w:val="20"/>
              </w:rPr>
              <w:t>Pilottest (1-Wochen-Test)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853D38" w14:textId="77777777" w:rsidR="001666F9" w:rsidRDefault="00000000">
            <w:pPr>
              <w:spacing w:line="276" w:lineRule="auto"/>
            </w:pPr>
            <w:r>
              <w:rPr>
                <w:sz w:val="20"/>
                <w:szCs w:val="20"/>
              </w:rPr>
              <w:t>Demonstrator, ca. fünf Testpersonen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8A72F2" w14:textId="77777777" w:rsidR="001666F9" w:rsidRDefault="00000000">
            <w:pPr>
              <w:spacing w:line="276" w:lineRule="auto"/>
            </w:pPr>
            <w:r>
              <w:rPr>
                <w:sz w:val="20"/>
                <w:szCs w:val="20"/>
              </w:rPr>
              <w:t>Nutzungsdaten, Wellbeing-Feedback, qualitative Erkenntnisse</w:t>
            </w:r>
          </w:p>
        </w:tc>
      </w:tr>
      <w:tr w:rsidR="001666F9" w14:paraId="79F5DB52"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ED34AF" w14:textId="77777777" w:rsidR="001666F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B0738" w14:textId="77777777" w:rsidR="001666F9" w:rsidRDefault="00000000">
            <w:pPr>
              <w:spacing w:line="276" w:lineRule="auto"/>
            </w:pPr>
            <w:r>
              <w:rPr>
                <w:sz w:val="20"/>
                <w:szCs w:val="20"/>
              </w:rPr>
              <w:t>Evaluation und Validierung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20F3E5" w14:textId="77777777" w:rsidR="001666F9" w:rsidRDefault="00000000">
            <w:pPr>
              <w:spacing w:line="276" w:lineRule="auto"/>
            </w:pPr>
            <w:r>
              <w:rPr>
                <w:sz w:val="20"/>
                <w:szCs w:val="20"/>
              </w:rPr>
              <w:t>Testdaten, Erfolgskriterien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39581A" w14:textId="77777777" w:rsidR="001666F9" w:rsidRDefault="00000000">
            <w:pPr>
              <w:spacing w:line="276" w:lineRule="auto"/>
            </w:pPr>
            <w:r>
              <w:rPr>
                <w:sz w:val="20"/>
                <w:szCs w:val="20"/>
              </w:rPr>
              <w:t>Machbarkeitsbeurteilung, Wellbeing-Evaluation</w:t>
            </w:r>
          </w:p>
        </w:tc>
      </w:tr>
      <w:tr w:rsidR="001666F9" w14:paraId="607E45C9"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EBDEFC" w14:textId="77777777" w:rsidR="001666F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D64FAC" w14:textId="77777777" w:rsidR="001666F9" w:rsidRDefault="00000000">
            <w:pPr>
              <w:spacing w:line="276" w:lineRule="auto"/>
            </w:pPr>
            <w:r>
              <w:rPr>
                <w:sz w:val="20"/>
                <w:szCs w:val="20"/>
              </w:rPr>
              <w:t>Dokumentation und Abschluss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B696D" w14:textId="77777777" w:rsidR="001666F9" w:rsidRDefault="00000000">
            <w:pPr>
              <w:spacing w:line="276" w:lineRule="auto"/>
            </w:pPr>
            <w:r>
              <w:rPr>
                <w:sz w:val="20"/>
                <w:szCs w:val="20"/>
              </w:rPr>
              <w:t>Alle Artefakte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C862AC" w14:textId="77777777" w:rsidR="001666F9" w:rsidRDefault="00000000">
            <w:pPr>
              <w:spacing w:line="276" w:lineRule="auto"/>
            </w:pPr>
            <w:r>
              <w:rPr>
                <w:sz w:val="20"/>
                <w:szCs w:val="20"/>
              </w:rPr>
              <w:t>Wissenschaftlicher Bericht, Code-Dokumentation</w:t>
            </w:r>
          </w:p>
        </w:tc>
      </w:tr>
    </w:tbl>
    <w:p w14:paraId="67482009" w14:textId="77777777" w:rsidR="001666F9" w:rsidRDefault="001666F9">
      <w:pPr>
        <w:spacing w:after="160" w:line="360" w:lineRule="auto"/>
      </w:pPr>
    </w:p>
    <w:p w14:paraId="5501E850" w14:textId="77777777" w:rsidR="001666F9" w:rsidRDefault="00000000">
      <w:pPr>
        <w:spacing w:after="160" w:line="360" w:lineRule="auto"/>
      </w:pPr>
      <w:r>
        <w:t xml:space="preserve">Die Pakete AP1 bis AP4 bilden den Kern des Design Cycle, AP5 und AP6 schliessen den Relevance Cycle, und AP7 sichert die Anschlussfähigkeit für den Rigor Cycle. Der </w:t>
      </w:r>
      <w:r>
        <w:lastRenderedPageBreak/>
        <w:t>Zeitrahmen erstreckt sich über das offizielle BSc-Thesis-Fenster von rund zehn Wochen, ergänzt um eine Vorbereitungsphase, in der erste Literaturrecherchen sowie technische Prototypen bereits vor dem offiziellen Projektstart durchgeführt wurden.</w:t>
      </w:r>
    </w:p>
    <w:p w14:paraId="453A263F" w14:textId="77777777" w:rsidR="001666F9" w:rsidRDefault="00000000">
      <w:pPr>
        <w:pStyle w:val="berschrift2"/>
      </w:pPr>
      <w:r>
        <w:t>5.4  Methoden der Datenerhebung</w:t>
      </w:r>
    </w:p>
    <w:p w14:paraId="62DA08EA" w14:textId="77777777" w:rsidR="001666F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kombiniert vier Datenquellen, die sich gegenseitig stützen und triangulierbar sind.</w:t>
      </w:r>
    </w:p>
    <w:p w14:paraId="6194E487" w14:textId="77777777" w:rsidR="001666F9" w:rsidRDefault="00000000">
      <w:pPr>
        <w:spacing w:after="160" w:line="360" w:lineRule="auto"/>
      </w:pPr>
      <w:r>
        <w:t>Erstens wird der System Usability Scale (SUS) eingesetzt, ein etabliertes, kurzes Selbstbewertungsinstrument zur Gebrauchstauglichkeit (Brooke, 1996). Bangor, Kortum und Miller (2008) liefern empirisch fundierte Vergleichswerte und Adjektivskalen, die die Interpretation der erreichten Punktzahl erleichtern. Der SUS adressiert insbesondere die Teilfrage T4 (Transparenz und Akzeptanz).</w:t>
      </w:r>
    </w:p>
    <w:p w14:paraId="281001FC" w14:textId="77777777" w:rsidR="001666F9" w:rsidRDefault="00000000">
      <w:pPr>
        <w:spacing w:after="160" w:line="360" w:lineRule="auto"/>
      </w:pPr>
      <w:r>
        <w:t>Zweitens werden wellbeing-bezogene Items eingesetzt, die in einem kurzen Tagesfragebogen den subjektiven Zustand der Nutzenden vor und nach der Sendung erfassen. Die konkrete Itembatterie wird in der Implementationsphase finalisiert und orientiert sich an den von Peters, Ahmadpour und Calvo (2020) zusammengetragenen wellbeing-bezogenen Konstrukten sowie an der Definition von Vanden Abeele (2021). Diese Daten adressieren die Teilfragen T1 (Autonomie- und Kompetenzerleben) und T3 (Zeitempfinden und Nutzungskontrolle).</w:t>
      </w:r>
    </w:p>
    <w:p w14:paraId="0928EC74" w14:textId="77777777" w:rsidR="001666F9" w:rsidRDefault="00000000">
      <w:pPr>
        <w:spacing w:after="160" w:line="360" w:lineRule="auto"/>
      </w:pPr>
      <w:r>
        <w:t>Drittens werden semistrukturierte Abschluss-Interviews geführt, um vertiefte Einsichten in die individuelle Nutzungserfahrung, den Vergleich zur gewohnten Mediennutzung und die wahrgenommene Personalisierungslogik zu gewinnen. Der Interviewleitfaden wird in Anhang A dokumentiert und folgt der Logik der vier Teilfragen.</w:t>
      </w:r>
    </w:p>
    <w:p w14:paraId="0203D1B2" w14:textId="77777777" w:rsidR="001666F9" w:rsidRDefault="00000000">
      <w:pPr>
        <w:spacing w:after="160" w:line="360" w:lineRule="auto"/>
      </w:pPr>
      <w:r>
        <w:t>Viertens werden Nutzungslogs aus der Webapplikation ausgewertet: Anzahl, Dauer und Tageszeit der gestarteten Sendungen, Profilanpassungen, Abbrüche sowie Vorgänge, in denen Nutzende die Personalisierungslogik einsehen. Die Logs werden lokal und ohne personenbezogene Inhalte erhoben und ergänzen die Selbstauskunft um eine verhaltensnahe Perspektive.</w:t>
      </w:r>
    </w:p>
    <w:p w14:paraId="67904BF0" w14:textId="77777777" w:rsidR="001666F9" w:rsidRDefault="00000000">
      <w:pPr>
        <w:spacing w:after="160" w:line="360" w:lineRule="auto"/>
      </w:pPr>
      <w:r>
        <w:t xml:space="preserve">Der Pilottest läuft über eine Woche mit ca. fünf Testpersonen aus dem Bekanntenkreis des Autors. Die Probandengruppe ist gezielt klein gehalten, um eine intensive qualitative Auswertung zu ermöglichen. Der Ablauf – Onboarding, Nutzung im Alltag, </w:t>
      </w:r>
      <w:r>
        <w:lastRenderedPageBreak/>
        <w:t>Abschlussinterview – sowie die Einwilligung der Teilnehmenden werden in den Abschnitten 8.3 und 8.5 ausführlich beschrieben.</w:t>
      </w:r>
    </w:p>
    <w:p w14:paraId="25BE31D3" w14:textId="77777777" w:rsidR="001666F9" w:rsidRDefault="00000000">
      <w:pPr>
        <w:pStyle w:val="berschrift2"/>
      </w:pPr>
      <w:r>
        <w:t>5.5  Methoden der Auswertung</w:t>
      </w:r>
    </w:p>
    <w:p w14:paraId="0C8A2AE5" w14:textId="77777777" w:rsidR="001666F9" w:rsidRDefault="00000000">
      <w:pPr>
        <w:spacing w:after="160" w:line="360" w:lineRule="auto"/>
      </w:pPr>
      <w:r>
        <w:t>Die Auswertung folgt der Datenstruktur und kombiniert qualitative und deskriptive Verfahren. Ein bewusst zurückhaltender Auswertungsstil entspricht dem formativen Charakter der Studie und der kleinen Probandengruppe.</w:t>
      </w:r>
    </w:p>
    <w:p w14:paraId="2B9C525C" w14:textId="77777777" w:rsidR="001666F9" w:rsidRDefault="00000000">
      <w:pPr>
        <w:spacing w:after="160" w:line="360" w:lineRule="auto"/>
      </w:pPr>
      <w:r>
        <w:t>Die qualitativen Daten aus den Interviews werden inhaltlich strukturiert ausgewertet. Aussagen werden entlang der vier Teilfragen kodiert und in thematische Cluster zusammengefasst (Autonomie- und Kompetenzerleben, Inhaltsdiversität, Sessiongestaltung, Transparenz und Vertrauen). Aus den Clustern werden Kernmuster und repräsentative Zitate extrahiert, die den Befund illustrieren. Die Auswertung bleibt bewusst nahe an den Aussagen der Teilnehmenden und vermeidet überinterpretierende Kategorisierungen, was bei einer kleinen Stichprobe ohnehin angezeigt ist.</w:t>
      </w:r>
    </w:p>
    <w:p w14:paraId="27104B9F" w14:textId="77777777" w:rsidR="001666F9" w:rsidRDefault="00000000">
      <w:pPr>
        <w:spacing w:after="160" w:line="360" w:lineRule="auto"/>
      </w:pPr>
      <w:r>
        <w:t>Die quantitativen Daten werden deskriptiv ausgewertet. Für den SUS werden Gesamtpunktzahl je Person, Mittelwert und Spannweite berichtet und mit den Referenzwerten von Bangor et al. (2008) verglichen; eine inferenzstatistische Prüfung ist bei n ≈ 5 nicht sinnvoll und wird daher unterlassen. Für die Wellbeing-Items werden Verläufe je Person dargestellt; aggregierende Aussagen werden nur dort gemacht, wo das Muster über alle Personen hinweg klar erkennbar ist. Die Logdaten werden als Profile pro Person berichtet (Nutzungshäufigkeit, Sendungsdauer, Profilinteraktionen) und mit den qualitativen Aussagen abgeglichen.</w:t>
      </w:r>
    </w:p>
    <w:p w14:paraId="3731CF14" w14:textId="77777777" w:rsidR="001666F9" w:rsidRDefault="00000000">
      <w:pPr>
        <w:spacing w:after="160" w:line="360" w:lineRule="auto"/>
      </w:pPr>
      <w:r>
        <w:t>Zentrales Auswertungsprinzip ist die Triangulation zwischen Selbstauskunft (SUS, Wellbeing-Items), Erzählung (Interview) und Verhalten (Logs): Konvergierende Befunde sind belastbar, divergierende Befunde werden offengelegt und als Ausgangspunkt weiterführender Fragen interpretiert. Die Ergebnisse werden in Kapitel 9 entlang der Teilfragen aus Abschnitt 4.2 berichtet.</w:t>
      </w:r>
    </w:p>
    <w:p w14:paraId="0CE21493" w14:textId="77777777" w:rsidR="001666F9" w:rsidRDefault="00000000">
      <w:pPr>
        <w:pStyle w:val="berschrift2"/>
      </w:pPr>
      <w:r>
        <w:t>5.6  Reflexion zu Ressourcen und Kompetenzen</w:t>
      </w:r>
    </w:p>
    <w:p w14:paraId="583C0ADE" w14:textId="77777777" w:rsidR="001666F9" w:rsidRDefault="00000000">
      <w:pPr>
        <w:spacing w:after="160" w:line="360" w:lineRule="auto"/>
      </w:pPr>
      <w:r>
        <w:t xml:space="preserve">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w:t>
      </w:r>
      <w:r>
        <w:lastRenderedPageBreak/>
        <w:t>angepasst wird. Die Webapplikation auf Basis von Next.js 15, React 19, TypeScript und Tailwind CSS 4 baut auf vorhandenen Erfahrungen auf, die agentische Pipeline-Steuerung erweitert sie um asynchrone Orchestrierungsmuster.</w:t>
      </w:r>
    </w:p>
    <w:p w14:paraId="1279BAB9" w14:textId="77777777" w:rsidR="001666F9" w:rsidRDefault="00000000">
      <w:pPr>
        <w:spacing w:after="160" w:line="360" w:lineRule="auto"/>
      </w:pPr>
      <w:r>
        <w:t>Auf der Methodenseite kombiniert die Arbeit eine strukturierte Literaturrecherche (Abschnitt 5.1) mit einer formativen Nutzerstudie (Abschnitte 5.4 und 5.5). Die qualitative und deskriptive Auswertung ist mit Grundkenntnissen aus dem Studium gut zu leisten; die kleine Probandengruppe erlaubt eine sorgfältige Einzelfallbetrachtung, ohne dass komplexere statistische Verfahren erforderlich werden. Externe Werkzeuge (Claude für Recherche und Schreibhilfe, NotebookLM für die thematische Strukturierung, Zotero für die Quellenverwaltung, Cursor und GitHub Copilot für Teile der Code-Entwicklung) werden in der KI-Nutzungserklärung des Front Matter im Detail offengelegt.</w:t>
      </w:r>
    </w:p>
    <w:p w14:paraId="62FCF70A" w14:textId="77777777" w:rsidR="001666F9" w:rsidRDefault="00000000">
      <w:pPr>
        <w:spacing w:after="160" w:line="360" w:lineRule="auto"/>
      </w:pPr>
      <w:r>
        <w:t>Insgesamt ist das Vorhaben in den verfügbaren Ressourcen – Zeitbudget von rund zehn Wochen, Einzelautorenschaft, kleine Probandengruppe – bewusst so dimensioniert, dass die zentrale Forschungsfrage substanziell beantwortet werden kann, ohne den Rahmen einer BSc-Thesis zu überschreiten.</w:t>
      </w:r>
    </w:p>
    <w:p w14:paraId="1D9E1E71" w14:textId="77777777" w:rsidR="001666F9" w:rsidRDefault="00000000">
      <w:pPr>
        <w:pStyle w:val="berschrift1"/>
        <w:pageBreakBefore/>
      </w:pPr>
      <w:r>
        <w:lastRenderedPageBreak/>
        <w:t>8  Validierung</w:t>
      </w:r>
    </w:p>
    <w:p w14:paraId="5602866D" w14:textId="77777777" w:rsidR="001666F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 die einzelnen Datenquellen, der Pilottest-Ablauf und die Auswertungsverfahren – ist in Kapitel 5 (Abschnitte 5.4 und 5.5) ausführlich beschrieben; dieses Kapitel verweist darauf und ergänzt die strangbezogene Operationalisierung.</w:t>
      </w:r>
    </w:p>
    <w:p w14:paraId="39EBF856" w14:textId="77777777" w:rsidR="001666F9" w:rsidRDefault="00000000">
      <w:pPr>
        <w:pStyle w:val="berschrift2"/>
      </w:pPr>
      <w:r>
        <w:t>8.1  Aufbau der Validierung</w:t>
      </w:r>
    </w:p>
    <w:p w14:paraId="2CA2D4EF" w14:textId="77777777" w:rsidR="001666F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7DCF988E" w14:textId="77777777" w:rsidR="001666F9" w:rsidRDefault="00000000">
      <w:pPr>
        <w:spacing w:after="160" w:line="360" w:lineRule="auto"/>
      </w:pPr>
      <w:r>
        <w:t>Erhoben wurde in einem einmaligen Nutzungsformat: Die Teilnehmenden konfigurierten ihr Profil, hörten eine vollständige Sendung und beantworteten anschliessend einen Online-Fragebogen (Google Forms), der den Erstkontakt-Eindruck erfasst. Gewohnheitseffekte über eine längere Nutzungsphase waren nicht Gegenstand der Pilotstudie; sie werden in den Limitationen (Abschnitt 10.6) und im Ausblick aufgegriffen. Stichprobe, Ablauf und Auswertungsverfahren der Befragung sind in Abschnitt 8.6 dokumentiert.</w:t>
      </w:r>
    </w:p>
    <w:p w14:paraId="201C8795" w14:textId="77777777" w:rsidR="001666F9" w:rsidRDefault="00000000">
      <w:pPr>
        <w:pStyle w:val="berschrift2"/>
      </w:pPr>
      <w:r>
        <w:t>8.2  Machbarkeitsnachweis</w:t>
      </w:r>
    </w:p>
    <w:p w14:paraId="018A2CAF" w14:textId="77777777" w:rsidR="001666F9" w:rsidRDefault="00000000">
      <w:pPr>
        <w:spacing w:after="160" w:line="360" w:lineRule="auto"/>
      </w:pPr>
      <w:r>
        <w:t>Der Machbarkeitsnachweis erfolgt auf drei Ebenen. Erstens dient der lauffähige Prototyp als Demonstration: Ein End-to-End-Durchlauf von der Profileingabe über Datenintegration, LLM-gestützte Textgenerierung und Sprachsynthese bis zur ausgespielten Sendung wird reproduzierbar dokumentiert; eine Beispielsendung findet sich in Anhang E. Zweitens werden für die zentralen Pipeline-Komponenten – Datenintegration, Personalisierung, LLM-Aufrufe und Sprachsynthese – automatisierte Tests geführt, die Normalfälle, Fehlerpfade und Grenzfälle abdecken. Drittens werden nicht-funktionale Eigenschaften gemessen: Latenz pro Pipeline-Schritt, Kosten pro Sendung in LLM-Tokens und TTS-Minuten, Fehlerraten (Halluzinationen, fehlgeschlagene API-Calls) und Stabilität bei wiederholter Ausführung. Die Messungen erfolgen über mindestens 20 generierte Sendungen mit unterschiedlichen Profilkonfigurationen, um Schwankungen sichtbar zu machen.</w:t>
      </w:r>
    </w:p>
    <w:p w14:paraId="2CE0E8FA" w14:textId="77777777" w:rsidR="001666F9" w:rsidRDefault="00000000">
      <w:pPr>
        <w:pStyle w:val="berschrift2"/>
      </w:pPr>
      <w:r>
        <w:lastRenderedPageBreak/>
        <w:t>8.3  Usability und Akzeptanz</w:t>
      </w:r>
    </w:p>
    <w:p w14:paraId="4B568986" w14:textId="77777777" w:rsidR="001666F9" w:rsidRDefault="00000000">
      <w:pPr>
        <w:spacing w:after="160" w:line="360" w:lineRule="auto"/>
      </w:pPr>
      <w:r>
        <w:t>Der Usability-Strang war zweistufig angelegt. Der Pilotbefragung ging Anfang Mai 2026 ein formatives Erstfeedback mit drei Personen aus dem Privatumfeld voraus: In geführten Einzelsessions konfigurierten die Teilnehmenden ein Profil, hörten eine Sendung und beantworteten anschliessend die unveränderte System Usability Scale (SUS-10; Brooke, 1996) sowie zwei offene Fragen; das Erhebungsinstrument lief zu diesem Zeitpunkt noch unter dem Arbeitstitel «Radio 25». Die SUS-Scores lagen bei 72.5, 80 und 85 Punkten (M = 79.2) und damit durchwegs über dem Referenzwert von 68 (Bangor et al., 2008).</w:t>
      </w:r>
    </w:p>
    <w:p w14:paraId="51E6C2B1" w14:textId="77777777" w:rsidR="001666F9" w:rsidRDefault="00000000">
      <w:pPr>
        <w:spacing w:after="160" w:line="360" w:lineRule="auto"/>
      </w:pPr>
      <w:r>
        <w:t>Die beiden offenen Fragen lieferten in erster Linie punktuelle Funktionswünsche – etwa eine wählbare Musikrichtung oder zusätzliche Themenkategorien –,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1CC7DCC4" w14:textId="77777777" w:rsidR="001666F9" w:rsidRDefault="00000000">
      <w:pPr>
        <w:spacing w:after="160" w:line="360" w:lineRule="auto"/>
      </w:pPr>
      <w:r>
        <w:t>Die Usability- und Akzeptanzmessung kombinierte sechs an die System Usability Scale (Brooke, 1996) angelehnte Items – berichtet als adaptierter Bedienbarkeits-Index (0–100) – mit eigenkonstruierten Items, die sich an TAM und UTAUT orientieren und gezielt die Einstellungsmöglichkeiten der Webapplikation adressieren. Diese Eigenkonstruktion ist methodisch begründet: Standardinstrumente prüfen Bedienbarkeit gegen einen abstrakten Idealnutzer, sie können aber nicht klären, ob konkrete Funktionen eines neuartigen Artefakts erwünscht sind. Pro Einstellungsmöglichkeit – Sendungslänge, Themenpräferenzen, Stimmenwahl, Diversifikationsgrad und Transparenzanzeige – wurde ein dreigeteiltes Item-Set erhoben: was gefällt, was als unnötig empfunden wird, was zusätzlich gewünscht wäre. Die Items wurden mit LLM-Unterstützung formuliert. Der vollständige Item-Katalog ist in Anhang C dokumentiert. Ergänzend wurde der Gesamteindruck mit einem siebenstufigen semantischen Differential erfasst; alle übrigen Items sind fünfstufige Likert-Skalen.</w:t>
      </w:r>
    </w:p>
    <w:p w14:paraId="3A6D0439" w14:textId="77777777" w:rsidR="001666F9" w:rsidRDefault="00000000">
      <w:pPr>
        <w:pStyle w:val="berschrift2"/>
      </w:pPr>
      <w:r>
        <w:t>8.4  Wirkung</w:t>
      </w:r>
    </w:p>
    <w:p w14:paraId="0347E151" w14:textId="77777777" w:rsidR="001666F9" w:rsidRDefault="00000000">
      <w:pPr>
        <w:spacing w:after="160" w:line="360" w:lineRule="auto"/>
      </w:pPr>
      <w:r>
        <w:lastRenderedPageBreak/>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 Transparenz, Steuerbarkeit und Vertrauen –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in Anhang C; die Zuordnung der Items zu den Konstrukten und die Umpolungsregeln sind in Abschnitt 7 des Auswertungs-Notebooks dokumentiert.</w:t>
      </w:r>
    </w:p>
    <w:p w14:paraId="779B9566" w14:textId="77777777" w:rsidR="001666F9" w:rsidRDefault="00000000">
      <w:pPr>
        <w:pStyle w:val="berschrift2"/>
      </w:pPr>
      <w:r>
        <w:t>8.5  Operationalisierung der Erfolgskriterien und Ethik</w:t>
      </w:r>
    </w:p>
    <w:p w14:paraId="26BF5402" w14:textId="77777777" w:rsidR="001666F9" w:rsidRDefault="00000000">
      <w:pPr>
        <w:spacing w:after="160" w:line="360" w:lineRule="auto"/>
      </w:pPr>
      <w:r>
        <w:t>Die in Abschnitt 4.2 konzeptuell formulierten Erfolgskriterien werden für die Validierung pro Strang operationalisiert. Auf der Machbarkeitsebene gilt der End-to-End-Durchlauf als erfolgreich, wenn er auf mindestens 95 Prozent der Versuche fehlerfrei terminiert, die Latenz pro Sendung unter einem mit dem Betreuer abgestimmten Schwellwert bleibt und die Unit-Test-Abdeckung pro Komponente mindestens 70 Prozent erreicht. Auf der Akzeptanzebene wird ein SUS-Score von mindestens 68 Punkten – dem industriellen Durchschnitt nach Bangor, Kortum und Miller (2008) –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15069524" w14:textId="77777777" w:rsidR="001666F9" w:rsidRDefault="00000000">
      <w:pPr>
        <w:spacing w:after="160" w:line="360" w:lineRule="auto"/>
      </w:pPr>
      <w:r>
        <w:t>Die konkreten Schwellwerte wurden vor dem Pilottest mit dem Betreuer abgestimmt. Ethik, Einwilligung und Datenschutz folgen den ZHAW-Standards für studentische Forschung mit Personen: Vor Studienbeginn unterzeichnen alle Testpersonen eine Einwilligungserklärung (Informed Consent, siehe Anhang H), die Studienzweck, Datenarten, Verwendung, Speicherdauer und Widerrufsrecht regelt. Nutzungsdaten werden lokal erhoben und sechs Monate nach Abgabe der Thesis gelöscht; ein clientseitiges Tracking findet nicht statt.</w:t>
      </w:r>
    </w:p>
    <w:p w14:paraId="38943356" w14:textId="77777777" w:rsidR="001666F9" w:rsidRDefault="00000000">
      <w:pPr>
        <w:pStyle w:val="berschrift2"/>
      </w:pPr>
      <w:r>
        <w:lastRenderedPageBreak/>
        <w:t>8.6  Durchführung der Pilotbefragung</w:t>
      </w:r>
    </w:p>
    <w:p w14:paraId="288238FE" w14:textId="57F25C00" w:rsidR="001666F9" w:rsidRDefault="00000000">
      <w:pPr>
        <w:spacing w:after="160" w:line="360" w:lineRule="auto"/>
      </w:pPr>
      <w:r>
        <w:t xml:space="preserve">Die Pilotbefragung wurde als Online-Fragebogen (Google Forms) umgesetzt und am 1. Juni 2026 abgeschlossen. </w:t>
      </w:r>
      <w:r>
        <w:t xml:space="preserve">Vor dem Feldstart wurde der vollständige Studienablauf – Profilkonfiguration, Sendung, Fragebogen – als Pretest mit zwei Personen aus dem Privatumfeld durchgespielt, um Verständlichkeit der Items und technischen Ablauf des Experiments zu prüfen; deren Antworten wurden von der Auswertung ausgeschlossen. Von den verbleibenden 25 Rückmeldungen lagen alle mit erteilter Einwilligung vor (n = 25). </w:t>
      </w:r>
      <w:r>
        <w:t>Die Stichprobe ist jung (17 Personen zwischen 18 und 24 Jahren, 8 Personen zwischen 25 und 34 Jahren) und überwiegend männlich (19 von 25); 24 Personen nahmen im Rahmen des ZHAW-Experiments teil. Die Stichprobe ist damit nicht repräsentativ: Klassisches Radio wird selten, algorithmische Plattformen werden häufig genutzt – die Teilnehmenden beurteilen Attune vor dem Erfahrungshintergrund engagement-getriebener Medien.</w:t>
      </w:r>
    </w:p>
    <w:p w14:paraId="26D13E71" w14:textId="77777777" w:rsidR="001666F9" w:rsidRDefault="00000000">
      <w:pPr>
        <w:spacing w:after="160" w:line="360" w:lineRule="auto"/>
      </w:pPr>
      <w:r>
        <w:t>Die Auswertung erfolgt deskriptiv über Mittelwerte (M), Standardabweichungen (SD) und Häufigkeiten, ergänzt um eine induktive Clusterung der Freitextantworten. Auf inferenzstatistische Verfahren wird angesichts der kleinen Stichprobe verzichtet; die explorativen Subgruppenvergleiche im Auswertungs-Notebook sind hypothesengenerierend zu lesen. Negativ formulierte Items wurden konstruktspezifisch umgepolt; Items, die ein erwünschtes kritisches Bewusstsein messen (z. B. «Ich würde der KI nicht blind vertrauen»), wurden bewusst nicht umgepolt. Die vollständige Auswertung ist als kommentiertes Jupyter-Notebook (Attune_Pilotstudie_Auswertung.ipynb) umgesetzt; eine lesbare HTML-Fassung mit allen Tabellen und Abbildungen ist im begleitenden Repository unter github.com/MichaelMoeckli/attune publiziert. Sämtliche berichteten Werte sind daraus deterministisch reproduzierbar.</w:t>
      </w:r>
    </w:p>
    <w:p w14:paraId="44554A8B" w14:textId="77777777" w:rsidR="001666F9" w:rsidRDefault="00000000">
      <w:pPr>
        <w:pStyle w:val="berschrift1"/>
        <w:pageBreakBefore/>
      </w:pPr>
      <w:r>
        <w:lastRenderedPageBreak/>
        <w:t>9  Ergebnisse der Pilotbefragung</w:t>
      </w:r>
    </w:p>
    <w:p w14:paraId="17199A01" w14:textId="77777777" w:rsidR="001666F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 (vgl. Abschnitt 8.6).</w:t>
      </w:r>
    </w:p>
    <w:p w14:paraId="4C35D43B" w14:textId="77777777" w:rsidR="001666F9" w:rsidRDefault="00000000">
      <w:pPr>
        <w:pStyle w:val="berschrift2"/>
      </w:pPr>
      <w:r>
        <w:t>9.1  Ergebnisse Machbarkeit</w:t>
      </w:r>
    </w:p>
    <w:p w14:paraId="481BBA4B" w14:textId="77777777" w:rsidR="001666F9" w:rsidRDefault="00000000">
      <w:pPr>
        <w:spacing w:after="160" w:line="360" w:lineRule="auto"/>
      </w:pPr>
      <w:r>
        <w:t>Der Machbarkeitsnachweis aus Nutzersicht gilt als erbracht: 22 von 25 Teilnehmenden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w:t>
      </w:r>
    </w:p>
    <w:p w14:paraId="6AC6A76F" w14:textId="77777777" w:rsidR="001666F9" w:rsidRDefault="00000000">
      <w:pPr>
        <w:spacing w:after="80"/>
        <w:jc w:val="center"/>
      </w:pPr>
      <w:r>
        <w:rPr>
          <w:noProof/>
        </w:rPr>
        <w:drawing>
          <wp:inline distT="0" distB="0" distL="0" distR="0" wp14:anchorId="6916B794" wp14:editId="278D9962">
            <wp:extent cx="5394960" cy="2309060"/>
            <wp:effectExtent l="0" t="0" r="0" b="0"/>
            <wp:docPr id="9101" name="c_tech" descr="Abbildung 9.1: Technische Qualität aus Nutzersicht (Mittelwerte, Skala 1–5, n = 25). Quelle: Auswertungs-Notebook (github.com/MichaelMoeckli/attune)."/>
            <wp:cNvGraphicFramePr/>
            <a:graphic xmlns:a="http://schemas.openxmlformats.org/drawingml/2006/main">
              <a:graphicData uri="http://schemas.openxmlformats.org/drawingml/2006/picture">
                <pic:pic xmlns:pic="http://schemas.openxmlformats.org/drawingml/2006/picture">
                  <pic:nvPicPr>
                    <pic:cNvPr id="9101" name="c_tech"/>
                    <pic:cNvPicPr/>
                  </pic:nvPicPr>
                  <pic:blipFill>
                    <a:blip r:embed="rId7"/>
                    <a:stretch>
                      <a:fillRect/>
                    </a:stretch>
                  </pic:blipFill>
                  <pic:spPr>
                    <a:xfrm>
                      <a:off x="0" y="0"/>
                      <a:ext cx="5394960" cy="2309060"/>
                    </a:xfrm>
                    <a:prstGeom prst="rect">
                      <a:avLst/>
                    </a:prstGeom>
                  </pic:spPr>
                </pic:pic>
              </a:graphicData>
            </a:graphic>
          </wp:inline>
        </w:drawing>
      </w:r>
    </w:p>
    <w:p w14:paraId="62124582" w14:textId="77777777" w:rsidR="001666F9" w:rsidRDefault="00000000">
      <w:pPr>
        <w:spacing w:after="160"/>
        <w:jc w:val="center"/>
        <w:rPr>
          <w:i/>
          <w:sz w:val="20"/>
        </w:rPr>
      </w:pPr>
      <w:r>
        <w:rPr>
          <w:i/>
          <w:sz w:val="20"/>
        </w:rPr>
        <w:t>Abbildung 9.1: Technische Qualität aus Nutzersicht (Mittelwerte, Skala 1–5, n = 25). Quelle: Auswertungs-Notebook (github.com/MichaelMoeckli/attune).</w:t>
      </w:r>
    </w:p>
    <w:p w14:paraId="7201738D" w14:textId="77777777" w:rsidR="001666F9" w:rsidRDefault="00000000">
      <w:pPr>
        <w:spacing w:after="160" w:line="360" w:lineRule="auto"/>
      </w:pPr>
      <w:r>
        <w:t xml:space="preserve">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Die systematischen technischen Messungen gemäss Abschnitt 8.2 (Latenz, Kosten, Fehlerraten über </w:t>
      </w:r>
      <w:r>
        <w:lastRenderedPageBreak/>
        <w:t>wiederholte Durchläufe) sind nicht Gegenstand der Befragung; sie werden im Rahmen der Implementationsdokumentation berichtet.</w:t>
      </w:r>
    </w:p>
    <w:p w14:paraId="3CBAD492" w14:textId="77777777" w:rsidR="001666F9" w:rsidRDefault="00000000">
      <w:pPr>
        <w:pStyle w:val="berschrift2"/>
      </w:pPr>
      <w:r>
        <w:t>9.2  Ergebnisse Usability und Akzeptanz</w:t>
      </w:r>
    </w:p>
    <w:p w14:paraId="6679B1B0" w14:textId="77777777" w:rsidR="001666F9" w:rsidRDefault="00000000">
      <w:pPr>
        <w:spacing w:after="160" w:line="360" w:lineRule="auto"/>
      </w:pPr>
      <w:r>
        <w:t>Die Bedienbarkeit ist die stärkste Dimension der Pilotbefragung. Der adaptierte Bedienbarkeits-Index liegt bei M = 82.5 (SD = 12.7) auf der Skala von 0 bis 100; zur groben Einordnung entspricht ein Wert über 80 nach Bangor et al. (2008) dem Bereich «excellent».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65A2A62B" w14:textId="77777777" w:rsidR="001666F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w:t>
      </w:r>
    </w:p>
    <w:p w14:paraId="2BCDBBC7" w14:textId="77777777" w:rsidR="001666F9" w:rsidRDefault="00000000">
      <w:pPr>
        <w:spacing w:after="80"/>
        <w:jc w:val="center"/>
      </w:pPr>
      <w:r>
        <w:rPr>
          <w:noProof/>
        </w:rPr>
        <w:drawing>
          <wp:inline distT="0" distB="0" distL="0" distR="0" wp14:anchorId="7E421EA9" wp14:editId="499F4656">
            <wp:extent cx="5394960" cy="2894658"/>
            <wp:effectExtent l="0" t="0" r="0" b="0"/>
            <wp:docPr id="9102" name="c_diff" descr="Abbildung 9.2: Semantisches Differential «Die App war …» (Mittelwerte, Skala 1–7, n = 25)."/>
            <wp:cNvGraphicFramePr/>
            <a:graphic xmlns:a="http://schemas.openxmlformats.org/drawingml/2006/main">
              <a:graphicData uri="http://schemas.openxmlformats.org/drawingml/2006/picture">
                <pic:pic xmlns:pic="http://schemas.openxmlformats.org/drawingml/2006/picture">
                  <pic:nvPicPr>
                    <pic:cNvPr id="9102" name="c_diff"/>
                    <pic:cNvPicPr/>
                  </pic:nvPicPr>
                  <pic:blipFill>
                    <a:blip r:embed="rId8"/>
                    <a:stretch>
                      <a:fillRect/>
                    </a:stretch>
                  </pic:blipFill>
                  <pic:spPr>
                    <a:xfrm>
                      <a:off x="0" y="0"/>
                      <a:ext cx="5394960" cy="2894658"/>
                    </a:xfrm>
                    <a:prstGeom prst="rect">
                      <a:avLst/>
                    </a:prstGeom>
                  </pic:spPr>
                </pic:pic>
              </a:graphicData>
            </a:graphic>
          </wp:inline>
        </w:drawing>
      </w:r>
    </w:p>
    <w:p w14:paraId="0EA99A50" w14:textId="77777777" w:rsidR="001666F9" w:rsidRDefault="00000000">
      <w:pPr>
        <w:spacing w:after="160"/>
        <w:jc w:val="center"/>
        <w:rPr>
          <w:i/>
          <w:sz w:val="20"/>
        </w:rPr>
      </w:pPr>
      <w:r>
        <w:rPr>
          <w:i/>
          <w:sz w:val="20"/>
        </w:rPr>
        <w:t>Abbildung 9.2: Semantisches Differential «Die App war …» (Mittelwerte, Skala 1–7, n = 25).</w:t>
      </w:r>
    </w:p>
    <w:p w14:paraId="1B919A73" w14:textId="77777777" w:rsidR="001666F9" w:rsidRDefault="00000000">
      <w:pPr>
        <w:spacing w:after="160" w:line="360" w:lineRule="auto"/>
      </w:pPr>
      <w:r>
        <w:t xml:space="preserve">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w:t>
      </w:r>
      <w:r>
        <w:lastRenderedPageBreak/>
        <w:t>automatisches Weiterlaufen (Autoplay) wird mehrheitlich nicht vermisst (M = 2.80 bei gegenläufig formuliertem Item).</w:t>
      </w:r>
    </w:p>
    <w:p w14:paraId="3BDEE7C6" w14:textId="77777777" w:rsidR="001666F9" w:rsidRDefault="00000000">
      <w:pPr>
        <w:pStyle w:val="berschrift2"/>
      </w:pPr>
      <w:r>
        <w:t>9.3  Ergebnisse Wirkung</w:t>
      </w:r>
    </w:p>
    <w:p w14:paraId="716E6108" w14:textId="77777777" w:rsidR="001666F9" w:rsidRDefault="00000000">
      <w:pPr>
        <w:spacing w:after="160" w:line="360" w:lineRule="auto"/>
      </w:pPr>
      <w:r>
        <w:t>Die Wirkungsitems wurden gemäss Abschnitt 8.4 aus den Konstrukten des theoretischen Rahmens abgeleitet. Die folgende Übersicht fasst die Skalenmittelwerte je Konstrukt zusammen; die Einzelitems sind im Auswertungs-Notebook dokumentiert.</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120" w:type="dxa"/>
          <w:right w:w="120" w:type="dxa"/>
        </w:tblCellMar>
        <w:tblLook w:val="04A0" w:firstRow="1" w:lastRow="0" w:firstColumn="1" w:lastColumn="0" w:noHBand="0" w:noVBand="1"/>
      </w:tblPr>
      <w:tblGrid>
        <w:gridCol w:w="3000"/>
        <w:gridCol w:w="4200"/>
        <w:gridCol w:w="1800"/>
      </w:tblGrid>
      <w:tr w:rsidR="001666F9" w14:paraId="2E0CF731" w14:textId="77777777">
        <w:tc>
          <w:tcPr>
            <w:tcW w:w="3000" w:type="dxa"/>
            <w:shd w:val="clear" w:color="auto" w:fill="D9E2F3"/>
          </w:tcPr>
          <w:p w14:paraId="328D6266" w14:textId="77777777" w:rsidR="001666F9" w:rsidRDefault="00000000">
            <w:pPr>
              <w:spacing w:line="276" w:lineRule="auto"/>
            </w:pPr>
            <w:r>
              <w:rPr>
                <w:b/>
              </w:rPr>
              <w:t>Konstrukt</w:t>
            </w:r>
          </w:p>
        </w:tc>
        <w:tc>
          <w:tcPr>
            <w:tcW w:w="4200" w:type="dxa"/>
            <w:shd w:val="clear" w:color="auto" w:fill="D9E2F3"/>
          </w:tcPr>
          <w:p w14:paraId="7504AB82" w14:textId="77777777" w:rsidR="001666F9" w:rsidRDefault="00000000">
            <w:pPr>
              <w:spacing w:line="276" w:lineRule="auto"/>
            </w:pPr>
            <w:r>
              <w:rPr>
                <w:b/>
              </w:rPr>
              <w:t>Theoriebezug (Abschnitt 2.3)</w:t>
            </w:r>
          </w:p>
        </w:tc>
        <w:tc>
          <w:tcPr>
            <w:tcW w:w="1800" w:type="dxa"/>
            <w:shd w:val="clear" w:color="auto" w:fill="D9E2F3"/>
          </w:tcPr>
          <w:p w14:paraId="4F348CDE" w14:textId="77777777" w:rsidR="001666F9" w:rsidRDefault="00000000">
            <w:pPr>
              <w:spacing w:line="276" w:lineRule="auto"/>
            </w:pPr>
            <w:r>
              <w:rPr>
                <w:b/>
              </w:rPr>
              <w:t>Skalen-M</w:t>
            </w:r>
          </w:p>
        </w:tc>
      </w:tr>
      <w:tr w:rsidR="001666F9" w14:paraId="14301584" w14:textId="77777777">
        <w:tc>
          <w:tcPr>
            <w:tcW w:w="3000" w:type="dxa"/>
          </w:tcPr>
          <w:p w14:paraId="4273E4C6" w14:textId="77777777" w:rsidR="001666F9" w:rsidRDefault="00000000">
            <w:pPr>
              <w:spacing w:line="276" w:lineRule="auto"/>
            </w:pPr>
            <w:r>
              <w:t>Selbstbestimmung</w:t>
            </w:r>
          </w:p>
        </w:tc>
        <w:tc>
          <w:tcPr>
            <w:tcW w:w="4200" w:type="dxa"/>
          </w:tcPr>
          <w:p w14:paraId="731C4ED4" w14:textId="77777777" w:rsidR="001666F9" w:rsidRDefault="00000000">
            <w:pPr>
              <w:spacing w:line="276" w:lineRule="auto"/>
            </w:pPr>
            <w:r>
              <w:t>SDT – Autonomie (2.3.1)</w:t>
            </w:r>
          </w:p>
        </w:tc>
        <w:tc>
          <w:tcPr>
            <w:tcW w:w="1800" w:type="dxa"/>
          </w:tcPr>
          <w:p w14:paraId="2008FF1F" w14:textId="77777777" w:rsidR="001666F9" w:rsidRDefault="00000000">
            <w:pPr>
              <w:spacing w:line="276" w:lineRule="auto"/>
            </w:pPr>
            <w:r>
              <w:t>3.81</w:t>
            </w:r>
          </w:p>
        </w:tc>
      </w:tr>
      <w:tr w:rsidR="001666F9" w14:paraId="600B45EE" w14:textId="77777777">
        <w:tc>
          <w:tcPr>
            <w:tcW w:w="3000" w:type="dxa"/>
          </w:tcPr>
          <w:p w14:paraId="13B626D9" w14:textId="77777777" w:rsidR="001666F9" w:rsidRDefault="00000000">
            <w:pPr>
              <w:spacing w:line="276" w:lineRule="auto"/>
            </w:pPr>
            <w:r>
              <w:t>Kompetenz</w:t>
            </w:r>
          </w:p>
        </w:tc>
        <w:tc>
          <w:tcPr>
            <w:tcW w:w="4200" w:type="dxa"/>
          </w:tcPr>
          <w:p w14:paraId="4DFD07A8" w14:textId="77777777" w:rsidR="001666F9" w:rsidRDefault="00000000">
            <w:pPr>
              <w:spacing w:line="276" w:lineRule="auto"/>
            </w:pPr>
            <w:r>
              <w:t>SDT (2.3.1)</w:t>
            </w:r>
          </w:p>
        </w:tc>
        <w:tc>
          <w:tcPr>
            <w:tcW w:w="1800" w:type="dxa"/>
          </w:tcPr>
          <w:p w14:paraId="7F1B940A" w14:textId="77777777" w:rsidR="001666F9" w:rsidRDefault="00000000">
            <w:pPr>
              <w:spacing w:line="276" w:lineRule="auto"/>
            </w:pPr>
            <w:r>
              <w:t>3.98</w:t>
            </w:r>
          </w:p>
        </w:tc>
      </w:tr>
      <w:tr w:rsidR="001666F9" w14:paraId="4475A8F2" w14:textId="77777777">
        <w:tc>
          <w:tcPr>
            <w:tcW w:w="3000" w:type="dxa"/>
          </w:tcPr>
          <w:p w14:paraId="2B86B6DF" w14:textId="77777777" w:rsidR="001666F9" w:rsidRDefault="00000000">
            <w:pPr>
              <w:spacing w:line="276" w:lineRule="auto"/>
            </w:pPr>
            <w:r>
              <w:t>Verbundenheit</w:t>
            </w:r>
          </w:p>
        </w:tc>
        <w:tc>
          <w:tcPr>
            <w:tcW w:w="4200" w:type="dxa"/>
          </w:tcPr>
          <w:p w14:paraId="6A2242B4" w14:textId="77777777" w:rsidR="001666F9" w:rsidRDefault="00000000">
            <w:pPr>
              <w:spacing w:line="276" w:lineRule="auto"/>
            </w:pPr>
            <w:r>
              <w:t>SDT (2.3.1)</w:t>
            </w:r>
          </w:p>
        </w:tc>
        <w:tc>
          <w:tcPr>
            <w:tcW w:w="1800" w:type="dxa"/>
          </w:tcPr>
          <w:p w14:paraId="3F65EE59" w14:textId="77777777" w:rsidR="001666F9" w:rsidRDefault="00000000">
            <w:pPr>
              <w:spacing w:line="276" w:lineRule="auto"/>
            </w:pPr>
            <w:r>
              <w:t>3.54</w:t>
            </w:r>
          </w:p>
        </w:tc>
      </w:tr>
      <w:tr w:rsidR="001666F9" w14:paraId="4B018D03" w14:textId="77777777">
        <w:tc>
          <w:tcPr>
            <w:tcW w:w="3000" w:type="dxa"/>
          </w:tcPr>
          <w:p w14:paraId="70DF12DE" w14:textId="77777777" w:rsidR="001666F9" w:rsidRDefault="00000000">
            <w:pPr>
              <w:spacing w:line="276" w:lineRule="auto"/>
            </w:pPr>
            <w:r>
              <w:t>Wohlbefinden</w:t>
            </w:r>
          </w:p>
        </w:tc>
        <w:tc>
          <w:tcPr>
            <w:tcW w:w="4200" w:type="dxa"/>
          </w:tcPr>
          <w:p w14:paraId="38E3CF60" w14:textId="77777777" w:rsidR="001666F9" w:rsidRDefault="00000000">
            <w:pPr>
              <w:spacing w:line="276" w:lineRule="auto"/>
            </w:pPr>
            <w:r>
              <w:t>Digital Wellbeing (2.3.3)</w:t>
            </w:r>
          </w:p>
        </w:tc>
        <w:tc>
          <w:tcPr>
            <w:tcW w:w="1800" w:type="dxa"/>
          </w:tcPr>
          <w:p w14:paraId="1697721D" w14:textId="77777777" w:rsidR="001666F9" w:rsidRDefault="00000000">
            <w:pPr>
              <w:spacing w:line="276" w:lineRule="auto"/>
            </w:pPr>
            <w:r>
              <w:t>3.37</w:t>
            </w:r>
          </w:p>
        </w:tc>
      </w:tr>
      <w:tr w:rsidR="001666F9" w14:paraId="6FC3226D" w14:textId="77777777">
        <w:tc>
          <w:tcPr>
            <w:tcW w:w="3000" w:type="dxa"/>
          </w:tcPr>
          <w:p w14:paraId="158B9B10" w14:textId="77777777" w:rsidR="001666F9" w:rsidRDefault="00000000">
            <w:pPr>
              <w:spacing w:line="276" w:lineRule="auto"/>
            </w:pPr>
            <w:r>
              <w:t>Vergleich zum Radio</w:t>
            </w:r>
          </w:p>
        </w:tc>
        <w:tc>
          <w:tcPr>
            <w:tcW w:w="4200" w:type="dxa"/>
          </w:tcPr>
          <w:p w14:paraId="27C868AA" w14:textId="77777777" w:rsidR="001666F9" w:rsidRDefault="00000000">
            <w:pPr>
              <w:spacing w:line="276" w:lineRule="auto"/>
            </w:pPr>
            <w:r>
              <w:t>Gebrauchszwecke (Kontrollvariable)</w:t>
            </w:r>
          </w:p>
        </w:tc>
        <w:tc>
          <w:tcPr>
            <w:tcW w:w="1800" w:type="dxa"/>
          </w:tcPr>
          <w:p w14:paraId="4E640FE8" w14:textId="77777777" w:rsidR="001666F9" w:rsidRDefault="00000000">
            <w:pPr>
              <w:spacing w:line="276" w:lineRule="auto"/>
            </w:pPr>
            <w:r>
              <w:t>3.28</w:t>
            </w:r>
          </w:p>
        </w:tc>
      </w:tr>
      <w:tr w:rsidR="001666F9" w14:paraId="5F418222" w14:textId="77777777">
        <w:tc>
          <w:tcPr>
            <w:tcW w:w="3000" w:type="dxa"/>
          </w:tcPr>
          <w:p w14:paraId="2C0CA610" w14:textId="77777777" w:rsidR="001666F9" w:rsidRDefault="00000000">
            <w:pPr>
              <w:spacing w:line="276" w:lineRule="auto"/>
            </w:pPr>
            <w:r>
              <w:t>Kontrolle/Souveränität</w:t>
            </w:r>
          </w:p>
        </w:tc>
        <w:tc>
          <w:tcPr>
            <w:tcW w:w="4200" w:type="dxa"/>
          </w:tcPr>
          <w:p w14:paraId="7C4B6E07" w14:textId="77777777" w:rsidR="001666F9" w:rsidRDefault="00000000">
            <w:pPr>
              <w:spacing w:line="276" w:lineRule="auto"/>
            </w:pPr>
            <w:r>
              <w:t>Algorithmische Souveränität (2.3.4)</w:t>
            </w:r>
          </w:p>
        </w:tc>
        <w:tc>
          <w:tcPr>
            <w:tcW w:w="1800" w:type="dxa"/>
          </w:tcPr>
          <w:p w14:paraId="74C907EA" w14:textId="77777777" w:rsidR="001666F9" w:rsidRDefault="00000000">
            <w:pPr>
              <w:spacing w:line="276" w:lineRule="auto"/>
            </w:pPr>
            <w:r>
              <w:t>3.49</w:t>
            </w:r>
          </w:p>
        </w:tc>
      </w:tr>
      <w:tr w:rsidR="001666F9" w14:paraId="7D2BDC50" w14:textId="77777777">
        <w:tc>
          <w:tcPr>
            <w:tcW w:w="3000" w:type="dxa"/>
          </w:tcPr>
          <w:p w14:paraId="6F2A425E" w14:textId="77777777" w:rsidR="001666F9" w:rsidRDefault="00000000">
            <w:pPr>
              <w:spacing w:line="276" w:lineRule="auto"/>
            </w:pPr>
            <w:r>
              <w:t>Transparenz-Nutzen</w:t>
            </w:r>
          </w:p>
        </w:tc>
        <w:tc>
          <w:tcPr>
            <w:tcW w:w="4200" w:type="dxa"/>
          </w:tcPr>
          <w:p w14:paraId="4340FF31" w14:textId="77777777" w:rsidR="001666F9" w:rsidRDefault="00000000">
            <w:pPr>
              <w:spacing w:line="276" w:lineRule="auto"/>
            </w:pPr>
            <w:r>
              <w:t>VSD (2.3.2)</w:t>
            </w:r>
          </w:p>
        </w:tc>
        <w:tc>
          <w:tcPr>
            <w:tcW w:w="1800" w:type="dxa"/>
          </w:tcPr>
          <w:p w14:paraId="2F8ADC22" w14:textId="77777777" w:rsidR="001666F9" w:rsidRDefault="00000000">
            <w:pPr>
              <w:spacing w:line="276" w:lineRule="auto"/>
            </w:pPr>
            <w:r>
              <w:t>3.65</w:t>
            </w:r>
          </w:p>
        </w:tc>
      </w:tr>
    </w:tbl>
    <w:p w14:paraId="16AFF2B5" w14:textId="77777777" w:rsidR="001666F9" w:rsidRDefault="00000000">
      <w:pPr>
        <w:spacing w:after="160" w:line="360" w:lineRule="auto"/>
      </w:pPr>
      <w:r>
        <w:t>Am höchsten liegen Kompetenz (M = 3.98) und Selbstbestimmung (M = 3.81): Die explizite Personalisierung mit Nutzerautonomie zeigt Wirkung. Am verhaltensten fallen der Vergleich zum klassischen Radio (M = 3.28; «würde Attune bevorzugen» M = 3.08) und das unmittelbare Entspannungserleben aus («danach entspannter» M = 3.00) – beides plausibel als Erstkontakt-Effekte, die für das im Studienkonzept angelegte Längsschnittformat sprechen.</w:t>
      </w:r>
    </w:p>
    <w:p w14:paraId="76FED727" w14:textId="77777777" w:rsidR="001666F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 bei gleichzeitig als ausgewogen wahrgenommener Themenauswahl (M = 3.64).</w:t>
      </w:r>
    </w:p>
    <w:p w14:paraId="2990E55C" w14:textId="77777777" w:rsidR="001666F9" w:rsidRDefault="00000000">
      <w:pPr>
        <w:pStyle w:val="berschrift2"/>
      </w:pPr>
      <w:r>
        <w:t>9.4  Beantwortung der Teilfragen T1–T4</w:t>
      </w:r>
    </w:p>
    <w:p w14:paraId="36BBCD5E" w14:textId="77777777" w:rsidR="001666F9" w:rsidRDefault="00000000">
      <w:pPr>
        <w:spacing w:after="160" w:line="360" w:lineRule="auto"/>
      </w:pPr>
      <w:r>
        <w:t xml:space="preserve">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w:t>
      </w:r>
      <w:r>
        <w:lastRenderedPageBreak/>
        <w:t>transparente Präferenzangabe wird als autonomie- und kompetenzförderlich erlebt (T1), die bewusst diversifizierte Auswahl als bedürfnisgerecht wahrgenommen (T2), und die wellbeing-orientierten Designentscheidungen werden akzeptiert (T3, T4).</w:t>
      </w:r>
    </w:p>
    <w:p w14:paraId="5DC26BE8" w14:textId="77777777" w:rsidR="001666F9" w:rsidRDefault="00000000">
      <w:pPr>
        <w:spacing w:after="80"/>
        <w:jc w:val="center"/>
      </w:pPr>
      <w:r>
        <w:rPr>
          <w:noProof/>
        </w:rPr>
        <w:drawing>
          <wp:inline distT="0" distB="0" distL="0" distR="0" wp14:anchorId="7E5A1E57" wp14:editId="624AEC49">
            <wp:extent cx="5394960" cy="2008697"/>
            <wp:effectExtent l="0" t="0" r="0" b="0"/>
            <wp:docPr id="9103" name="hf_synthese" descr="Abbildung 9.3: Aggregierte Teilfragen-Scores T1–T4 (Mittelwert ± Standardabweichung, Skala 1–5)."/>
            <wp:cNvGraphicFramePr/>
            <a:graphic xmlns:a="http://schemas.openxmlformats.org/drawingml/2006/main">
              <a:graphicData uri="http://schemas.openxmlformats.org/drawingml/2006/picture">
                <pic:pic xmlns:pic="http://schemas.openxmlformats.org/drawingml/2006/picture">
                  <pic:nvPicPr>
                    <pic:cNvPr id="9103" name="hf_synthese"/>
                    <pic:cNvPicPr/>
                  </pic:nvPicPr>
                  <pic:blipFill>
                    <a:blip r:embed="rId9"/>
                    <a:stretch>
                      <a:fillRect/>
                    </a:stretch>
                  </pic:blipFill>
                  <pic:spPr>
                    <a:xfrm>
                      <a:off x="0" y="0"/>
                      <a:ext cx="5394960" cy="2008697"/>
                    </a:xfrm>
                    <a:prstGeom prst="rect">
                      <a:avLst/>
                    </a:prstGeom>
                  </pic:spPr>
                </pic:pic>
              </a:graphicData>
            </a:graphic>
          </wp:inline>
        </w:drawing>
      </w:r>
    </w:p>
    <w:p w14:paraId="06B29E8B" w14:textId="77777777" w:rsidR="001666F9" w:rsidRDefault="00000000">
      <w:pPr>
        <w:spacing w:after="160"/>
        <w:jc w:val="center"/>
        <w:rPr>
          <w:i/>
          <w:sz w:val="20"/>
        </w:rPr>
      </w:pPr>
      <w:r>
        <w:rPr>
          <w:i/>
          <w:sz w:val="20"/>
        </w:rPr>
        <w:t>Abbildung 9.3: Aggregierte Teilfragen-Scores T1–T4 (Mittelwert ± Standardabweichung, Skala 1–5).</w:t>
      </w:r>
    </w:p>
    <w:p w14:paraId="0D78E642" w14:textId="77777777" w:rsidR="001666F9" w:rsidRDefault="00000000">
      <w:pPr>
        <w:pStyle w:val="berschrift2"/>
      </w:pPr>
      <w:r>
        <w:t>9.5  Qualitative Befunde</w:t>
      </w:r>
    </w:p>
    <w:p w14:paraId="72262872" w14:textId="77777777" w:rsidR="001666F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CEA9FA4" w14:textId="77777777" w:rsidR="001666F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Diese Subgruppenbefunde sind angesichts der kleinen Teilgruppen hypothesengenerierend zu lesen.</w:t>
      </w:r>
    </w:p>
    <w:p w14:paraId="0FFB24BB" w14:textId="77777777" w:rsidR="001666F9" w:rsidRDefault="00000000">
      <w:pPr>
        <w:pStyle w:val="berschrift2"/>
      </w:pPr>
      <w:r>
        <w:lastRenderedPageBreak/>
        <w:t>9.6  Vergleich mit den Erfolgskriterien</w:t>
      </w:r>
    </w:p>
    <w:p w14:paraId="30BCDEB8" w14:textId="77777777" w:rsidR="001666F9" w:rsidRDefault="00000000">
      <w:pPr>
        <w:spacing w:after="160" w:line="360" w:lineRule="auto"/>
      </w:pPr>
      <w:r>
        <w:t>Gemessen an den in Abschnitt 8.5 operationalisierten Kriterien ergibt sich ein differenziertes Bild. Auf der Akzeptanzebene wird das SUS-Kriterium von mindestens 68 Punkten mit dem adaptierten Index von 82.5 deutlich übertroffen – mit dem Vorbehalt, dass kein standardkonformer Score vorliegt –, und zu allen Einstellungsmöglichkeiten liegt mehrheitlich positives Feedback vor (Sendungslänge M = 4.40, Themenwahl M = 3.80, Sessionende M = 3.92). Auf der Machbarkeitsebene berichten 22 von 25 Teilnehmenden (88 Prozent) einen vollständig fehlerfreien Durchlauf ohne Abbrüche; das 95-Prozent-Kriterium wird aus Nutzersicht knapp verfehlt, wobei die berichteten Störungen geringfügig waren. Auf der Wirkungsebene liegen die Items zu Autonomie, Steuerbarkeit und Transparenz mit Mittelwerten zwischen 3.32 und 4.04 mehrheitlich unter dem angestrebten Wert von vier Punkten; das Kriterium ist in der Erstkontakt-Situation nur teilweise erfüllt. Die Awareness-Items erzeugen dagegen die geforderten, qualitativ belegten Bewusstseinsberichte (M = 4.08 bis 4.20, gestützt durch Freitextantworten).</w:t>
      </w:r>
    </w:p>
    <w:p w14:paraId="58B908F1" w14:textId="77777777" w:rsidR="001666F9" w:rsidRDefault="00000000">
      <w:pPr>
        <w:spacing w:after="160" w:line="360" w:lineRule="auto"/>
      </w:pPr>
      <w:r>
        <w:t>Zwei Einschränkungen sind festzuhalten. Erstens wurden die Machbarkeits- und Wirkungskriterien als Anteils- bzw. Medianwerte formuliert, hier aber – konsistent mit dem Auswertungs-Notebook – auf Mittelwertebene berichtet. Zweitens sind die technischen Kriterien (Latenz, Unit-Test-Abdeckung) aus der Befragung nicht beurteilbar. Insgesamt sind die Akzeptanzkriterien klar erfüllt, die Machbarkeit aus Nutzersicht weitgehend belegt und die Wirkungskriterien teilweise erfüllt – eine Einordnung, die Kapitel 10 vertieft.</w:t>
      </w:r>
    </w:p>
    <w:p w14:paraId="4D98E60F" w14:textId="77777777" w:rsidR="001666F9" w:rsidRDefault="00000000">
      <w:pPr>
        <w:spacing w:after="80"/>
        <w:jc w:val="center"/>
      </w:pPr>
      <w:r>
        <w:rPr>
          <w:noProof/>
        </w:rPr>
        <w:drawing>
          <wp:inline distT="0" distB="0" distL="0" distR="0" wp14:anchorId="6F578FF2" wp14:editId="0D3A388B">
            <wp:extent cx="5394960" cy="1751711"/>
            <wp:effectExtent l="0" t="0" r="0" b="0"/>
            <wp:docPr id="9104" name="kategorien_uebersicht" descr="Abbildung 9.4: Verdichtete Übersicht entlang der drei Validierungsstränge Machbarkeit, Usability/Akzeptanz und Wirkung."/>
            <wp:cNvGraphicFramePr/>
            <a:graphic xmlns:a="http://schemas.openxmlformats.org/drawingml/2006/main">
              <a:graphicData uri="http://schemas.openxmlformats.org/drawingml/2006/picture">
                <pic:pic xmlns:pic="http://schemas.openxmlformats.org/drawingml/2006/picture">
                  <pic:nvPicPr>
                    <pic:cNvPr id="9104" name="kategorien_uebersicht"/>
                    <pic:cNvPicPr/>
                  </pic:nvPicPr>
                  <pic:blipFill>
                    <a:blip r:embed="rId10"/>
                    <a:stretch>
                      <a:fillRect/>
                    </a:stretch>
                  </pic:blipFill>
                  <pic:spPr>
                    <a:xfrm>
                      <a:off x="0" y="0"/>
                      <a:ext cx="5394960" cy="1751711"/>
                    </a:xfrm>
                    <a:prstGeom prst="rect">
                      <a:avLst/>
                    </a:prstGeom>
                  </pic:spPr>
                </pic:pic>
              </a:graphicData>
            </a:graphic>
          </wp:inline>
        </w:drawing>
      </w:r>
    </w:p>
    <w:p w14:paraId="7DBEA57D" w14:textId="77777777" w:rsidR="001666F9" w:rsidRDefault="00000000">
      <w:pPr>
        <w:spacing w:after="160"/>
        <w:jc w:val="center"/>
        <w:rPr>
          <w:i/>
          <w:sz w:val="20"/>
        </w:rPr>
      </w:pPr>
      <w:r>
        <w:rPr>
          <w:i/>
          <w:sz w:val="20"/>
        </w:rPr>
        <w:t>Abbildung 9.4: Verdichtete Übersicht entlang der drei Validierungsstränge Machbarkeit, Usability/Akzeptanz und Wirkung.</w:t>
      </w:r>
    </w:p>
    <w:p w14:paraId="15DF96A9" w14:textId="77777777" w:rsidR="001666F9" w:rsidRDefault="00000000">
      <w:pPr>
        <w:pStyle w:val="berschrift1"/>
        <w:pageBreakBefore/>
      </w:pPr>
      <w:r>
        <w:lastRenderedPageBreak/>
        <w:t>10  Diskussion</w:t>
      </w:r>
    </w:p>
    <w:p w14:paraId="3DA39AC0" w14:textId="77777777" w:rsidR="001666F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48748AEC" w14:textId="77777777" w:rsidR="001666F9" w:rsidRDefault="00000000">
      <w:pPr>
        <w:pStyle w:val="berschrift2"/>
      </w:pPr>
      <w:r>
        <w:t>10.1  Beantwortung der Forschungsfrage</w:t>
      </w:r>
    </w:p>
    <w:p w14:paraId="3A024B0A" w14:textId="77777777" w:rsidR="00000000" w:rsidRDefault="00000000" w:rsidP="00C74BBD">
      <w:pPr>
        <w:spacing w:after="160" w:line="360" w:lineRule="auto"/>
      </w:pPr>
      <w:r>
        <w:t>Die Hauptforschungsfrage – wie Nutzerinnen und Nutzer ihre individuellen Präferenzen so angeben können, dass das Ergebnis ihre Bedürfnisse optimal erfüllt und zugleich ihr Wohlbefinden fördert – lässt sich auf Basis der Pilotdaten vorsichtig positiv beantworten.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 die explizite, transparente Präferenzangabe – zeigt dabei die stärkste Wirkung: T1 (Präferenzbildung und Autonomie) erreicht mit M = 3.94 den höchsten Teilfragen-Wert, getragen vom Kompetenz- (M = 3.98) und Selbstbestimmungserleben (M = 3.81).</w:t>
      </w:r>
    </w:p>
    <w:p w14:paraId="0505872B" w14:textId="77777777" w:rsidR="00000000" w:rsidRDefault="00000000" w:rsidP="00C74BBD">
      <w:pPr>
        <w:spacing w:after="160" w:line="360" w:lineRule="auto"/>
      </w:pPr>
      <w:r>
        <w:t>Als Antwort auf die Forschungsfrage lässt sich damit formulieren: Wenige, verständliche Stellschrauben – Themenwahl, Sendungslänge, Stimm- und Stilpräferenzen –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401F2981" w14:textId="77777777" w:rsidR="00000000" w:rsidRDefault="00000000" w:rsidP="00C74BBD">
      <w:pPr>
        <w:spacing w:after="160" w:line="360" w:lineRule="auto"/>
      </w:pPr>
      <w:r>
        <w:t xml:space="preserve">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w:t>
      </w:r>
      <w:r>
        <w:lastRenderedPageBreak/>
        <w:t>Gewohnheitseffekte übergehen, kann erst das im Studienkonzept angelegte Längsschnittformat zeigen.</w:t>
      </w:r>
    </w:p>
    <w:p w14:paraId="06880C23" w14:textId="77777777" w:rsidR="001666F9" w:rsidRDefault="00000000">
      <w:pPr>
        <w:pStyle w:val="berschrift2"/>
      </w:pPr>
      <w:r>
        <w:t>10.2  Diskussion der Machbarkeit</w:t>
      </w:r>
    </w:p>
    <w:p w14:paraId="2C465F20" w14:textId="77777777" w:rsidR="00000000" w:rsidRDefault="00000000" w:rsidP="00C74BBD">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 rückblickend wäre ein früheres Investment in Übergänge und Abmischung die wichtigste Architekturkorrektur.</w:t>
      </w:r>
    </w:p>
    <w:p w14:paraId="22BC223F" w14:textId="77777777" w:rsidR="00000000" w:rsidRDefault="00000000" w:rsidP="00C74BBD">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 im auditiven Format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267A99A3" w14:textId="77777777" w:rsidR="00000000" w:rsidRDefault="00000000" w:rsidP="00C74BBD">
      <w:pPr>
        <w:spacing w:after="160" w:line="360" w:lineRule="auto"/>
      </w:pPr>
      <w:r>
        <w:t>Für die Skalierung ist die Kostenstruktur entscheidend. Anders als beim klassischen Broadcast, bei dem eine Sendung einmal produziert und beliebig oft gehört wird, fallen 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4864D862" w14:textId="77777777" w:rsidR="001666F9" w:rsidRDefault="00000000">
      <w:pPr>
        <w:pStyle w:val="berschrift2"/>
      </w:pPr>
      <w:r>
        <w:t>10.3  Diskussion der Usability und Akzeptanz</w:t>
      </w:r>
    </w:p>
    <w:p w14:paraId="5FCDFD18" w14:textId="77777777" w:rsidR="00000000" w:rsidRDefault="00000000" w:rsidP="00C74BBD">
      <w:pPr>
        <w:spacing w:after="160" w:line="360" w:lineRule="auto"/>
      </w:pPr>
      <w:r>
        <w:lastRenderedPageBreak/>
        <w:t>Usability und Akzeptanz bilden den stärksten Validierungsstrang. Der adaptierte Bedienbarkeits-Index von 82.5 liegt – mit dem Vorbehalt der Adaption – in dem Bereich, den Bangor et al. (2008) als «excellent» einordnen;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 kein Endlosstrom, bewusst gesetzter Abschluss – nicht als Bevormundung, sondern als Qualität wahrgenommen werden.</w:t>
      </w:r>
    </w:p>
    <w:p w14:paraId="7C736538" w14:textId="77777777" w:rsidR="00000000" w:rsidRDefault="00000000" w:rsidP="00C74BBD">
      <w:pPr>
        <w:spacing w:after="160" w:line="360" w:lineRule="auto"/>
      </w:pPr>
      <w:r>
        <w:t>Differenzierter fällt das Bild bei der Themenwahl aus: Sie gefällt (M = 3.80), wird aber als zu grob erlebt –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71FF1DEF" w14:textId="77777777" w:rsidR="00000000" w:rsidRDefault="00000000" w:rsidP="00C74BBD">
      <w:pPr>
        <w:spacing w:after="160" w:line="360" w:lineRule="auto"/>
      </w:pPr>
      <w:r>
        <w:t>Jenseits der Bedienbarkeit zeigt sich die Grenze der Akzeptanz: Die Absicht zur regelmässigen Nutzung bleibt verhalten (M = 3.20), die Weiternutzungsfrage ist gespalten (14 zu 11), und als Gründe dagegen dominieren grundsätzliche KI-Skepsis und die fehlende native App – beides Faktoren, die ausserhalb der Bedienoberfläche liegen. Usability ist damit eine notwendige, aber keine hinreichende Bedingung für Akzeptanz. Der explorative Befund, dass News-Affinität der stärkste Akzeptanztreiber ist (Weiternutzungsabsicht 73 gegenüber 30 Prozent), deutet zugleich an, bei welcher Zielgruppe ein solches Angebot zuerst anschlussfähig ist.</w:t>
      </w:r>
    </w:p>
    <w:p w14:paraId="632C5F1F" w14:textId="77777777" w:rsidR="001666F9" w:rsidRDefault="00000000">
      <w:pPr>
        <w:pStyle w:val="berschrift2"/>
      </w:pPr>
      <w:r>
        <w:t>10.4  Diskussion der Wirkung</w:t>
      </w:r>
    </w:p>
    <w:p w14:paraId="384A077F" w14:textId="77777777" w:rsidR="00000000" w:rsidRDefault="00000000" w:rsidP="00C74BBD">
      <w:pPr>
        <w:spacing w:after="160" w:line="360" w:lineRule="auto"/>
      </w:pPr>
      <w:r>
        <w:t>Gemessen am theoretischen Rahmen aus Abschnitt 2.3 adressiert Attune die SDT-Grundbedürfnisse selektiv, aber gezielt: Kompetenz (M = 3.98) und Selbstbestimmung (M = 3.81) erreichen die höchsten Wirkungswerte – konsistent mit dem zentralen Designziel der expliziten Präferenzangabe und der als einfach erlebten Bedienung. Die soziale Eingebundenheit fällt erwartungsgemäss schwächer aus (M = 3.54), da Attune als Solo-</w:t>
      </w:r>
      <w:r>
        <w:lastRenderedPageBreak/>
        <w:t>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0B0E67CF" w14:textId="77777777" w:rsidR="00000000" w:rsidRDefault="00000000" w:rsidP="00C74BBD">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 ein empirischer Beleg dafür, dass die technische Verankerung eines Werts allein nicht genügt (Hendry, Friedman &amp; Ballard, 2021). Für die algorithmische Souveränität (Reviglio &amp; Agosti, 2020) liefert die Pilotstudie einen deutlichen Hinweis auf deren Akzeptanzrelevanz: Das Selbstbestimmungserleben hängt eng mit der Bereitschaft zusammen, Attune dem klassischen Radio vorzuziehen (ρ = 0.79) – erlebte Kontrolle ist demnach kein Zusatzmerkmal, sondern ein Kern der Akzeptanz.</w:t>
      </w:r>
    </w:p>
    <w:p w14:paraId="42B12D6A" w14:textId="77777777" w:rsidR="00000000" w:rsidRDefault="00000000" w:rsidP="00C74BBD">
      <w:pPr>
        <w:spacing w:after="160" w:line="360" w:lineRule="auto"/>
      </w:pPr>
      <w:r>
        <w:t>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Ausgeblieben ist die unmittelbare Wohlbefindenswirkung: Das Entspannungserleben (M = 3.00) und das Gesamtwohlbefinden (M = 3.37) bleiben verhalten – plausibel, weil im Erstkontakt Neuheit und Bewertungssituation dominieren. Überraschend deutlich ist dagegen der Kontrastbefund: Wer sich von engagement-optimierten Plattformen «festgehalten» fühlt, erlebt bei Attune einen deutlich höheren Wohlbefindenswert (+0.82). Hypothesengenerierend gelesen wirkt wellbeing-orientiertes Design weniger als absolute Verbesserung, sondern als erlebbare Kontrasterfahrung zur gewohnten Plattformlogik.</w:t>
      </w:r>
    </w:p>
    <w:p w14:paraId="222824B6" w14:textId="77777777" w:rsidR="001666F9" w:rsidRDefault="00000000">
      <w:pPr>
        <w:pStyle w:val="berschrift2"/>
      </w:pPr>
      <w:r>
        <w:t>10.5  Implikationen für Design und Praxis</w:t>
      </w:r>
    </w:p>
    <w:p w14:paraId="79150E7D" w14:textId="77777777" w:rsidR="00000000" w:rsidRDefault="00000000" w:rsidP="00C74BBD">
      <w:pPr>
        <w:spacing w:after="160" w:line="360" w:lineRule="auto"/>
      </w:pPr>
      <w:r>
        <w:t>Aus den Befunden lassen sich vier übertragbare Designprinzipien für wellbeing-orientierte Medienartefakte ableiten. Erstens die explizite Präferenzangabe über wenige, verständliche Stellschrauben – sie erzeugt das Autonomie- und Kompetenzerleben, das implizite Personalisierung gerade nicht vermittelt. Zweitens die definierte Session mit bewusst gesetztem Ende – sie wird nicht als Einschränkung, sondern als Qualität erlebt. Drittens Transparenz, die salient im Nutzungsfluss platziert ist – abrufbare, aber versteckte Erklärungen erreichen einen Grossteil der Nutzenden nicht. Viertens Diversität als expliziter Zielwert der Kuratierung anstelle von Engagement-Metriken. Keines dieser Prinzipien ist an das Medium Radio gebunden.</w:t>
      </w:r>
    </w:p>
    <w:p w14:paraId="37D9D057" w14:textId="77777777" w:rsidR="00000000" w:rsidRDefault="00000000" w:rsidP="00C74BBD">
      <w:pPr>
        <w:spacing w:after="160" w:line="360" w:lineRule="auto"/>
      </w:pPr>
      <w:r>
        <w:lastRenderedPageBreak/>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3A1A680E" w14:textId="77777777" w:rsidR="00000000" w:rsidRDefault="00000000" w:rsidP="00C74BBD">
      <w:pPr>
        <w:spacing w:after="160" w:line="360" w:lineRule="auto"/>
      </w:pPr>
      <w:r>
        <w:t>Für die Praxis – insbesondere für öffentlich-rechtliche oder werbefreie Anbieter –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 Personalisierung und Datenschutz schliessen sich nicht aus. Der News-Affinitäts-Befund legt nahe, ein solches Angebot zunächst bei informationsorientierten Zielgruppen zu positionieren.</w:t>
      </w:r>
    </w:p>
    <w:p w14:paraId="2216C1BF" w14:textId="77777777" w:rsidR="001666F9" w:rsidRDefault="00000000">
      <w:pPr>
        <w:pStyle w:val="berschrift2"/>
      </w:pPr>
      <w:r>
        <w:t>10.6  Limitationen</w:t>
      </w:r>
    </w:p>
    <w:p w14:paraId="5E137C00" w14:textId="77777777" w:rsidR="00000000" w:rsidRDefault="00000000" w:rsidP="00C74BBD">
      <w:pPr>
        <w:spacing w:after="160" w:line="360" w:lineRule="auto"/>
      </w:pPr>
      <w:r>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 die Teilfrage T2 misst die erlebte Bedürfnisgerechtigkeit der diversifizierten Auswahl, nicht ihre relative Überlegenheit gegenüber einer anderen Logik.</w:t>
      </w:r>
    </w:p>
    <w:p w14:paraId="2C88EE02" w14:textId="77777777" w:rsidR="00000000" w:rsidRDefault="00000000" w:rsidP="00C74BBD">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und beruhen auf der Implementationsdokumentation.</w:t>
      </w:r>
    </w:p>
    <w:p w14:paraId="1C1F8CAF" w14:textId="77777777" w:rsidR="001666F9" w:rsidRDefault="00000000">
      <w:pPr>
        <w:pStyle w:val="berschrift2"/>
      </w:pPr>
      <w:r>
        <w:t>10.7  Übertragbarkeit auf andere Medienkontexte</w:t>
      </w:r>
    </w:p>
    <w:p w14:paraId="0164D3C5" w14:textId="77777777" w:rsidR="00000000" w:rsidRDefault="00000000" w:rsidP="00C74BBD">
      <w:pPr>
        <w:spacing w:after="160" w:line="360" w:lineRule="auto"/>
      </w:pPr>
      <w:r>
        <w:lastRenderedPageBreak/>
        <w:t>Die vier in Abschnitt 10.5 formulierten Prinzipien – explizite Präferenzangabe, definierte Session, saliente Transparenz, Diversität als Zielwert – sind generisch und lassen sich auf Streaming-Dienste, Podcast-Empfehlungen und News-Aggregatoren übertragen. Der Kontrastbefund aus Abschnitt 10.4 legt nahe, dass die Wirkung dort am grössten ist, wo endlose Ströme und implizite Personalisierung heute am stärksten dominieren –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141CD6E7" w14:textId="77777777" w:rsidR="00000000" w:rsidRDefault="00000000" w:rsidP="00C74BBD">
      <w:pPr>
        <w:spacing w:after="160" w:line="360" w:lineRule="auto"/>
      </w:pPr>
      <w:r>
        <w:t>Format-spezifisch bleiben dagegen drei Eigenschaften. Die auditive Lean-back-Modalität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 ein Kanal, der textbasierten Angeboten fehlt.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r>
    </w:p>
    <w:p w14:paraId="316D2773" w14:textId="77777777" w:rsidR="001666F9" w:rsidRDefault="00000000">
      <w:pPr>
        <w:pStyle w:val="berschrift1"/>
        <w:pageBreakBefore/>
      </w:pPr>
      <w:r>
        <w:lastRenderedPageBreak/>
        <w:t>Literaturverzeichnis (vorläufig)</w:t>
      </w:r>
    </w:p>
    <w:p w14:paraId="438F295A" w14:textId="77777777" w:rsidR="001666F9" w:rsidRDefault="00000000">
      <w:pPr>
        <w:spacing w:after="160" w:line="360" w:lineRule="auto"/>
      </w:pPr>
      <w:r>
        <w:t>Die folgende Liste enthält die in den Kapiteln 1 und 2 zitierten Quellen. Sie wird im weiteren Verlauf der Arbeit ergänzt und vollständig in Zotero verwaltet.</w:t>
      </w:r>
    </w:p>
    <w:p w14:paraId="66323739" w14:textId="77777777" w:rsidR="001666F9" w:rsidRPr="000C4A8B" w:rsidRDefault="00000000">
      <w:pPr>
        <w:spacing w:after="120" w:line="360" w:lineRule="auto"/>
        <w:ind w:left="720" w:hanging="720"/>
        <w:rPr>
          <w:lang w:val="en-US"/>
        </w:rPr>
      </w:pPr>
      <w:r>
        <w:t xml:space="preserve">Bangor, A., Kortum, P. T., &amp; Miller, J. T. (2008). </w:t>
      </w:r>
      <w:r>
        <w:rPr>
          <w:lang w:val="en-US"/>
        </w:rPr>
        <w:t>An empirical evaluation of the System Usability Scale. International Journal of Human-Computer Interaction, 24(6), 574–594. https://doi.org/10.1080/10447310802205776</w:t>
      </w:r>
    </w:p>
    <w:p w14:paraId="2F7D7FD7" w14:textId="77777777" w:rsidR="001666F9" w:rsidRPr="000C4A8B" w:rsidRDefault="00000000">
      <w:pPr>
        <w:spacing w:after="120" w:line="360" w:lineRule="auto"/>
        <w:ind w:left="720" w:hanging="720"/>
        <w:rPr>
          <w:lang w:val="en-US"/>
        </w:rPr>
      </w:pPr>
      <w:r>
        <w:rPr>
          <w:lang w:val="en-US"/>
        </w:rPr>
        <w:t>Brooke, J. (1996). SUS: A «quick and dirty» usability scale. In P. W. Jordan, B. Thomas, I. L. McClelland &amp; B. Weerdmeester (Hrsg.), Usability evaluation in industry (S. 189–194). Taylor &amp; Francis.</w:t>
      </w:r>
    </w:p>
    <w:p w14:paraId="7C9E37CA" w14:textId="77777777" w:rsidR="001666F9" w:rsidRPr="000C4A8B" w:rsidRDefault="00000000">
      <w:pPr>
        <w:spacing w:after="120" w:line="360" w:lineRule="auto"/>
        <w:ind w:left="720" w:hanging="720"/>
        <w:rPr>
          <w:lang w:val="en-US"/>
        </w:rPr>
      </w:pPr>
      <w:r>
        <w:rPr>
          <w:lang w:val="en-US"/>
        </w:rPr>
        <w:t>Burr, C., Taddeo, M., &amp; Floridi, L. (2020). The ethics of digital well-being: A thematic review. Science and Engineering Ethics, 26, 2441–2460. https://doi.org/10.1007/s11948-020-00175-8</w:t>
      </w:r>
    </w:p>
    <w:p w14:paraId="5CCF34AC" w14:textId="77777777" w:rsidR="001666F9" w:rsidRPr="000C4A8B" w:rsidRDefault="00000000">
      <w:pPr>
        <w:spacing w:after="120" w:line="360" w:lineRule="auto"/>
        <w:ind w:left="720" w:hanging="720"/>
        <w:rPr>
          <w:lang w:val="en-US"/>
        </w:rPr>
      </w:pPr>
      <w:r>
        <w:rPr>
          <w:lang w:val="en-US"/>
        </w:rPr>
        <w:t>Calvo, R. A., &amp; Peters, D. (2014). Positive computing: Technology for wellbeing and human potential. MIT Press.</w:t>
      </w:r>
    </w:p>
    <w:p w14:paraId="142480BB" w14:textId="77777777" w:rsidR="001666F9" w:rsidRDefault="00000000">
      <w:pPr>
        <w:spacing w:after="120" w:line="360" w:lineRule="auto"/>
        <w:ind w:left="720" w:hanging="720"/>
      </w:pPr>
      <w:r>
        <w:rPr>
          <w:lang w:val="en-US"/>
        </w:rPr>
        <w:t xml:space="preserve">Fogg, B. J. (2003). The functional triad: Computers in persuasive roles. In Persuasive technology: Using computers to change what we think and do (Kap. 2, S. 23–29). </w:t>
      </w:r>
      <w:r>
        <w:t>Morgan Kaufmann. https://doi.org/10.1016/B978-1-55860-643-2.X5000-8</w:t>
      </w:r>
    </w:p>
    <w:p w14:paraId="576B3C08" w14:textId="77777777" w:rsidR="001666F9" w:rsidRPr="000C4A8B" w:rsidRDefault="00000000">
      <w:pPr>
        <w:spacing w:after="120" w:line="360" w:lineRule="auto"/>
        <w:ind w:left="720" w:hanging="720"/>
        <w:rPr>
          <w:lang w:val="en-US"/>
        </w:rPr>
      </w:pPr>
      <w:r>
        <w:t xml:space="preserve">Geschke, D., Lorenz, J., &amp; Holtz, P. (2019). </w:t>
      </w:r>
      <w:r>
        <w:rPr>
          <w:lang w:val="en-US"/>
        </w:rPr>
        <w:t>The triple-filter bubble: Using agent-based modelling to test a meta-theoretical framework for the emergence of filter bubbles and echo chambers. British Journal of Social Psychology, 58(1), 129–149. https://doi.org/10.1111/bjso.12286</w:t>
      </w:r>
    </w:p>
    <w:p w14:paraId="47EADE4A" w14:textId="77777777" w:rsidR="001666F9" w:rsidRPr="000C4A8B" w:rsidRDefault="00000000">
      <w:pPr>
        <w:spacing w:after="120" w:line="360" w:lineRule="auto"/>
        <w:ind w:left="720" w:hanging="720"/>
        <w:rPr>
          <w:lang w:val="en-US"/>
        </w:rPr>
      </w:pPr>
      <w:r>
        <w:rPr>
          <w:lang w:val="en-US"/>
        </w:rPr>
        <w:t>Hendry, D. G., Friedman, B., &amp; Ballard, S. (2021). Value sensitive design as a formative framework. Ethics and Information Technology, 23(1), 39–44. https://doi.org/10.1007/s10676-021-09579-x</w:t>
      </w:r>
    </w:p>
    <w:p w14:paraId="185E9F7E" w14:textId="77777777" w:rsidR="001666F9" w:rsidRPr="000C4A8B" w:rsidRDefault="00000000">
      <w:pPr>
        <w:spacing w:after="120" w:line="360" w:lineRule="auto"/>
        <w:ind w:left="720" w:hanging="720"/>
        <w:rPr>
          <w:lang w:val="en-US"/>
        </w:rPr>
      </w:pPr>
      <w:r>
        <w:rPr>
          <w:lang w:val="en-US"/>
        </w:rPr>
        <w:t>Hevner, A. R. (2007). A three cycle view of design science research. Scandinavian Journal of Information Systems, 19(2), 87–92.</w:t>
      </w:r>
    </w:p>
    <w:p w14:paraId="011959C0" w14:textId="77777777" w:rsidR="001666F9" w:rsidRPr="000C4A8B" w:rsidRDefault="00000000">
      <w:pPr>
        <w:spacing w:after="120" w:line="360" w:lineRule="auto"/>
        <w:ind w:left="720" w:hanging="720"/>
        <w:rPr>
          <w:lang w:val="en-US"/>
        </w:rPr>
      </w:pPr>
      <w:r>
        <w:rPr>
          <w:lang w:val="en-US"/>
        </w:rPr>
        <w:t>Hevner, A. R., March, S. T., Park, J., &amp; Ram, S. (2004). Design science in information systems research. MIS Quarterly, 28(1), 75–105. https://doi.org/10.2307/25148625</w:t>
      </w:r>
    </w:p>
    <w:p w14:paraId="4494DE56" w14:textId="77777777" w:rsidR="001666F9" w:rsidRPr="000C4A8B" w:rsidRDefault="00000000">
      <w:pPr>
        <w:spacing w:after="120" w:line="360" w:lineRule="auto"/>
        <w:ind w:left="720" w:hanging="720"/>
        <w:rPr>
          <w:lang w:val="en-US"/>
        </w:rPr>
      </w:pPr>
      <w:r>
        <w:rPr>
          <w:lang w:val="en-US"/>
        </w:rPr>
        <w:t>Katz, E., Blumler, J. G., &amp; Gurevitch, M. (1973). Uses and gratifications research. Public Opinion Quarterly, 37(4), 509–523. https://doi.org/10.1086/268109</w:t>
      </w:r>
    </w:p>
    <w:p w14:paraId="1E225CF1" w14:textId="77777777" w:rsidR="001666F9" w:rsidRPr="000C4A8B" w:rsidRDefault="00000000">
      <w:pPr>
        <w:spacing w:after="120" w:line="360" w:lineRule="auto"/>
        <w:ind w:left="720" w:hanging="720"/>
        <w:rPr>
          <w:lang w:val="en-US"/>
        </w:rPr>
      </w:pPr>
      <w:r>
        <w:rPr>
          <w:lang w:val="en-US"/>
        </w:rPr>
        <w:t>Milano, S., Taddeo, M., &amp; Floridi, L. (2020). Recommender systems and their ethical challenges. AI &amp; Society, 35, 957–967. https://doi.org/10.1007/s00146-020-00950-y</w:t>
      </w:r>
    </w:p>
    <w:p w14:paraId="2754445F" w14:textId="77777777" w:rsidR="001666F9" w:rsidRPr="000C4A8B" w:rsidRDefault="00000000">
      <w:pPr>
        <w:spacing w:after="120" w:line="360" w:lineRule="auto"/>
        <w:ind w:left="720" w:hanging="720"/>
        <w:rPr>
          <w:lang w:val="en-US"/>
        </w:rPr>
      </w:pPr>
      <w:r>
        <w:rPr>
          <w:lang w:val="en-US"/>
        </w:rPr>
        <w:lastRenderedPageBreak/>
        <w:t>Montag, C., &amp; Elhai, J. D. (2023). On social media design, (online-)time well-spent and addictive behaviors in the age of surveillance capitalism. Current Addiction Reports, 10(4), 384–395. https://doi.org/10.1007/s40429-023-00494-3</w:t>
      </w:r>
    </w:p>
    <w:p w14:paraId="66CFBA8A" w14:textId="77777777" w:rsidR="001666F9" w:rsidRPr="000C4A8B" w:rsidRDefault="00000000">
      <w:pPr>
        <w:spacing w:after="120" w:line="360" w:lineRule="auto"/>
        <w:ind w:left="720" w:hanging="720"/>
        <w:rPr>
          <w:lang w:val="en-US"/>
        </w:rPr>
      </w:pPr>
      <w:r>
        <w:rPr>
          <w:lang w:val="en-US"/>
        </w:rPr>
        <w:t>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14:paraId="4A342BA8" w14:textId="77777777" w:rsidR="001666F9" w:rsidRPr="000C4A8B" w:rsidRDefault="00000000">
      <w:pPr>
        <w:spacing w:after="120" w:line="360" w:lineRule="auto"/>
        <w:ind w:left="720" w:hanging="720"/>
        <w:rPr>
          <w:lang w:val="en-US"/>
        </w:rPr>
      </w:pPr>
      <w:r>
        <w:t xml:space="preserve">Nguyen, T. T., Hui, P.-M., Harper, F. M., Terveen, L., &amp; Konstan, J. A. (2014). </w:t>
      </w:r>
      <w:r>
        <w:rPr>
          <w:lang w:val="en-US"/>
        </w:rPr>
        <w:t>Exploring the filter bubble: The effect of using recommender systems on content diversity. In Proceedings of the 23rd International Conference on World Wide Web (S. 677–686). ACM. https://doi.org/10.1145/2566486.2568012</w:t>
      </w:r>
    </w:p>
    <w:p w14:paraId="4E7B989B" w14:textId="77777777" w:rsidR="001666F9" w:rsidRPr="000C4A8B" w:rsidRDefault="00000000">
      <w:pPr>
        <w:spacing w:after="120" w:line="360" w:lineRule="auto"/>
        <w:ind w:left="720" w:hanging="720"/>
        <w:rPr>
          <w:lang w:val="en-US"/>
        </w:rPr>
      </w:pPr>
      <w:r>
        <w:rPr>
          <w:lang w:val="en-US"/>
        </w:rPr>
        <w:t>Orben, A. (2020). Teenagers, screens and social media: A narrative review of reviews and key studies. Social Psychiatry and Psychiatric Epidemiology, 55(4), 407–414. https://doi.org/10.1007/s00127-019-01825-4</w:t>
      </w:r>
    </w:p>
    <w:p w14:paraId="769A6492" w14:textId="77777777" w:rsidR="001666F9" w:rsidRPr="000C4A8B" w:rsidRDefault="00000000">
      <w:pPr>
        <w:spacing w:after="120" w:line="360" w:lineRule="auto"/>
        <w:ind w:left="720" w:hanging="720"/>
        <w:rPr>
          <w:lang w:val="en-US"/>
        </w:rPr>
      </w:pPr>
      <w:r>
        <w:rPr>
          <w:lang w:val="en-US"/>
        </w:rPr>
        <w:t>Pariser, E. (2011). The filter bubble: What the internet is hiding from you. Penguin Press.</w:t>
      </w:r>
    </w:p>
    <w:p w14:paraId="1C113552" w14:textId="77777777" w:rsidR="001666F9" w:rsidRPr="000C4A8B" w:rsidRDefault="00000000">
      <w:pPr>
        <w:spacing w:after="120" w:line="360" w:lineRule="auto"/>
        <w:ind w:left="720" w:hanging="720"/>
        <w:rPr>
          <w:lang w:val="en-US"/>
        </w:rPr>
      </w:pPr>
      <w:r>
        <w:rPr>
          <w:lang w:val="en-US"/>
        </w:rPr>
        <w:t>Peffers, K., Tuunanen, T., Rothenberger, M. A., &amp; Chatterjee, S. (2007). A design science research methodology for information systems research. Journal of Management Information Systems, 24(3), 45–77. https://doi.org/10.2753/MIS0742-1222240302</w:t>
      </w:r>
    </w:p>
    <w:p w14:paraId="5B373D11" w14:textId="77777777" w:rsidR="001666F9" w:rsidRPr="000C4A8B" w:rsidRDefault="00000000">
      <w:pPr>
        <w:spacing w:after="120" w:line="360" w:lineRule="auto"/>
        <w:ind w:left="720" w:hanging="720"/>
        <w:rPr>
          <w:lang w:val="en-US"/>
        </w:rPr>
      </w:pPr>
      <w:r>
        <w:rPr>
          <w:lang w:val="en-US"/>
        </w:rPr>
        <w:t>Peters, D., Ahmadpour, N., &amp; Calvo, R. A. (2020). Tools for wellbeing-supportive design: Features, characteristics, and prototypes. Multimodal Technologies and Interaction, 4(3), 40. https://doi.org/10.3390/mti4030040</w:t>
      </w:r>
    </w:p>
    <w:p w14:paraId="712E8A71" w14:textId="77777777" w:rsidR="001666F9" w:rsidRPr="000C4A8B" w:rsidRDefault="00000000">
      <w:pPr>
        <w:spacing w:after="120" w:line="360" w:lineRule="auto"/>
        <w:ind w:left="720" w:hanging="720"/>
        <w:rPr>
          <w:lang w:val="en-US"/>
        </w:rPr>
      </w:pPr>
      <w:r>
        <w:rPr>
          <w:lang w:val="en-US"/>
        </w:rPr>
        <w:t>Peters, D., Calvo, R. A., &amp; Ryan, R. M. (2018). Designing for motivation, engagement and wellbeing in digital experience. Frontiers in Psychology, 9, 797. https://doi.org/10.3389/fpsyg.2018.00797</w:t>
      </w:r>
    </w:p>
    <w:p w14:paraId="21820604" w14:textId="77777777" w:rsidR="001666F9" w:rsidRPr="000C4A8B" w:rsidRDefault="00000000">
      <w:pPr>
        <w:spacing w:after="120" w:line="360" w:lineRule="auto"/>
        <w:ind w:left="720" w:hanging="720"/>
        <w:rPr>
          <w:lang w:val="en-US"/>
        </w:rPr>
      </w:pPr>
      <w:r>
        <w:rPr>
          <w:lang w:val="en-US"/>
        </w:rPr>
        <w:t>Reviglio, U., &amp; Agosti, C. (2020). Thinking outside the black-box: The case for «algorithmic sovereignty» in social media. Social Media + Society, 6(2), 1–12. https://doi.org/10.1177/2056305120915613</w:t>
      </w:r>
    </w:p>
    <w:p w14:paraId="142D8FC3" w14:textId="77777777" w:rsidR="001666F9" w:rsidRDefault="00000000">
      <w:pPr>
        <w:spacing w:after="120" w:line="360" w:lineRule="auto"/>
        <w:ind w:left="720" w:hanging="720"/>
      </w:pPr>
      <w:r>
        <w:rPr>
          <w:lang w:val="en-US"/>
        </w:rPr>
        <w:t xml:space="preserve">Ricci, F., Rokach, L., &amp; Shapira, B. (Hrsg.). </w:t>
      </w:r>
      <w:r>
        <w:t>(2015). Recommender systems handbook (2. Aufl.). Springer. https://doi.org/10.1007/978-1-4899-7637-6</w:t>
      </w:r>
    </w:p>
    <w:p w14:paraId="32F0EA2E" w14:textId="77777777" w:rsidR="001666F9" w:rsidRPr="000C4A8B" w:rsidRDefault="00000000">
      <w:pPr>
        <w:spacing w:after="120" w:line="360" w:lineRule="auto"/>
        <w:ind w:left="720" w:hanging="720"/>
        <w:rPr>
          <w:lang w:val="en-US"/>
        </w:rPr>
      </w:pPr>
      <w:r>
        <w:rPr>
          <w:lang w:val="en-US"/>
        </w:rPr>
        <w:t>Ryan, R. M., &amp; Deci, E. L. (2000). Self-determination theory and the facilitation of intrinsic motivation, social development, and well-being. American Psychologist, 55(1), 68–78. https://doi.org/10.1037/0003-066X.55.1.68</w:t>
      </w:r>
    </w:p>
    <w:p w14:paraId="5F54C558" w14:textId="77777777" w:rsidR="001666F9" w:rsidRPr="000C4A8B" w:rsidRDefault="00000000">
      <w:pPr>
        <w:spacing w:after="120" w:line="360" w:lineRule="auto"/>
        <w:ind w:left="720" w:hanging="720"/>
        <w:rPr>
          <w:lang w:val="en-US"/>
        </w:rPr>
      </w:pPr>
      <w:r>
        <w:rPr>
          <w:lang w:val="en-US"/>
        </w:rPr>
        <w:lastRenderedPageBreak/>
        <w:t>Sunstein, C. R. (2017). Polarization. In #Republic: Divided democracy in the age of social media (Kap. 3, S. 59–97). Princeton University Press.</w:t>
      </w:r>
    </w:p>
    <w:p w14:paraId="5223AA9E" w14:textId="77777777" w:rsidR="001666F9" w:rsidRPr="000C4A8B" w:rsidRDefault="00000000">
      <w:pPr>
        <w:spacing w:after="120" w:line="360" w:lineRule="auto"/>
        <w:ind w:left="720" w:hanging="720"/>
        <w:rPr>
          <w:lang w:val="en-US"/>
        </w:rPr>
      </w:pPr>
      <w:r>
        <w:rPr>
          <w:lang w:val="en-US"/>
        </w:rPr>
        <w:t>Vanden Abeele, M. M. P. (2021). Digital wellbeing as a dynamic construct. Communication Theory, 31(4), 932–955. https://doi.org/10.1093/ct/qtaa024</w:t>
      </w:r>
    </w:p>
    <w:p w14:paraId="3D554D95" w14:textId="77777777" w:rsidR="001666F9" w:rsidRPr="000C4A8B" w:rsidRDefault="00000000">
      <w:pPr>
        <w:spacing w:after="120" w:line="360" w:lineRule="auto"/>
        <w:ind w:left="720" w:hanging="720"/>
        <w:rPr>
          <w:lang w:val="en-US"/>
        </w:rPr>
      </w:pPr>
      <w:r>
        <w:rPr>
          <w:lang w:val="en-US"/>
        </w:rPr>
        <w:t>Verduyn, P., Lee, D. S., Park, J., Shablack, H., Orvell, A., Bayer, J., Ybarra, O., Jonides, J., &amp; Kross, E. (2015). Passive Facebook usage undermines affective well-being: Experimental and longitudinal evidence. Journal of Experimental Psychology: General, 144(2), 480–488. https://doi.org/10.1037/xge0000057</w:t>
      </w:r>
    </w:p>
    <w:p w14:paraId="0C8E3356" w14:textId="77777777" w:rsidR="001666F9" w:rsidRDefault="00000000">
      <w:pPr>
        <w:spacing w:after="120" w:line="360" w:lineRule="auto"/>
        <w:ind w:left="720" w:hanging="720"/>
      </w:pPr>
      <w:r>
        <w:rPr>
          <w:lang w:val="en-US"/>
        </w:rPr>
        <w:t xml:space="preserve">Vosoughi, S., Roy, D., &amp; Aral, S. (2018). The spread of true and false news online. </w:t>
      </w:r>
      <w:r>
        <w:t>Science, 359(6380), 1146–1151. https://doi.org/10.1126/science.aap9559</w:t>
      </w:r>
    </w:p>
    <w:p w14:paraId="4654146D" w14:textId="77777777" w:rsidR="001666F9" w:rsidRPr="000C4A8B" w:rsidRDefault="00000000">
      <w:pPr>
        <w:spacing w:after="120" w:line="360" w:lineRule="auto"/>
        <w:ind w:left="720" w:hanging="720"/>
        <w:rPr>
          <w:lang w:val="en-US"/>
        </w:rPr>
      </w:pPr>
      <w:r>
        <w:t xml:space="preserve">Weinmann, M., Schneider, C., &amp; vom Brocke, J. (2016). </w:t>
      </w:r>
      <w:r>
        <w:rPr>
          <w:lang w:val="en-US"/>
        </w:rPr>
        <w:t>Digital nudging. Business &amp; Information Systems Engineering, 58(6), 433–436. https://doi.org/10.1007/s12599-016-0453-3</w:t>
      </w:r>
    </w:p>
    <w:p w14:paraId="22A07D8E" w14:textId="77777777" w:rsidR="001666F9" w:rsidRDefault="00000000">
      <w:pPr>
        <w:spacing w:after="120" w:line="360" w:lineRule="auto"/>
        <w:ind w:left="720" w:hanging="720"/>
      </w:pPr>
      <w:r>
        <w:rPr>
          <w:lang w:val="en-US"/>
        </w:rPr>
        <w:t xml:space="preserve">Zuboff, S. (2019). The discovery of behavioral surplus. In The age of surveillance capitalism: The fight for a human future at the new frontier of power (Kap. 3, S. 63–97). </w:t>
      </w:r>
      <w:r>
        <w:t>PublicAffairs.</w:t>
      </w:r>
    </w:p>
    <w:sectPr w:rsidR="001666F9">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4016" w14:textId="77777777" w:rsidR="001118B4" w:rsidRDefault="001118B4">
      <w:r>
        <w:separator/>
      </w:r>
    </w:p>
  </w:endnote>
  <w:endnote w:type="continuationSeparator" w:id="0">
    <w:p w14:paraId="481E7D83" w14:textId="77777777" w:rsidR="001118B4" w:rsidRDefault="00111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D002" w14:textId="77777777" w:rsidR="007072AB" w:rsidRDefault="007072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7FEE" w14:textId="77777777" w:rsidR="001666F9" w:rsidRDefault="00000000">
    <w:pPr>
      <w:jc w:val="center"/>
    </w:pPr>
    <w:r>
      <w:rPr>
        <w:sz w:val="20"/>
        <w:szCs w:val="20"/>
      </w:rPr>
      <w:t xml:space="preserve">Seite </w:t>
    </w:r>
    <w:r>
      <w:rPr>
        <w:sz w:val="20"/>
        <w:szCs w:val="20"/>
      </w:rPr>
      <w:fldChar w:fldCharType="begin"/>
    </w:r>
    <w:r>
      <w:rPr>
        <w:sz w:val="20"/>
        <w:szCs w:val="20"/>
      </w:rPr>
      <w:instrText>PAGE</w:instrText>
    </w:r>
    <w:r>
      <w:rPr>
        <w:sz w:val="20"/>
        <w:szCs w:val="20"/>
      </w:rPr>
      <w:fldChar w:fldCharType="separate"/>
    </w:r>
    <w:r w:rsidR="000C4A8B">
      <w:rPr>
        <w:noProof/>
        <w:sz w:val="20"/>
        <w:szCs w:val="20"/>
      </w:rPr>
      <w:t>1</w:t>
    </w:r>
    <w:r>
      <w:rPr>
        <w:sz w:val="20"/>
        <w:szCs w:val="20"/>
      </w:rPr>
      <w:fldChar w:fldCharType="end"/>
    </w:r>
    <w:r>
      <w:rPr>
        <w:sz w:val="20"/>
        <w:szCs w:val="20"/>
      </w:rPr>
      <w:t xml:space="preserve"> von </w:t>
    </w:r>
    <w:r>
      <w:rPr>
        <w:sz w:val="20"/>
        <w:szCs w:val="20"/>
      </w:rPr>
      <w:fldChar w:fldCharType="begin"/>
    </w:r>
    <w:r>
      <w:rPr>
        <w:sz w:val="20"/>
        <w:szCs w:val="20"/>
      </w:rPr>
      <w:instrText>NUMPAGES</w:instrText>
    </w:r>
    <w:r>
      <w:rPr>
        <w:sz w:val="20"/>
        <w:szCs w:val="20"/>
      </w:rPr>
      <w:fldChar w:fldCharType="separate"/>
    </w:r>
    <w:r w:rsidR="000C4A8B">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2E8E" w14:textId="77777777" w:rsidR="007072AB" w:rsidRDefault="007072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6827" w14:textId="77777777" w:rsidR="001118B4" w:rsidRDefault="001118B4">
      <w:r>
        <w:separator/>
      </w:r>
    </w:p>
  </w:footnote>
  <w:footnote w:type="continuationSeparator" w:id="0">
    <w:p w14:paraId="49BB569C" w14:textId="77777777" w:rsidR="001118B4" w:rsidRDefault="00111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91F9" w14:textId="77777777" w:rsidR="007072AB" w:rsidRDefault="007072A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F927" w14:textId="77777777" w:rsidR="007072AB" w:rsidRDefault="007072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D6F1" w14:textId="77777777" w:rsidR="007072AB" w:rsidRDefault="007072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C5544"/>
    <w:multiLevelType w:val="hybridMultilevel"/>
    <w:tmpl w:val="96C46B96"/>
    <w:lvl w:ilvl="0" w:tplc="BD70F164">
      <w:start w:val="1"/>
      <w:numFmt w:val="bullet"/>
      <w:lvlText w:val="•"/>
      <w:lvlJc w:val="left"/>
      <w:pPr>
        <w:ind w:left="720" w:hanging="360"/>
      </w:pPr>
    </w:lvl>
    <w:lvl w:ilvl="1" w:tplc="11404A8C">
      <w:numFmt w:val="decimal"/>
      <w:lvlText w:val=""/>
      <w:lvlJc w:val="left"/>
    </w:lvl>
    <w:lvl w:ilvl="2" w:tplc="36420304">
      <w:numFmt w:val="decimal"/>
      <w:lvlText w:val=""/>
      <w:lvlJc w:val="left"/>
    </w:lvl>
    <w:lvl w:ilvl="3" w:tplc="33ACA0CE">
      <w:numFmt w:val="decimal"/>
      <w:lvlText w:val=""/>
      <w:lvlJc w:val="left"/>
    </w:lvl>
    <w:lvl w:ilvl="4" w:tplc="AA5E4B22">
      <w:numFmt w:val="decimal"/>
      <w:lvlText w:val=""/>
      <w:lvlJc w:val="left"/>
    </w:lvl>
    <w:lvl w:ilvl="5" w:tplc="C69A865A">
      <w:numFmt w:val="decimal"/>
      <w:lvlText w:val=""/>
      <w:lvlJc w:val="left"/>
    </w:lvl>
    <w:lvl w:ilvl="6" w:tplc="9628F6A0">
      <w:numFmt w:val="decimal"/>
      <w:lvlText w:val=""/>
      <w:lvlJc w:val="left"/>
    </w:lvl>
    <w:lvl w:ilvl="7" w:tplc="172EC7E0">
      <w:numFmt w:val="decimal"/>
      <w:lvlText w:val=""/>
      <w:lvlJc w:val="left"/>
    </w:lvl>
    <w:lvl w:ilvl="8" w:tplc="6480D844">
      <w:numFmt w:val="decimal"/>
      <w:lvlText w:val=""/>
      <w:lvlJc w:val="left"/>
    </w:lvl>
  </w:abstractNum>
  <w:abstractNum w:abstractNumId="1" w15:restartNumberingAfterBreak="0">
    <w:nsid w:val="591E2927"/>
    <w:multiLevelType w:val="hybridMultilevel"/>
    <w:tmpl w:val="332686FA"/>
    <w:lvl w:ilvl="0" w:tplc="B2226A54">
      <w:start w:val="1"/>
      <w:numFmt w:val="bullet"/>
      <w:lvlText w:val="●"/>
      <w:lvlJc w:val="left"/>
      <w:pPr>
        <w:ind w:left="720" w:hanging="360"/>
      </w:pPr>
    </w:lvl>
    <w:lvl w:ilvl="1" w:tplc="76285EA0">
      <w:start w:val="1"/>
      <w:numFmt w:val="bullet"/>
      <w:lvlText w:val="○"/>
      <w:lvlJc w:val="left"/>
      <w:pPr>
        <w:ind w:left="1440" w:hanging="360"/>
      </w:pPr>
    </w:lvl>
    <w:lvl w:ilvl="2" w:tplc="ADC26F3C">
      <w:start w:val="1"/>
      <w:numFmt w:val="bullet"/>
      <w:lvlText w:val="■"/>
      <w:lvlJc w:val="left"/>
      <w:pPr>
        <w:ind w:left="2160" w:hanging="360"/>
      </w:pPr>
    </w:lvl>
    <w:lvl w:ilvl="3" w:tplc="D88C0972">
      <w:start w:val="1"/>
      <w:numFmt w:val="bullet"/>
      <w:lvlText w:val="●"/>
      <w:lvlJc w:val="left"/>
      <w:pPr>
        <w:ind w:left="2880" w:hanging="360"/>
      </w:pPr>
    </w:lvl>
    <w:lvl w:ilvl="4" w:tplc="9586BEE8">
      <w:start w:val="1"/>
      <w:numFmt w:val="bullet"/>
      <w:lvlText w:val="○"/>
      <w:lvlJc w:val="left"/>
      <w:pPr>
        <w:ind w:left="3600" w:hanging="360"/>
      </w:pPr>
    </w:lvl>
    <w:lvl w:ilvl="5" w:tplc="43E29B78">
      <w:start w:val="1"/>
      <w:numFmt w:val="bullet"/>
      <w:lvlText w:val="■"/>
      <w:lvlJc w:val="left"/>
      <w:pPr>
        <w:ind w:left="4320" w:hanging="360"/>
      </w:pPr>
    </w:lvl>
    <w:lvl w:ilvl="6" w:tplc="DB060BB2">
      <w:start w:val="1"/>
      <w:numFmt w:val="bullet"/>
      <w:lvlText w:val="●"/>
      <w:lvlJc w:val="left"/>
      <w:pPr>
        <w:ind w:left="5040" w:hanging="360"/>
      </w:pPr>
    </w:lvl>
    <w:lvl w:ilvl="7" w:tplc="070E1E92">
      <w:start w:val="1"/>
      <w:numFmt w:val="bullet"/>
      <w:lvlText w:val="●"/>
      <w:lvlJc w:val="left"/>
      <w:pPr>
        <w:ind w:left="5760" w:hanging="360"/>
      </w:pPr>
    </w:lvl>
    <w:lvl w:ilvl="8" w:tplc="1BBE9DC2">
      <w:start w:val="1"/>
      <w:numFmt w:val="bullet"/>
      <w:lvlText w:val="●"/>
      <w:lvlJc w:val="left"/>
      <w:pPr>
        <w:ind w:left="6480" w:hanging="360"/>
      </w:pPr>
    </w:lvl>
  </w:abstractNum>
  <w:num w:numId="1" w16cid:durableId="1998723147">
    <w:abstractNumId w:val="1"/>
    <w:lvlOverride w:ilvl="0">
      <w:startOverride w:val="1"/>
    </w:lvlOverride>
  </w:num>
  <w:num w:numId="2" w16cid:durableId="1474247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F9"/>
    <w:rsid w:val="000C4A8B"/>
    <w:rsid w:val="001666F9"/>
    <w:rsid w:val="0027210F"/>
    <w:rsid w:val="005C13F7"/>
    <w:rsid w:val="00804A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6D4"/>
  <w15:docId w15:val="{74BCFCF2-007B-4DD4-B56D-35A194491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10510</Words>
  <Characters>66215</Characters>
  <Application>Microsoft Office Word</Application>
  <DocSecurity>0</DocSecurity>
  <Lines>551</Lines>
  <Paragraphs>153</Paragraphs>
  <ScaleCrop>false</ScaleCrop>
  <HeadingPairs>
    <vt:vector size="2" baseType="variant">
      <vt:variant>
        <vt:lpstr>Titel</vt:lpstr>
      </vt:variant>
      <vt:variant>
        <vt:i4>1</vt:i4>
      </vt:variant>
    </vt:vector>
  </HeadingPairs>
  <TitlesOfParts>
    <vt:vector size="1" baseType="lpstr">
      <vt:lpstr>Radio 25 - BSc Thesis Hauptdokument</vt:lpstr>
    </vt:vector>
  </TitlesOfParts>
  <Company/>
  <LinksUpToDate>false</LinksUpToDate>
  <CharactersWithSpaces>76572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Michael Möckli</cp:lastModifiedBy>
  <cp:revision>2</cp:revision>
  <dcterms:created xsi:type="dcterms:W3CDTF">2026-04-25T15:59:00Z</dcterms:created>
  <dcterms:modified xsi:type="dcterms:W3CDTF">2026-05-07T08:55:00Z</dcterms:modified>
</cp:coreProperties>
</file>