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sz w:val="22"/>
          <w:szCs w:val="22"/>
        </w:rPr>
        <w:t xml:space="preserve">ZHAW Zürcher Hochschule für Angewandte Wissenschaften</w:t>
      </w:r>
    </w:p>
    <w:p>
      <w:pPr>
        <w:spacing w:after="1200"/>
        <w:jc w:val="center"/>
      </w:pPr>
      <w:r>
        <w:rPr>
          <w:rFonts w:ascii="Arial" w:cs="Arial" w:eastAsia="Arial" w:hAnsi="Arial"/>
          <w:sz w:val="22"/>
          <w:szCs w:val="22"/>
        </w:rPr>
        <w:t xml:space="preserve">Institut für Wirtschaftsinformatik</w:t>
      </w:r>
    </w:p>
    <w:p>
      <w:pPr>
        <w:spacing w:after="600"/>
        <w:jc w:val="center"/>
      </w:pPr>
      <w:r>
        <w:rPr>
          <w:rFonts w:ascii="Arial" w:cs="Arial" w:eastAsia="Arial" w:hAnsi="Arial"/>
          <w:b/>
          <w:bCs/>
          <w:sz w:val="28"/>
          <w:szCs w:val="28"/>
        </w:rPr>
        <w:t xml:space="preserve">BSc-Thesis</w:t>
      </w:r>
    </w:p>
    <w:p>
      <w:pPr>
        <w:spacing w:after="80"/>
        <w:jc w:val="center"/>
      </w:pPr>
      <w:r>
        <w:rPr>
          <w:rFonts w:ascii="Arial" w:cs="Arial" w:eastAsia="Arial" w:hAnsi="Arial"/>
          <w:b/>
          <w:bCs/>
          <w:sz w:val="44"/>
          <w:szCs w:val="44"/>
        </w:rPr>
        <w:t xml:space="preserve">Radio 25: Nutzerzentrierte Personalisierung</w:t>
      </w:r>
    </w:p>
    <w:p>
      <w:pPr>
        <w:spacing w:after="80"/>
        <w:jc w:val="center"/>
      </w:pPr>
      <w:r>
        <w:rPr>
          <w:rFonts w:ascii="Arial" w:cs="Arial" w:eastAsia="Arial" w:hAnsi="Arial"/>
          <w:b/>
          <w:bCs/>
          <w:sz w:val="44"/>
          <w:szCs w:val="44"/>
        </w:rPr>
        <w:t xml:space="preserve">im vollautomatisierten Radio</w:t>
      </w:r>
    </w:p>
    <w:p>
      <w:pPr>
        <w:spacing w:after="1200"/>
        <w:jc w:val="center"/>
      </w:pPr>
      <w:r>
        <w:rPr>
          <w:rFonts w:ascii="Arial" w:cs="Arial" w:eastAsia="Arial" w:hAnsi="Arial"/>
          <w:i/>
          <w:iCs/>
          <w:sz w:val="28"/>
          <w:szCs w:val="28"/>
        </w:rPr>
        <w:t xml:space="preserve">Eine Konzeptstudie im Kontext von Digital Wellbeing</w:t>
      </w:r>
    </w:p>
    <w:p>
      <w:pPr>
        <w:spacing w:after="80"/>
        <w:jc w:val="center"/>
      </w:pPr>
      <w:r>
        <w:rPr>
          <w:rFonts w:ascii="Arial" w:cs="Arial" w:eastAsia="Arial" w:hAnsi="Arial"/>
          <w:sz w:val="22"/>
          <w:szCs w:val="22"/>
        </w:rPr>
        <w:t xml:space="preserve">Autor: Michael Möckli</w:t>
      </w:r>
    </w:p>
    <w:p>
      <w:pPr>
        <w:spacing w:after="80"/>
        <w:jc w:val="center"/>
      </w:pPr>
      <w:r>
        <w:rPr>
          <w:rFonts w:ascii="Arial" w:cs="Arial" w:eastAsia="Arial" w:hAnsi="Arial"/>
          <w:sz w:val="22"/>
          <w:szCs w:val="22"/>
        </w:rPr>
        <w:t xml:space="preserve">Betreuer: Alexandre de Spindler</w:t>
      </w:r>
    </w:p>
    <w:p>
      <w:pPr>
        <w:spacing w:after="200"/>
        <w:jc w:val="center"/>
      </w:pPr>
      <w:r>
        <w:rPr>
          <w:rFonts w:ascii="Arial" w:cs="Arial" w:eastAsia="Arial" w:hAnsi="Arial"/>
          <w:sz w:val="22"/>
          <w:szCs w:val="22"/>
        </w:rPr>
        <w:t xml:space="preserve">Stand: 25. April 2026</w:t>
      </w:r>
    </w:p>
    <w:p>
      <w:pPr>
        <w:pStyle w:val="Heading1"/>
        <w:pageBreakBefore/>
        <w:spacing w:after="240" w:before="480"/>
      </w:pPr>
      <w:r>
        <w:rPr>
          <w:rFonts w:ascii="Arial" w:cs="Arial" w:eastAsia="Arial" w:hAnsi="Arial"/>
          <w:b/>
          <w:bCs/>
          <w:sz w:val="32"/>
          <w:szCs w:val="32"/>
        </w:rPr>
        <w:t xml:space="preserve">1  Motivation</w:t>
      </w:r>
    </w:p>
    <w:p>
      <w:pPr>
        <w:spacing w:after="160" w:before="0" w:line="360" w:lineRule="auto"/>
      </w:pPr>
      <w:r>
        <w:rPr>
          <w:rFonts w:ascii="Arial" w:cs="Arial" w:eastAsia="Arial" w:hAnsi="Arial"/>
          <w:sz w:val="22"/>
          <w:szCs w:val="22"/>
        </w:rPr>
        <w:t xml:space="preserve">Medienkonsum ist das Ergebnis eines Zusammenspiels zweier Seiten: Auf der einen Seite stehen die Nutzenden mit ihren Bedürfnissen und Motivationen wie Information, Unterhaltung, Orientierung, soziale Zugehörigkeit und Identitätsbildung. Auf der anderen Seite stehen die Anbieter mit ihren Geschäftsmodellen, Zielen und Anreizen wie Reichweite, Nutzerbindung, Werbeeinnahmen und Marktanteilen. Idealerweise stehen diese beiden Seiten in einem ausgewogenen Verhältnis: Die Anbieter liefern Inhalte, die Bedürfnisse der Nutzenden erfüllen, und erhalten dafür Aufmerksamkeit oder Entgelt. In den letzten zwei Jahrzehnten hat sich dieses Gleichgewicht jedoch zunehmend zugunsten der Anbieterseite verschoben, insbesondere im Bereich der sozialen Medien (Zuboff, 2019; Montag &amp; Elhai, 2023).</w:t>
      </w:r>
    </w:p>
    <w:p>
      <w:pPr>
        <w:spacing w:after="160" w:before="0" w:line="360" w:lineRule="auto"/>
      </w:pPr>
      <w:r>
        <w:rPr>
          <w:rFonts w:ascii="Arial" w:cs="Arial" w:eastAsia="Arial" w:hAnsi="Arial"/>
          <w:sz w:val="22"/>
          <w:szCs w:val="22"/>
        </w:rPr>
        <w:t xml:space="preserve">Dieses Kapitel beschreibt die daraus entstehende Problemlage entlang ihrer beobachtbaren Erscheinungsformen: vom ökonomischen Fundament über die konkreten Designmuster bis zu den dokumentierten Folgen auf individueller und gesellschaftlicher Ebene. Die theoretische Einordnung der hier sichtbaren Phänomene (Self-Determination Theory, Persuasive Technology, Digital Wellbeing, Value-Sensitive Design) erfolgt anschliessend in Kapitel 2.</w:t>
      </w:r>
    </w:p>
    <w:p>
      <w:pPr>
        <w:pStyle w:val="Heading2"/>
        <w:spacing w:after="160" w:before="320"/>
      </w:pPr>
      <w:r>
        <w:rPr>
          <w:rFonts w:ascii="Arial" w:cs="Arial" w:eastAsia="Arial" w:hAnsi="Arial"/>
          <w:b/>
          <w:bCs/>
          <w:sz w:val="28"/>
          <w:szCs w:val="28"/>
        </w:rPr>
        <w:t xml:space="preserve">1.1  Das Spannungsfeld zwischen Nutzer und Anbieter</w:t>
      </w:r>
    </w:p>
    <w:p>
      <w:pPr>
        <w:spacing w:after="160" w:before="0" w:line="360" w:lineRule="auto"/>
      </w:pPr>
      <w:r>
        <w:rPr>
          <w:rFonts w:ascii="Arial" w:cs="Arial" w:eastAsia="Arial" w:hAnsi="Arial"/>
          <w:sz w:val="22"/>
          <w:szCs w:val="22"/>
        </w:rPr>
        <w:t xml:space="preserve">Nutzende digitaler Medien verfolgen eine Bandbreite an Motiven, von Information und Orientierung über Unterhaltung und Entspannung bis zu sozialer Zugehörigkeit und Identitätsbildung. Wird ein Medium diesen Motiven gerecht, entstehen Zufriedenheit und das Erleben, kompetent und selbstbestimmt mit dem Angebot umzugehen. Eine ausführliche theoretische Fundierung dieser Bedürfnisse, namentlich entlang des Uses-and-Gratifications-Ansatzes (Katz, Blumler &amp; Gurevitch, 1973) und der Self-Determination Theory (Ryan &amp; Deci, 2000), erfolgt in Abschnitt 2.1.2.</w:t>
      </w:r>
    </w:p>
    <w:p>
      <w:pPr>
        <w:spacing w:after="160" w:before="0" w:line="360" w:lineRule="auto"/>
      </w:pPr>
      <w:r>
        <w:rPr>
          <w:rFonts w:ascii="Arial" w:cs="Arial" w:eastAsia="Arial" w:hAnsi="Arial"/>
          <w:sz w:val="22"/>
          <w:szCs w:val="22"/>
        </w:rPr>
        <w:t xml:space="preserve">Die Motivationen der Anbieter hingegen sind primär ökonomischer Natur. Kommerzielle Plattformen wie TikTok, Instagram, Facebook oder YouTube finanzieren sich überwiegend durch Werbung. Ihr zentrales Zielgrössensystem sind Engagement-Metriken: Verweildauer, Klicks, Impressions, Interaktionsrate. Diese Grössen entscheiden über den Werbepreis und damit über den Ertrag. Alle zentralen Designentscheidungen, von der Rangfolge der Inhalte bis zur Gestaltung der Benutzeroberfläche, orientieren sich an diesen Metriken.</w:t>
      </w:r>
    </w:p>
    <w:p>
      <w:pPr>
        <w:spacing w:after="160" w:before="0" w:line="360" w:lineRule="auto"/>
      </w:pPr>
      <w:r>
        <w:rPr>
          <w:rFonts w:ascii="Arial" w:cs="Arial" w:eastAsia="Arial" w:hAnsi="Arial"/>
          <w:sz w:val="22"/>
          <w:szCs w:val="22"/>
        </w:rPr>
        <w:t xml:space="preserve">Solange die Ziele beider Seiten in die gleiche Richtung zeigen, ist dieses System funktional. Problematisch wird es dort, wo die Maximierung der Verweildauer nicht mehr mit dem Wohlbefinden der Nutzenden übereinstimmt, etwa weil Inhalte bewusst emotional aufgeladen werden, weil Nutzungssessions künstlich verlängert werden oder weil Vielfalt zugunsten reiner Relevanz geopfert wird. Genau dies ist in den letzten Jahren empirisch immer besser dokumentiert (Burr et al., 2020; Milano et al., 2020).</w:t>
      </w:r>
    </w:p>
    <w:p>
      <w:pPr>
        <w:pStyle w:val="Heading2"/>
        <w:spacing w:after="160" w:before="320"/>
      </w:pPr>
      <w:r>
        <w:rPr>
          <w:rFonts w:ascii="Arial" w:cs="Arial" w:eastAsia="Arial" w:hAnsi="Arial"/>
          <w:b/>
          <w:bCs/>
          <w:sz w:val="28"/>
          <w:szCs w:val="28"/>
        </w:rPr>
        <w:t xml:space="preserve">1.2  Das Geschäftsmodell der Aufmerksamkeitsökonomie</w:t>
      </w:r>
    </w:p>
    <w:p>
      <w:pPr>
        <w:spacing w:after="160" w:before="0" w:line="360" w:lineRule="auto"/>
      </w:pPr>
      <w:r>
        <w:rPr>
          <w:rFonts w:ascii="Arial" w:cs="Arial" w:eastAsia="Arial" w:hAnsi="Arial"/>
          <w:sz w:val="22"/>
          <w:szCs w:val="22"/>
        </w:rPr>
        <w:t xml:space="preserve">Zuboff (2019) beschreibt die Grundlogik dieser Plattformen als Überwachungskapitalismus: Nutzerverhalten wird systematisch erfasst, als «Verhaltensüberschuss» aufbereitet und zur Vorhersage und gezielten Beeinflussung zukünftigen Verhaltens eingesetzt. Der Rohstoff der Plattformen ist damit nicht der Inhalt, sondern die Aufmerksamkeit sowie die Datenspuren, die sie erzeugt. Je länger Nutzende auf der Plattform verbleiben, je stärker sie interagieren und je mehr Datenpunkte sie hinterlassen, desto präziser lassen sich Vorhersagen treffen und Werbeinventare monetarisieren.</w:t>
      </w:r>
    </w:p>
    <w:p>
      <w:pPr>
        <w:spacing w:after="160" w:before="0" w:line="360" w:lineRule="auto"/>
      </w:pPr>
      <w:r>
        <w:rPr>
          <w:rFonts w:ascii="Arial" w:cs="Arial" w:eastAsia="Arial" w:hAnsi="Arial"/>
          <w:sz w:val="22"/>
          <w:szCs w:val="22"/>
        </w:rPr>
        <w:t xml:space="preserve">Die Asymmetrie dieses Modells ist strukturell: Während die Plattformen immer mehr über ihre Nutzenden wissen, bleibt den Nutzenden verborgen, welche Daten erhoben, wie sie interpretiert und mit welchem Ziel sie eingesetzt werden. Das in der Folge entstehende Steuerungsdefizit auf Nutzerseite wird in Abschnitt 1.6 als beobachtbares Phänomen beschrieben und in Abschnitt 2.3.4 unter dem Begriff der algorithmischen Souveränität (Reviglio &amp; Agosti, 2020) theoretisch eingeordnet.</w:t>
      </w:r>
    </w:p>
    <w:p>
      <w:pPr>
        <w:pStyle w:val="Heading2"/>
        <w:spacing w:after="160" w:before="320"/>
      </w:pPr>
      <w:r>
        <w:rPr>
          <w:rFonts w:ascii="Arial" w:cs="Arial" w:eastAsia="Arial" w:hAnsi="Arial"/>
          <w:b/>
          <w:bCs/>
          <w:sz w:val="28"/>
          <w:szCs w:val="28"/>
        </w:rPr>
        <w:t xml:space="preserve">1.3  Manipulative Designmuster</w:t>
      </w:r>
    </w:p>
    <w:p>
      <w:pPr>
        <w:spacing w:after="160" w:before="0" w:line="360" w:lineRule="auto"/>
      </w:pPr>
      <w:r>
        <w:rPr>
          <w:rFonts w:ascii="Arial" w:cs="Arial" w:eastAsia="Arial" w:hAnsi="Arial"/>
          <w:sz w:val="22"/>
          <w:szCs w:val="22"/>
        </w:rPr>
        <w:t xml:space="preserve">Die ökonomische Logik manifestiert sich in konkreten Designmustern, die gezielt auf Schwachstellen der menschlichen Psyche zielen. Zu den am besten dokumentierten Mustern gehören:</w:t>
      </w:r>
    </w:p>
    <w:p>
      <w:pPr>
        <w:pStyle w:val="ListParagraph"/>
        <w:numPr>
          <w:ilvl w:val="0"/>
          <w:numId w:val="2"/>
        </w:numPr>
        <w:spacing w:after="80" w:line="360" w:lineRule="auto"/>
      </w:pPr>
      <w:r>
        <w:rPr>
          <w:rFonts w:ascii="Arial" w:cs="Arial" w:eastAsia="Arial" w:hAnsi="Arial"/>
          <w:sz w:val="22"/>
          <w:szCs w:val="22"/>
        </w:rPr>
        <w:t xml:space="preserve">Endloses Scrollen (Infinite Scroll), das natürliche Unterbrechungspunkte entfernt und die Verweildauer verlängert.</w:t>
      </w:r>
    </w:p>
    <w:p>
      <w:pPr>
        <w:pStyle w:val="ListParagraph"/>
        <w:numPr>
          <w:ilvl w:val="0"/>
          <w:numId w:val="2"/>
        </w:numPr>
        <w:spacing w:after="80" w:line="360" w:lineRule="auto"/>
      </w:pPr>
      <w:r>
        <w:rPr>
          <w:rFonts w:ascii="Arial" w:cs="Arial" w:eastAsia="Arial" w:hAnsi="Arial"/>
          <w:sz w:val="22"/>
          <w:szCs w:val="22"/>
        </w:rPr>
        <w:t xml:space="preserve">Variable Belohnungsmuster nach dem Vorbild des Glücksspiels: unvorhersehbare Erfolgserlebnisse (Likes, neue Inhalte, Matches) halten die Aufmerksamkeit aufrecht.</w:t>
      </w:r>
    </w:p>
    <w:p>
      <w:pPr>
        <w:pStyle w:val="ListParagraph"/>
        <w:numPr>
          <w:ilvl w:val="0"/>
          <w:numId w:val="2"/>
        </w:numPr>
        <w:spacing w:after="80" w:line="360" w:lineRule="auto"/>
      </w:pPr>
      <w:r>
        <w:rPr>
          <w:rFonts w:ascii="Arial" w:cs="Arial" w:eastAsia="Arial" w:hAnsi="Arial"/>
          <w:sz w:val="22"/>
          <w:szCs w:val="22"/>
        </w:rPr>
        <w:t xml:space="preserve">Push-Benachrichtigungen, die andere Tätigkeiten unterbrechen und Nutzende zurück auf die Plattform holen.</w:t>
      </w:r>
    </w:p>
    <w:p>
      <w:pPr>
        <w:pStyle w:val="ListParagraph"/>
        <w:numPr>
          <w:ilvl w:val="0"/>
          <w:numId w:val="2"/>
        </w:numPr>
        <w:spacing w:after="80" w:line="360" w:lineRule="auto"/>
      </w:pPr>
      <w:r>
        <w:rPr>
          <w:rFonts w:ascii="Arial" w:cs="Arial" w:eastAsia="Arial" w:hAnsi="Arial"/>
          <w:sz w:val="22"/>
          <w:szCs w:val="22"/>
        </w:rPr>
        <w:t xml:space="preserve">Autoplay und ähnliche Automatismen, die stellvertretend über den nächsten Inhalt entscheiden.</w:t>
      </w:r>
    </w:p>
    <w:p>
      <w:pPr>
        <w:pStyle w:val="ListParagraph"/>
        <w:numPr>
          <w:ilvl w:val="0"/>
          <w:numId w:val="2"/>
        </w:numPr>
        <w:spacing w:after="80" w:line="360" w:lineRule="auto"/>
      </w:pPr>
      <w:r>
        <w:rPr>
          <w:rFonts w:ascii="Arial" w:cs="Arial" w:eastAsia="Arial" w:hAnsi="Arial"/>
          <w:sz w:val="22"/>
          <w:szCs w:val="22"/>
        </w:rPr>
        <w:t xml:space="preserve">Social-Proof- und Reziprozitätsmechanismen, die soziale Grundbedürfnisse (Bestätigung, Gegenseitigkeit) für die Plattformbindung nutzen.</w:t>
      </w:r>
    </w:p>
    <w:p>
      <w:pPr>
        <w:spacing w:after="160" w:before="0" w:line="360" w:lineRule="auto"/>
      </w:pPr>
      <w:r>
        <w:rPr>
          <w:rFonts w:ascii="Arial" w:cs="Arial" w:eastAsia="Arial" w:hAnsi="Arial"/>
          <w:sz w:val="22"/>
          <w:szCs w:val="22"/>
        </w:rPr>
        <w:t xml:space="preserve">Montag et al. (2019) dokumentieren strukturelle Parallelen zwischen den Mechaniken sozialer Medien und den suchtfördernden Designs von Glücksspiel- und Freemium-Games. Welche theoretischen Konzepte hinter dieser gezielten Verhaltensbeeinflussung stehen, namentlich Persuasive Technology (Fogg, 2003) und Digital Nudging (Weinmann, Schneider &amp; vom Brocke, 2016), wird in Abschnitt 2.2.6 systematisch entwickelt.</w:t>
      </w:r>
    </w:p>
    <w:p>
      <w:pPr>
        <w:pStyle w:val="Heading2"/>
        <w:spacing w:after="160" w:before="320"/>
      </w:pPr>
      <w:r>
        <w:rPr>
          <w:rFonts w:ascii="Arial" w:cs="Arial" w:eastAsia="Arial" w:hAnsi="Arial"/>
          <w:b/>
          <w:bCs/>
          <w:sz w:val="28"/>
          <w:szCs w:val="28"/>
        </w:rPr>
        <w:t xml:space="preserve">1.4  Filterblasen, Echokammern und Polarisierung</w:t>
      </w:r>
    </w:p>
    <w:p>
      <w:pPr>
        <w:spacing w:after="160" w:before="0" w:line="360" w:lineRule="auto"/>
      </w:pPr>
      <w:r>
        <w:rPr>
          <w:rFonts w:ascii="Arial" w:cs="Arial" w:eastAsia="Arial" w:hAnsi="Arial"/>
          <w:sz w:val="22"/>
          <w:szCs w:val="22"/>
        </w:rPr>
        <w:t xml:space="preserve">Die Optimierung auf Engagement-Metriken hat nicht nur individuelle, sondern auch kollektive Folgen. Der Begriff der «Filterblase» wurde von Pariser (2011) geprägt und beschreibt das Phänomen, dass personalisierte Algorithmen Nutzende zunehmend mit ihnen bereits vertrauten Inhalten umgeben und abweichende Perspektiven systematisch ausblenden. Nguyen et al. (2014) wiesen in einer der ersten empirischen Studien nach, dass Empfehlungssysteme die inhaltliche Vielfalt individueller Nutzungsprofile messbar reduzieren. Geschke, Lorenz und Holtz (2019) modellierten mit agentenbasierter Simulation, dass diese Filterung auf drei Ebenen gleichzeitig wirkt und sich gegenseitig verstärkt: individuell (selektive Wahrnehmung), sozial (homogene Netzwerke) und technologisch (algorithmische Kuration). Dieses Zusammenspiel beschreiben sie als sogenannte Triple-Filter-Bubble.</w:t>
      </w:r>
    </w:p>
    <w:p>
      <w:pPr>
        <w:spacing w:after="160" w:before="0" w:line="360" w:lineRule="auto"/>
      </w:pPr>
      <w:r>
        <w:rPr>
          <w:rFonts w:ascii="Arial" w:cs="Arial" w:eastAsia="Arial" w:hAnsi="Arial"/>
          <w:sz w:val="22"/>
          <w:szCs w:val="22"/>
        </w:rPr>
        <w:t xml:space="preserve">Sunstein (2017) beschreibt, wie diese Informationsarchitekturen die gesellschaftliche Polarisierung befeuern: Wenn Nutzende bevorzugt mit Inhalten konfrontiert werden, die ihre bestehende Meinung bestätigen, verschärfen sich die Gräben zwischen unterschiedlichen Weltsichten. Dabei ist wichtig, dass dies nicht allein ein Problem der Algorithmen ist (menschliche kognitive Verzerrungen wie der Confirmation Bias wirken in die gleiche Richtung), sondern dass die Algorithmen bestehende Tendenzen systematisch verstärken, weil polarisierende und emotionalisierende Inhalte stärkere Reaktionen und damit höheres Engagement auslösen. Vosoughi, Roy und Aral (2018) belegen dies empirisch anhand einer grossangelegten Twitter-Analyse: Falsch- und Sensationsinformationen verbreiten sich im Durchschnitt schneller, tiefer und breiter als vergleichbare wahre Inhalte, was primär auf die stärkere emotionale Reaktion der Nutzenden zurückzuführen ist.</w:t>
      </w:r>
    </w:p>
    <w:p>
      <w:pPr>
        <w:pStyle w:val="Heading2"/>
        <w:spacing w:after="160" w:before="320"/>
      </w:pPr>
      <w:r>
        <w:rPr>
          <w:rFonts w:ascii="Arial" w:cs="Arial" w:eastAsia="Arial" w:hAnsi="Arial"/>
          <w:b/>
          <w:bCs/>
          <w:sz w:val="28"/>
          <w:szCs w:val="28"/>
        </w:rPr>
        <w:t xml:space="preserve">1.5  Psychisches Wohlbefinden und Suchtverhalten</w:t>
      </w:r>
    </w:p>
    <w:p>
      <w:pPr>
        <w:spacing w:after="160" w:before="0" w:line="360" w:lineRule="auto"/>
      </w:pPr>
      <w:r>
        <w:rPr>
          <w:rFonts w:ascii="Arial" w:cs="Arial" w:eastAsia="Arial" w:hAnsi="Arial"/>
          <w:sz w:val="22"/>
          <w:szCs w:val="22"/>
        </w:rPr>
        <w:t xml:space="preserve">Die Folgen für das individuelle Wohlbefinden sind inzwischen empirisch vielfach untersucht. Verduyn et al. (2015) zeigen in einer experimentellen und längsschnittlichen Studie, dass passive Facebook-Nutzung (Konsumieren ohne aktive Teilnahme) das affektive Wohlbefinden nachweislich untergräbt, während aktive, kommunikative Nutzung neutral oder sogar positiv wirkt.</w:t>
      </w:r>
    </w:p>
    <w:p>
      <w:pPr>
        <w:spacing w:after="160" w:before="0" w:line="360" w:lineRule="auto"/>
      </w:pPr>
      <w:r>
        <w:rPr>
          <w:rFonts w:ascii="Arial" w:cs="Arial" w:eastAsia="Arial" w:hAnsi="Arial"/>
          <w:sz w:val="22"/>
          <w:szCs w:val="22"/>
        </w:rPr>
        <w:t xml:space="preserve">Orben (2020) relativiert in einem umfassenden Narrative Review die oft überzeichneten Effektgrössen der Medienpsychologie, bestätigt aber den grundsätzlichen Zusammenhang zwischen Medienkonsum und Wohlbefinden. Entscheidend ist weniger die blosse Nutzungsdauer als vielmehr die Art der Nutzung: Passive, algorithmisch gesteuerte Konsumation zeigt negative Effekte; aktive, selbstgesteuerte Nutzung hat neutrale bis positive Effekte. Damit verschiebt sich die Debatte von Bildschirmzeit als rein quantitativem Mass hin zur Qualität und Selbstbestimmung der Nutzung.</w:t>
      </w:r>
    </w:p>
    <w:p>
      <w:pPr>
        <w:spacing w:after="160" w:before="0" w:line="360" w:lineRule="auto"/>
      </w:pPr>
      <w:r>
        <w:rPr>
          <w:rFonts w:ascii="Arial" w:cs="Arial" w:eastAsia="Arial" w:hAnsi="Arial"/>
          <w:sz w:val="22"/>
          <w:szCs w:val="22"/>
        </w:rPr>
        <w:t xml:space="preserve">Eng verbunden mit dem Wohlbefindens-Diskurs ist die Frage nach dem Suchtpotenzial sozialer Medien. Montag et al. (2019) argumentieren, dass die Kombination aus variablen Belohnungsmustern, sozialer Einbettung und algorithmischer Relevanzoptimierung Nutzungsmuster erzeugt, die klinischen Kriterien für Verhaltensabhängigkeiten ähneln. Nutzende beschreiben häufig das subjektive Erleben, «zu viel Zeit zu verlieren» oder Plattformen trotz besserer Absicht nicht abschalten zu können.</w:t>
      </w:r>
    </w:p>
    <w:p>
      <w:pPr>
        <w:pStyle w:val="Heading2"/>
        <w:spacing w:after="160" w:before="320"/>
      </w:pPr>
      <w:r>
        <w:rPr>
          <w:rFonts w:ascii="Arial" w:cs="Arial" w:eastAsia="Arial" w:hAnsi="Arial"/>
          <w:b/>
          <w:bCs/>
          <w:sz w:val="28"/>
          <w:szCs w:val="28"/>
        </w:rPr>
        <w:t xml:space="preserve">1.6  Verlust der Nutzerautonomie</w:t>
      </w:r>
    </w:p>
    <w:p>
      <w:pPr>
        <w:spacing w:after="160" w:before="0" w:line="360" w:lineRule="auto"/>
      </w:pPr>
      <w:r>
        <w:rPr>
          <w:rFonts w:ascii="Arial" w:cs="Arial" w:eastAsia="Arial" w:hAnsi="Arial"/>
          <w:sz w:val="22"/>
          <w:szCs w:val="22"/>
        </w:rPr>
        <w:t xml:space="preserve">Über die direkten psychischen Folgen hinaus entsteht ein grundsätzlicheres Problem: der Verlust von Autonomie. In der Praxis manifestiert sich dieser Autonomieverlust auf mehreren Ebenen: Nutzende sehen nicht, warum ein bestimmter Inhalt ausgespielt wird (Black Box). Sie können die zugrundeliegende Logik nicht substanziell ändern. Ihre Steuerungsmöglichkeiten beschränken sich auf oberflächliche Stellschrauben («diesen Kanal nicht mehr anzeigen», «Interesse bekunden»), während die tieferen Entscheidungsstrukturen intransparent bleiben.</w:t>
      </w:r>
    </w:p>
    <w:p>
      <w:pPr>
        <w:spacing w:after="160" w:before="0" w:line="360" w:lineRule="auto"/>
      </w:pPr>
      <w:r>
        <w:rPr>
          <w:rFonts w:ascii="Arial" w:cs="Arial" w:eastAsia="Arial" w:hAnsi="Arial"/>
          <w:sz w:val="22"/>
          <w:szCs w:val="22"/>
        </w:rPr>
        <w:t xml:space="preserve">Der theoretische Rahmen für diese Beobachtung, namentlich die Self-Determination Theory (Ryan &amp; Deci, 2000) mit dem Grundbedürfnis nach Autonomie sowie das METUX-Modell für nutzerzentrierte Produktgestaltung (Peters, Calvo &amp; Ryan, 2018), wird in Abschnitt 2.3.1 vertieft. Auf der politisch-systemischen Ebene fordern Reviglio und Agosti (2020) eine algorithmische Souveränität, die in Abschnitt 2.3.4 entfaltet wird; Milano, Taddeo und Floridi (2020) ergänzen aus Sicht der Empfehlungssystem-Ethik, dass neben Relevanz auch Diversität, Fairness und Nutzerwohl als explizite Optimierungsziele in den Algorithmen verankert werden müssen.</w:t>
      </w:r>
    </w:p>
    <w:p>
      <w:pPr>
        <w:pStyle w:val="Heading2"/>
        <w:spacing w:after="160" w:before="320"/>
      </w:pPr>
      <w:r>
        <w:rPr>
          <w:rFonts w:ascii="Arial" w:cs="Arial" w:eastAsia="Arial" w:hAnsi="Arial"/>
          <w:b/>
          <w:bCs/>
          <w:sz w:val="28"/>
          <w:szCs w:val="28"/>
        </w:rPr>
        <w:t xml:space="preserve">1.7  Zwischenfazit: Der Kern des Problems</w:t>
      </w:r>
    </w:p>
    <w:p>
      <w:pPr>
        <w:spacing w:after="160" w:before="0" w:line="360" w:lineRule="auto"/>
      </w:pPr>
      <w:r>
        <w:rPr>
          <w:rFonts w:ascii="Arial" w:cs="Arial" w:eastAsia="Arial" w:hAnsi="Arial"/>
          <w:sz w:val="22"/>
          <w:szCs w:val="22"/>
        </w:rPr>
        <w:t xml:space="preserve">Das Problem sozialer Medien ist nicht die Personalisierung an sich. Personalisierung kann ein wertvolles Instrument sein, um Inhalte für einzelne Menschen relevant und bereichernd zu machen. Problematisch ist die einseitige Ausrichtung der Personalisierung auf die Ziele der Anbieter: Plattformen, die ursprünglich als Werkzeuge zur Information, Vernetzung und Unterhaltung gedacht waren, haben sich zu Systemen entwickelt, die primär ihre eigene Nutzungszeit maximieren, häufig auf Kosten der Nutzenden.</w:t>
      </w:r>
    </w:p>
    <w:p>
      <w:pPr>
        <w:spacing w:after="160" w:before="0" w:line="360" w:lineRule="auto"/>
      </w:pPr>
      <w:r>
        <w:rPr>
          <w:rFonts w:ascii="Arial" w:cs="Arial" w:eastAsia="Arial" w:hAnsi="Arial"/>
          <w:sz w:val="22"/>
          <w:szCs w:val="22"/>
        </w:rPr>
        <w:t xml:space="preserve">Die Forschungslage zeigt drei miteinander verwobene Aspekte dieses Ungleichgewichts. Erstens ist es kein Zufall, sondern strukturell im werbefinanzierten Geschäftsmodell angelegt (Zuboff, 2019; Montag &amp; Elhai, 2023). Zweitens hat es messbare negative Folgen auf Informationsvielfalt, soziale Kohäsion und individuelles Wohlbefinden (Nguyen et al., 2014; Geschke et al., 2019; Verduyn et al., 2015; Orben, 2020). Drittens verfügen Nutzende in den aktuellen Systemen kaum über die Möglichkeit, dieses Ungleichgewicht selbst zu korrigieren (Reviglio &amp; Agosti, 2020; Milano et al., 2020).</w:t>
      </w:r>
    </w:p>
    <w:p>
      <w:pPr>
        <w:spacing w:after="160" w:before="0" w:line="360" w:lineRule="auto"/>
      </w:pPr>
      <w:r>
        <w:rPr>
          <w:rFonts w:ascii="Arial" w:cs="Arial" w:eastAsia="Arial" w:hAnsi="Arial"/>
          <w:sz w:val="22"/>
          <w:szCs w:val="22"/>
        </w:rPr>
        <w:t xml:space="preserve">Aus dieser Problemlage erwächst die grundlegende Frage, welche Prinzipien, Kriterien und Mechanismen nötig sind, um digitale Medien so zu gestalten, dass die Bedürfnisse der Nutzenden wieder in den Mittelpunkt rücken. Das nachfolgende Kapitel ordnet die in diesem Kapitel sichtbar gewordenen Phänomene in den wissenschaftlichen Kontext ein und stellt die Beurteilungsgrundlagen bereit, an denen sich der Lösungsvorschlag dieser Arbeit später messen lässt.</w:t>
      </w:r>
    </w:p>
    <w:p>
      <w:pPr>
        <w:pStyle w:val="Heading1"/>
        <w:pageBreakBefore/>
        <w:spacing w:after="240" w:before="480"/>
      </w:pPr>
      <w:r>
        <w:rPr>
          <w:rFonts w:ascii="Arial" w:cs="Arial" w:eastAsia="Arial" w:hAnsi="Arial"/>
          <w:b/>
          <w:bCs/>
          <w:sz w:val="32"/>
          <w:szCs w:val="32"/>
        </w:rPr>
        <w:t xml:space="preserve">2  Background</w:t>
      </w:r>
    </w:p>
    <w:p>
      <w:pPr>
        <w:spacing w:after="160" w:before="0" w:line="360" w:lineRule="auto"/>
      </w:pPr>
      <w:r>
        <w:rPr>
          <w:rFonts w:ascii="Arial" w:cs="Arial" w:eastAsia="Arial" w:hAnsi="Arial"/>
          <w:sz w:val="22"/>
          <w:szCs w:val="22"/>
        </w:rPr>
        <w:t xml:space="preserve">Dieses Kapitel ordnet die in Kapitel 1 sichtbar gewordenen Phänomene wissenschaftlich und technisch ein. Es beantwortet drei Leitfragen: (1) Welche Bedürfnisse und Motivationen prägen Nutzende und Anbieter digitaler Medien theoretisch? (2) In welchen technischen Mechanismen manifestieren sich diese Motivationen? (3) An welchen Kriterien lassen sich diese Mechanismen beurteilen? Damit liefert dieses Kapitel den theoretischen Rahmen, an dem der in Kapitel 3 vorgestellte Lösungsvorschlag entwickelt und in der späteren Validierung gemessen wird. Das methodische Vorgehen der Literaturrecherche, auf der dieses Kapitel beruht, ist in Abschnitt 4.1 dokumentiert.</w:t>
      </w:r>
    </w:p>
    <w:p>
      <w:pPr>
        <w:pStyle w:val="Heading2"/>
        <w:spacing w:after="160" w:before="320"/>
      </w:pPr>
      <w:r>
        <w:rPr>
          <w:rFonts w:ascii="Arial" w:cs="Arial" w:eastAsia="Arial" w:hAnsi="Arial"/>
          <w:b/>
          <w:bCs/>
          <w:sz w:val="28"/>
          <w:szCs w:val="28"/>
        </w:rPr>
        <w:t xml:space="preserve">2.1  Bedürfnisse und Motivationen der Akteure</w:t>
      </w:r>
    </w:p>
    <w:p>
      <w:pPr>
        <w:pStyle w:val="Heading3"/>
        <w:spacing w:after="120" w:before="240"/>
      </w:pPr>
      <w:r>
        <w:rPr>
          <w:rFonts w:ascii="Arial" w:cs="Arial" w:eastAsia="Arial" w:hAnsi="Arial"/>
          <w:b/>
          <w:bCs/>
          <w:sz w:val="24"/>
          <w:szCs w:val="24"/>
        </w:rPr>
        <w:t xml:space="preserve">2.1.1  Anbieterseite</w:t>
      </w:r>
    </w:p>
    <w:p>
      <w:pPr>
        <w:spacing w:after="160" w:before="0" w:line="360" w:lineRule="auto"/>
      </w:pPr>
      <w:r>
        <w:rPr>
          <w:rFonts w:ascii="Arial" w:cs="Arial" w:eastAsia="Arial" w:hAnsi="Arial"/>
          <w:sz w:val="22"/>
          <w:szCs w:val="22"/>
        </w:rPr>
        <w:t xml:space="preserve">Anbieter digitaler Medien verfolgen unterschiedliche Motive, die sich drei idealtypischen Kategorien zuordnen lassen.</w:t>
      </w:r>
    </w:p>
    <w:p>
      <w:pPr>
        <w:pStyle w:val="ListParagraph"/>
        <w:numPr>
          <w:ilvl w:val="0"/>
          <w:numId w:val="2"/>
        </w:numPr>
        <w:spacing w:after="80" w:line="360" w:lineRule="auto"/>
      </w:pPr>
      <w:r>
        <w:rPr>
          <w:rFonts w:ascii="Arial" w:cs="Arial" w:eastAsia="Arial" w:hAnsi="Arial"/>
          <w:sz w:val="22"/>
          <w:szCs w:val="22"/>
        </w:rPr>
        <w:t xml:space="preserve">Kommerzielle Plattformen (TikTok, Meta, YouTube, X) finanzieren sich primär werbebasiert. Ihr zentrales Geschäftsziel ist die Maximierung von Aufmerksamkeit und Datenspuren, die an Werbetreibende weiterverkauft werden (Zuboff, 2019).</w:t>
      </w:r>
    </w:p>
    <w:p>
      <w:pPr>
        <w:pStyle w:val="ListParagraph"/>
        <w:numPr>
          <w:ilvl w:val="0"/>
          <w:numId w:val="2"/>
        </w:numPr>
        <w:spacing w:after="80" w:line="360" w:lineRule="auto"/>
      </w:pPr>
      <w:r>
        <w:rPr>
          <w:rFonts w:ascii="Arial" w:cs="Arial" w:eastAsia="Arial" w:hAnsi="Arial"/>
          <w:sz w:val="22"/>
          <w:szCs w:val="22"/>
        </w:rPr>
        <w:t xml:space="preserve">Abonnement- und On-Demand-Anbieter (Netflix, Spotify, Disney+) leben von langfristiger Kundenbindung. Ihr Ziel ist Engagement im Sinne von Zufriedenheit und Retention, nicht primär Scroll-Dauer.</w:t>
      </w:r>
    </w:p>
    <w:p>
      <w:pPr>
        <w:pStyle w:val="ListParagraph"/>
        <w:numPr>
          <w:ilvl w:val="0"/>
          <w:numId w:val="2"/>
        </w:numPr>
        <w:spacing w:after="80" w:line="360" w:lineRule="auto"/>
      </w:pPr>
      <w:r>
        <w:rPr>
          <w:rFonts w:ascii="Arial" w:cs="Arial" w:eastAsia="Arial" w:hAnsi="Arial"/>
          <w:sz w:val="22"/>
          <w:szCs w:val="22"/>
        </w:rPr>
        <w:t xml:space="preserve">Öffentlich-rechtliche und redaktionelle Anbieter (SRF, BBC, NZZ, DLF) folgen Leitbildern wie Bildungs-, Informations- und Kulturvermittlung. Sie finanzieren sich über Gebühren oder Abonnements und haben normative Verpflichtungen gegenüber Pluralismus und Qualität.</w:t>
      </w:r>
    </w:p>
    <w:p>
      <w:pPr>
        <w:spacing w:after="160" w:before="0" w:line="360" w:lineRule="auto"/>
      </w:pPr>
      <w:r>
        <w:rPr>
          <w:rFonts w:ascii="Arial" w:cs="Arial" w:eastAsia="Arial" w:hAnsi="Arial"/>
          <w:sz w:val="22"/>
          <w:szCs w:val="22"/>
        </w:rPr>
        <w:t xml:space="preserve">Diese unterschiedlichen Motive führen zu unterschiedlichen Inhaltsstrategien und technischen Architekturen. Insbesondere werbebasierte Plattformen haben starke ökonomische Anreize, Engagement-Metriken zu maximieren; in den beiden anderen Modellen ist dieser Anreiz deutlich schwächer ausgeprägt.</w:t>
      </w:r>
    </w:p>
    <w:p>
      <w:pPr>
        <w:pStyle w:val="Heading3"/>
        <w:spacing w:after="120" w:before="240"/>
      </w:pPr>
      <w:r>
        <w:rPr>
          <w:rFonts w:ascii="Arial" w:cs="Arial" w:eastAsia="Arial" w:hAnsi="Arial"/>
          <w:b/>
          <w:bCs/>
          <w:sz w:val="24"/>
          <w:szCs w:val="24"/>
        </w:rPr>
        <w:t xml:space="preserve">2.1.2  Nutzerseite</w:t>
      </w:r>
    </w:p>
    <w:p>
      <w:pPr>
        <w:spacing w:after="160" w:before="0" w:line="360" w:lineRule="auto"/>
      </w:pPr>
      <w:r>
        <w:rPr>
          <w:rFonts w:ascii="Arial" w:cs="Arial" w:eastAsia="Arial" w:hAnsi="Arial"/>
          <w:sz w:val="22"/>
          <w:szCs w:val="22"/>
        </w:rPr>
        <w:t xml:space="preserve">Auf der Nutzerseite lassen sich die in Abschnitt 1.1 genannten Motive entlang etablierter theoretischer Rahmen ordnen. Aus dem Uses-and-Gratifications-Ansatz (Katz, Blumler &amp; Gurevitch, 1973) ergeben sich vier typische Nutzungsmotive: Information, Unterhaltung, soziale Interaktion und Identitätsbildung.</w:t>
      </w:r>
    </w:p>
    <w:p>
      <w:pPr>
        <w:spacing w:after="160" w:before="0" w:line="360" w:lineRule="auto"/>
      </w:pPr>
      <w:r>
        <w:rPr>
          <w:rFonts w:ascii="Arial" w:cs="Arial" w:eastAsia="Arial" w:hAnsi="Arial"/>
          <w:sz w:val="22"/>
          <w:szCs w:val="22"/>
        </w:rPr>
        <w:t xml:space="preserve">Ergänzend identifizieren Ryan und Deci (2000) in der Self-Determination Theory drei psychologische Grundbedürfnisse, die für intrinsische Motivation und Wohlbefinden zentral sind:</w:t>
      </w:r>
    </w:p>
    <w:p>
      <w:pPr>
        <w:pStyle w:val="ListParagraph"/>
        <w:numPr>
          <w:ilvl w:val="0"/>
          <w:numId w:val="2"/>
        </w:numPr>
        <w:spacing w:after="80" w:line="360" w:lineRule="auto"/>
      </w:pPr>
      <w:r>
        <w:rPr>
          <w:rFonts w:ascii="Arial" w:cs="Arial" w:eastAsia="Arial" w:hAnsi="Arial"/>
          <w:sz w:val="22"/>
          <w:szCs w:val="22"/>
        </w:rPr>
        <w:t xml:space="preserve">Autonomie: das Erleben, selbstbestimmt zu handeln und eigene Entscheidungen zu treffen;</w:t>
      </w:r>
    </w:p>
    <w:p>
      <w:pPr>
        <w:pStyle w:val="ListParagraph"/>
        <w:numPr>
          <w:ilvl w:val="0"/>
          <w:numId w:val="2"/>
        </w:numPr>
        <w:spacing w:after="80" w:line="360" w:lineRule="auto"/>
      </w:pPr>
      <w:r>
        <w:rPr>
          <w:rFonts w:ascii="Arial" w:cs="Arial" w:eastAsia="Arial" w:hAnsi="Arial"/>
          <w:sz w:val="22"/>
          <w:szCs w:val="22"/>
        </w:rPr>
        <w:t xml:space="preserve">Kompetenz: das Gefühl, wirksam zu sein und Herausforderungen bewältigen zu können;</w:t>
      </w:r>
    </w:p>
    <w:p>
      <w:pPr>
        <w:pStyle w:val="ListParagraph"/>
        <w:numPr>
          <w:ilvl w:val="0"/>
          <w:numId w:val="2"/>
        </w:numPr>
        <w:spacing w:after="80" w:line="360" w:lineRule="auto"/>
      </w:pPr>
      <w:r>
        <w:rPr>
          <w:rFonts w:ascii="Arial" w:cs="Arial" w:eastAsia="Arial" w:hAnsi="Arial"/>
          <w:sz w:val="22"/>
          <w:szCs w:val="22"/>
        </w:rPr>
        <w:t xml:space="preserve">soziale Eingebundenheit: das Erleben von bedeutungsvollen Beziehungen und Zugehörigkeit.</w:t>
      </w:r>
    </w:p>
    <w:p>
      <w:pPr>
        <w:spacing w:after="160" w:before="0" w:line="360" w:lineRule="auto"/>
      </w:pPr>
      <w:r>
        <w:rPr>
          <w:rFonts w:ascii="Arial" w:cs="Arial" w:eastAsia="Arial" w:hAnsi="Arial"/>
          <w:sz w:val="22"/>
          <w:szCs w:val="22"/>
        </w:rPr>
        <w:t xml:space="preserve">Peters, Calvo und Ryan (2018) übertragen diese Perspektive im METUX-Modell (Motivation, Engagement and Thriving in User Experience) direkt auf die Gestaltung digitaler Produkte: Ein System fördert Wohlbefinden, wenn es diese Grundbedürfnisse auf mehreren Ebenen (Adoption, Benutzeroberfläche, Aufgabe, Verhalten, Leben) unterstützt, und untergräbt es, wenn es sie blockiert. Dieses Modell wird in Abschnitt 2.3.1 als zentrale Beurteilungsgrundlage erneut aufgegriffen.</w:t>
      </w:r>
    </w:p>
    <w:p>
      <w:pPr>
        <w:spacing w:after="160" w:before="0" w:line="360" w:lineRule="auto"/>
      </w:pPr>
      <w:r>
        <w:rPr>
          <w:rFonts w:ascii="Arial" w:cs="Arial" w:eastAsia="Arial" w:hAnsi="Arial"/>
          <w:sz w:val="22"/>
          <w:szCs w:val="22"/>
        </w:rPr>
        <w:t xml:space="preserve">Vanden Abeele (2021) konzeptualisiert das übergeordnete Nutzerbedürfnis nach einem ausgewogenen Medienkonsum als Digital Wellbeing: die subjektive, individuelle Erfahrung einer optimalen Balance zwischen den Vorteilen und Nachteilen digitaler Konnektivität. Diese Balance ist dynamisch, kontextabhängig und nicht allein durch Nutzungsdauer messbar.</w:t>
      </w:r>
    </w:p>
    <w:p>
      <w:pPr>
        <w:pStyle w:val="Heading2"/>
        <w:spacing w:after="160" w:before="320"/>
      </w:pPr>
      <w:r>
        <w:rPr>
          <w:rFonts w:ascii="Arial" w:cs="Arial" w:eastAsia="Arial" w:hAnsi="Arial"/>
          <w:b/>
          <w:bCs/>
          <w:sz w:val="28"/>
          <w:szCs w:val="28"/>
        </w:rPr>
        <w:t xml:space="preserve">2.2  Mechanismen digitaler Medienangebote</w:t>
      </w:r>
    </w:p>
    <w:p>
      <w:pPr>
        <w:spacing w:after="160" w:before="0" w:line="360" w:lineRule="auto"/>
      </w:pPr>
      <w:r>
        <w:rPr>
          <w:rFonts w:ascii="Arial" w:cs="Arial" w:eastAsia="Arial" w:hAnsi="Arial"/>
          <w:sz w:val="22"/>
          <w:szCs w:val="22"/>
        </w:rPr>
        <w:t xml:space="preserve">Die Motivationen beider Seiten schlagen sich in konkreten technischen Mechanismen nieder. Im Folgenden werden die zentralen Mechanismen aktueller Medienangebote beschrieben und ihre Funktionsweise skizziert.</w:t>
      </w:r>
    </w:p>
    <w:p>
      <w:pPr>
        <w:pStyle w:val="Heading3"/>
        <w:spacing w:after="120" w:before="240"/>
      </w:pPr>
      <w:r>
        <w:rPr>
          <w:rFonts w:ascii="Arial" w:cs="Arial" w:eastAsia="Arial" w:hAnsi="Arial"/>
          <w:b/>
          <w:bCs/>
          <w:sz w:val="24"/>
          <w:szCs w:val="24"/>
        </w:rPr>
        <w:t xml:space="preserve">2.2.1  Klassifikation und Ontologien</w:t>
      </w:r>
    </w:p>
    <w:p>
      <w:pPr>
        <w:spacing w:after="160" w:before="0" w:line="360" w:lineRule="auto"/>
      </w:pPr>
      <w:r>
        <w:rPr>
          <w:rFonts w:ascii="Arial" w:cs="Arial" w:eastAsia="Arial" w:hAnsi="Arial"/>
          <w:sz w:val="22"/>
          <w:szCs w:val="22"/>
        </w:rPr>
        <w:t xml:space="preserve">Inhalte müssen strukturiert werden, damit sie auffindbar und empfehlbar sind. Klassifikationssysteme ordnen Inhalte entlang festgelegter Kategorien (Genre, Thema, Stimmung, Zielgruppe). Ontologien gehen darüber hinaus und modellieren semantische Beziehungen zwischen Konzepten, etwa die Zugehörigkeit von Subgenres zu Obergenres oder Ähnlichkeiten zwischen Themen. Auf der Nutzerseite werden analoge Strukturen verwendet, um Interessensprofile explizit oder implizit zu repräsentieren. Die Qualität dieser Strukturen prägt massgeblich die Qualität späterer Empfehlungen.</w:t>
      </w:r>
    </w:p>
    <w:p>
      <w:pPr>
        <w:pStyle w:val="Heading3"/>
        <w:spacing w:after="120" w:before="240"/>
      </w:pPr>
      <w:r>
        <w:rPr>
          <w:rFonts w:ascii="Arial" w:cs="Arial" w:eastAsia="Arial" w:hAnsi="Arial"/>
          <w:b/>
          <w:bCs/>
          <w:sz w:val="24"/>
          <w:szCs w:val="24"/>
        </w:rPr>
        <w:t xml:space="preserve">2.2.2  Suche</w:t>
      </w:r>
    </w:p>
    <w:p>
      <w:pPr>
        <w:spacing w:after="160" w:before="0" w:line="360" w:lineRule="auto"/>
      </w:pPr>
      <w:r>
        <w:rPr>
          <w:rFonts w:ascii="Arial" w:cs="Arial" w:eastAsia="Arial" w:hAnsi="Arial"/>
          <w:sz w:val="22"/>
          <w:szCs w:val="22"/>
        </w:rPr>
        <w:t xml:space="preserve">Suchmechanismen sind der klassische aktive Zugang zu Inhalten: Die Nutzenden formulieren eine Anfrage, das System liefert eine Ergebnisliste. Die Relevanzbewertung basiert historisch auf Textmatching und Linkstrukturen, zunehmend auch auf semantischen Embeddings und personalisierten Signalen. Suche ist vergleichsweise transparent, da die Intention von den Nutzenden formuliert wird. Zugleich wächst die Intransparenz dort, wo Personalisierung die Trefferlisten unsichtbar verändert.</w:t>
      </w:r>
    </w:p>
    <w:p>
      <w:pPr>
        <w:pStyle w:val="Heading3"/>
        <w:spacing w:after="120" w:before="240"/>
      </w:pPr>
      <w:r>
        <w:rPr>
          <w:rFonts w:ascii="Arial" w:cs="Arial" w:eastAsia="Arial" w:hAnsi="Arial"/>
          <w:b/>
          <w:bCs/>
          <w:sz w:val="24"/>
          <w:szCs w:val="24"/>
        </w:rPr>
        <w:t xml:space="preserve">2.2.3  Empfehlungssysteme</w:t>
      </w:r>
    </w:p>
    <w:p>
      <w:pPr>
        <w:spacing w:after="160" w:before="0" w:line="360" w:lineRule="auto"/>
      </w:pPr>
      <w:r>
        <w:rPr>
          <w:rFonts w:ascii="Arial" w:cs="Arial" w:eastAsia="Arial" w:hAnsi="Arial"/>
          <w:sz w:val="22"/>
          <w:szCs w:val="22"/>
        </w:rPr>
        <w:t xml:space="preserve">Empfehlungssysteme (Recommender Systems) schlagen Inhalte vor, ohne dass die Nutzenden aktiv danach suchen. In der Standardliteratur werden drei klassische Hauptparadigmen unterschieden (Ricci, Rokach &amp; Shapira, 2015):</w:t>
      </w:r>
    </w:p>
    <w:p>
      <w:pPr>
        <w:pStyle w:val="ListParagraph"/>
        <w:numPr>
          <w:ilvl w:val="0"/>
          <w:numId w:val="2"/>
        </w:numPr>
        <w:spacing w:after="80" w:line="360" w:lineRule="auto"/>
      </w:pPr>
      <w:r>
        <w:rPr>
          <w:rFonts w:ascii="Arial" w:cs="Arial" w:eastAsia="Arial" w:hAnsi="Arial"/>
          <w:sz w:val="22"/>
          <w:szCs w:val="22"/>
        </w:rPr>
        <w:t xml:space="preserve">Kollaboratives Filtern: Empfehlungen auf Basis der Ähnlichkeit zwischen Nutzenden (Prinzip: «Personen, die X mochten, mochten auch Y»).</w:t>
      </w:r>
    </w:p>
    <w:p>
      <w:pPr>
        <w:pStyle w:val="ListParagraph"/>
        <w:numPr>
          <w:ilvl w:val="0"/>
          <w:numId w:val="2"/>
        </w:numPr>
        <w:spacing w:after="80" w:line="360" w:lineRule="auto"/>
      </w:pPr>
      <w:r>
        <w:rPr>
          <w:rFonts w:ascii="Arial" w:cs="Arial" w:eastAsia="Arial" w:hAnsi="Arial"/>
          <w:sz w:val="22"/>
          <w:szCs w:val="22"/>
        </w:rPr>
        <w:t xml:space="preserve">Inhaltsbasiertes Filtern: Empfehlungen auf Basis der Ähnlichkeit zwischen Inhalten und des bisherigen Nutzerprofils.</w:t>
      </w:r>
    </w:p>
    <w:p>
      <w:pPr>
        <w:pStyle w:val="ListParagraph"/>
        <w:numPr>
          <w:ilvl w:val="0"/>
          <w:numId w:val="2"/>
        </w:numPr>
        <w:spacing w:after="80" w:line="360" w:lineRule="auto"/>
      </w:pPr>
      <w:r>
        <w:rPr>
          <w:rFonts w:ascii="Arial" w:cs="Arial" w:eastAsia="Arial" w:hAnsi="Arial"/>
          <w:sz w:val="22"/>
          <w:szCs w:val="22"/>
        </w:rPr>
        <w:t xml:space="preserve">Hybride und Deep-Learning-basierte Ansätze: Kombination der obigen Verfahren mit impliziten Signalen (Verweildauer, Scrolltiefe, Wiederholungen) und tiefen neuronalen Modellen, wie sie in Feeds von TikTok oder Instagram dominieren.</w:t>
      </w:r>
    </w:p>
    <w:p>
      <w:pPr>
        <w:spacing w:after="160" w:before="0" w:line="360" w:lineRule="auto"/>
      </w:pPr>
      <w:r>
        <w:rPr>
          <w:rFonts w:ascii="Arial" w:cs="Arial" w:eastAsia="Arial" w:hAnsi="Arial"/>
          <w:sz w:val="22"/>
          <w:szCs w:val="22"/>
        </w:rPr>
        <w:t xml:space="preserve">Die Optimierung erfolgt in der kommerziellen Praxis überwiegend auf Engagement-Metriken. Nguyen et al. (2014) zeigen, dass dies zur Einengung der inhaltlichen Vielfalt führt. Milano, Taddeo und Floridi (2020) systematisieren die daraus folgenden ethischen Herausforderungen entlang sechs Dimensionen: Inhaltsqualität, Privatsphäre, Autonomie, Meinungsvielfalt, soziale Auswirkungen und Verantwortlichkeit.</w:t>
      </w:r>
    </w:p>
    <w:p>
      <w:pPr>
        <w:pStyle w:val="Heading3"/>
        <w:spacing w:after="120" w:before="240"/>
      </w:pPr>
      <w:r>
        <w:rPr>
          <w:rFonts w:ascii="Arial" w:cs="Arial" w:eastAsia="Arial" w:hAnsi="Arial"/>
          <w:b/>
          <w:bCs/>
          <w:sz w:val="24"/>
          <w:szCs w:val="24"/>
        </w:rPr>
        <w:t xml:space="preserve">2.2.4  Personalisierung und Feed-Kuration</w:t>
      </w:r>
    </w:p>
    <w:p>
      <w:pPr>
        <w:spacing w:after="160" w:before="0" w:line="360" w:lineRule="auto"/>
      </w:pPr>
      <w:r>
        <w:rPr>
          <w:rFonts w:ascii="Arial" w:cs="Arial" w:eastAsia="Arial" w:hAnsi="Arial"/>
          <w:sz w:val="22"/>
          <w:szCs w:val="22"/>
        </w:rPr>
        <w:t xml:space="preserve">Über die reine Empfehlung hinaus kuratieren Plattformen ganze Feeds, also ständig aktualisierte Inhaltsströme, die auf die einzelne Person zugeschnitten sind. Die Entscheidungslogik ist typischerweise nicht einsehbar: Das, was die Nutzenden sehen, ist das Ergebnis tausender implizit gelernter Signale, deren genaues Zusammenspiel selbst die Entwicklerinnen und Entwickler oft nur noch approximativ beschreiben können. Reviglio und Agosti (2020) fordern in diesem Zusammenhang eine algorithmische Souveränität: die Möglichkeit, die Logiken zu verstehen, zu modifizieren und bewusst zu steuern.</w:t>
      </w:r>
    </w:p>
    <w:p>
      <w:pPr>
        <w:pStyle w:val="Heading3"/>
        <w:spacing w:after="120" w:before="240"/>
      </w:pPr>
      <w:r>
        <w:rPr>
          <w:rFonts w:ascii="Arial" w:cs="Arial" w:eastAsia="Arial" w:hAnsi="Arial"/>
          <w:b/>
          <w:bCs/>
          <w:sz w:val="24"/>
          <w:szCs w:val="24"/>
        </w:rPr>
        <w:t xml:space="preserve">2.2.5  Sharing und soziale Mechanismen</w:t>
      </w:r>
    </w:p>
    <w:p>
      <w:pPr>
        <w:spacing w:after="160" w:before="0" w:line="360" w:lineRule="auto"/>
      </w:pPr>
      <w:r>
        <w:rPr>
          <w:rFonts w:ascii="Arial" w:cs="Arial" w:eastAsia="Arial" w:hAnsi="Arial"/>
          <w:sz w:val="22"/>
          <w:szCs w:val="22"/>
        </w:rPr>
        <w:t xml:space="preserve">Teilen, Kommentieren und Reagieren erzeugen Netzwerkeffekte: Inhalte verbreiten sich viral, wenn sie starke emotionale Reaktionen auslösen. Diese Mechanismen sind nicht neutral, sondern begünstigen systematisch emotional aufgeladene, oft polarisierende Inhalte und wirken damit auf die in Abschnitt 1.4 beschriebene Triple-Filter-Bubble (Geschke et al., 2019; Sunstein, 2017).</w:t>
      </w:r>
    </w:p>
    <w:p>
      <w:pPr>
        <w:pStyle w:val="Heading3"/>
        <w:spacing w:after="120" w:before="240"/>
      </w:pPr>
      <w:r>
        <w:rPr>
          <w:rFonts w:ascii="Arial" w:cs="Arial" w:eastAsia="Arial" w:hAnsi="Arial"/>
          <w:b/>
          <w:bCs/>
          <w:sz w:val="24"/>
          <w:szCs w:val="24"/>
        </w:rPr>
        <w:t xml:space="preserve">2.2.6  Persuasive Design und Nudging</w:t>
      </w:r>
    </w:p>
    <w:p>
      <w:pPr>
        <w:spacing w:after="160" w:before="0" w:line="360" w:lineRule="auto"/>
      </w:pPr>
      <w:r>
        <w:rPr>
          <w:rFonts w:ascii="Arial" w:cs="Arial" w:eastAsia="Arial" w:hAnsi="Arial"/>
          <w:sz w:val="22"/>
          <w:szCs w:val="22"/>
        </w:rPr>
        <w:t xml:space="preserve">Die in Abschnitt 1.3 als Beobachtung beschriebenen Designmuster lassen sich theoretisch mit zwei zentralen Konzepten einordnen. Fogg (2003) beschreibt mit dem Modell der Persuasive Technology, wie Computer als Werkzeuge, Medien und soziale Akteure Verhalten beeinflussen können. Die konkreten Techniken reichen von Erinnerungsfunktionen über spielerische Belohnungen bis zu sozialem Feedback. Weinmann, Schneider und vom Brocke (2016) erweitern diesen Ansatz mit dem Konzept des Digital Nudging: subtile Gestaltungshinweise, die das Verhalten in eine bestimmte Richtung lenken, ohne die Wahlfreiheit einzuschränken.</w:t>
      </w:r>
    </w:p>
    <w:p>
      <w:pPr>
        <w:spacing w:after="160" w:before="0" w:line="360" w:lineRule="auto"/>
      </w:pPr>
      <w:r>
        <w:rPr>
          <w:rFonts w:ascii="Arial" w:cs="Arial" w:eastAsia="Arial" w:hAnsi="Arial"/>
          <w:sz w:val="22"/>
          <w:szCs w:val="22"/>
        </w:rPr>
        <w:t xml:space="preserve">Beide Ansätze sind wertneutral. In der kommerziellen Praxis werden sie jedoch überwiegend zur Engagement-Maximierung eingesetzt; sie liessen sich ebenso im Sinne des Nutzerwohls anwenden (Peters et al., 2018). Genau diese Umkehrung der Zielfunktion bei sonst vergleichbarem Mechanismus ist ein zentrales Designprinzip des in Kapitel 3 vorgestellten Lösungsvorschlags.</w:t>
      </w:r>
    </w:p>
    <w:p>
      <w:pPr>
        <w:pStyle w:val="Heading3"/>
        <w:spacing w:after="120" w:before="240"/>
      </w:pPr>
      <w:r>
        <w:rPr>
          <w:rFonts w:ascii="Arial" w:cs="Arial" w:eastAsia="Arial" w:hAnsi="Arial"/>
          <w:b/>
          <w:bCs/>
          <w:sz w:val="24"/>
          <w:szCs w:val="24"/>
        </w:rPr>
        <w:t xml:space="preserve">2.2.7  Monetarisierungsmechanismen</w:t>
      </w:r>
    </w:p>
    <w:p>
      <w:pPr>
        <w:spacing w:after="160" w:before="0" w:line="360" w:lineRule="auto"/>
      </w:pPr>
      <w:r>
        <w:rPr>
          <w:rFonts w:ascii="Arial" w:cs="Arial" w:eastAsia="Arial" w:hAnsi="Arial"/>
          <w:sz w:val="22"/>
          <w:szCs w:val="22"/>
        </w:rPr>
        <w:t xml:space="preserve">Die beschriebenen Mechanismen stehen in unmittelbarer Wechselwirkung mit der Monetarisierung. Werbebasierte Plattformen koppeln Empfehlungen, Feeds und persuasive Muster systematisch an Engagement-Metriken, während abonnementbasierte Anbieter tendenziell auf Retention-Metriken optimieren und öffentlich-rechtliche Anbieter auf Erfüllungskennzahlen wie Reichweite und Vielfalt. Die Wahl der Monetarisierung prägt damit das Verhalten der Mechanismen ebenso stark wie ihre technische Architektur (Zuboff, 2019; Montag &amp; Elhai, 2023).</w:t>
      </w:r>
    </w:p>
    <w:p>
      <w:pPr>
        <w:pStyle w:val="Heading2"/>
        <w:spacing w:after="160" w:before="320"/>
      </w:pPr>
      <w:r>
        <w:rPr>
          <w:rFonts w:ascii="Arial" w:cs="Arial" w:eastAsia="Arial" w:hAnsi="Arial"/>
          <w:b/>
          <w:bCs/>
          <w:sz w:val="28"/>
          <w:szCs w:val="28"/>
        </w:rPr>
        <w:t xml:space="preserve">2.3  Beurteilungsgrundlagen</w:t>
      </w:r>
    </w:p>
    <w:p>
      <w:pPr>
        <w:spacing w:after="160" w:before="0" w:line="360" w:lineRule="auto"/>
      </w:pPr>
      <w:r>
        <w:rPr>
          <w:rFonts w:ascii="Arial" w:cs="Arial" w:eastAsia="Arial" w:hAnsi="Arial"/>
          <w:sz w:val="22"/>
          <w:szCs w:val="22"/>
        </w:rPr>
        <w:t xml:space="preserve">Um die oben beschriebenen Mechanismen bewerten zu können, braucht es explizite Kriterien. Die Literatur stellt mehrere etablierte theoretische Rahmen zur Verfügung, die sich ergänzen und in der späteren Evaluation des Lösungsvorschlags als Bewertungsmassstab dienen.</w:t>
      </w:r>
    </w:p>
    <w:p>
      <w:pPr>
        <w:pStyle w:val="Heading3"/>
        <w:spacing w:after="120" w:before="240"/>
      </w:pPr>
      <w:r>
        <w:rPr>
          <w:rFonts w:ascii="Arial" w:cs="Arial" w:eastAsia="Arial" w:hAnsi="Arial"/>
          <w:b/>
          <w:bCs/>
          <w:sz w:val="24"/>
          <w:szCs w:val="24"/>
        </w:rPr>
        <w:t xml:space="preserve">2.3.1  Self-Determination Theory (SDT)</w:t>
      </w:r>
    </w:p>
    <w:p>
      <w:pPr>
        <w:spacing w:after="160" w:before="0" w:line="360" w:lineRule="auto"/>
      </w:pPr>
      <w:r>
        <w:rPr>
          <w:rFonts w:ascii="Arial" w:cs="Arial" w:eastAsia="Arial" w:hAnsi="Arial"/>
          <w:sz w:val="22"/>
          <w:szCs w:val="22"/>
        </w:rPr>
        <w:t xml:space="preserve">Die Self-Determination Theory (Ryan &amp; Deci, 2000) liefert mit den drei psychologischen Grundbedürfnissen Autonomie, Kompetenz und soziale Eingebundenheit einen psychologischen Massstab für die Beurteilung digitaler Systeme. Mechanismen sind förderlich, wenn sie diese Bedürfnisse unterstützen, und schädlich, wenn sie sie untergraben. Insbesondere die Autonomie wird in den heutigen Plattformlogiken systematisch unterlaufen, wenn Nutzende durch manipulative Designmuster in Nutzungsschleifen gehalten werden (Peters, Calvo &amp; Ryan, 2018).</w:t>
      </w:r>
    </w:p>
    <w:p>
      <w:pPr>
        <w:spacing w:after="160" w:before="0" w:line="360" w:lineRule="auto"/>
      </w:pPr>
      <w:r>
        <w:rPr>
          <w:rFonts w:ascii="Arial" w:cs="Arial" w:eastAsia="Arial" w:hAnsi="Arial"/>
          <w:sz w:val="22"/>
          <w:szCs w:val="22"/>
        </w:rPr>
        <w:t xml:space="preserve">Peters et al. (2018) operationalisieren die SDT für die Gestaltung digitaler Produkte im METUX-Modell (Motivation, Engagement and Thriving in User Experience). METUX unterscheidet fünf Ebenen, auf denen ein System die Grundbedürfnisse fördern oder hemmen kann: Adoption, Interface, Aufgabe, Verhalten und Leben. Diese mehrstufige Sicht erlaubt es, Designentscheidungen differenziert daraufhin zu prüfen, ob sie das Wohlbefinden auf der unmittelbaren Bedienebene und zugleich auf der übergeordneten Ebene des Lebensvollzugs unterstützen.</w:t>
      </w:r>
    </w:p>
    <w:p>
      <w:pPr>
        <w:pStyle w:val="Heading3"/>
        <w:spacing w:after="120" w:before="240"/>
      </w:pPr>
      <w:r>
        <w:rPr>
          <w:rFonts w:ascii="Arial" w:cs="Arial" w:eastAsia="Arial" w:hAnsi="Arial"/>
          <w:b/>
          <w:bCs/>
          <w:sz w:val="24"/>
          <w:szCs w:val="24"/>
        </w:rPr>
        <w:t xml:space="preserve">2.3.2  Value-Sensitive Design (VSD)</w:t>
      </w:r>
    </w:p>
    <w:p>
      <w:pPr>
        <w:spacing w:after="160" w:before="0" w:line="360" w:lineRule="auto"/>
      </w:pPr>
      <w:r>
        <w:rPr>
          <w:rFonts w:ascii="Arial" w:cs="Arial" w:eastAsia="Arial" w:hAnsi="Arial"/>
          <w:sz w:val="22"/>
          <w:szCs w:val="22"/>
        </w:rPr>
        <w:t xml:space="preserve">Value-Sensitive Design (Hendry, Friedman &amp; Ballard, 2021) ist eine Methodik, die menschliche Werte systematisch in den Entwurf technischer Systeme einbezieht. Drei Untersuchungsebenen werden unterschieden: konzeptionell (welche Werte sind relevant?), empirisch (wie nehmen Betroffene diese Werte wahr?) und technisch (wie werden sie im System verankert?). VSD liefert einen strukturierten Rahmen, um Werte wie Autonomie, Transparenz oder Wohlbefinden explizit in Designentscheidungen zu überführen.</w:t>
      </w:r>
    </w:p>
    <w:p>
      <w:pPr>
        <w:pStyle w:val="Heading3"/>
        <w:spacing w:after="120" w:before="240"/>
      </w:pPr>
      <w:r>
        <w:rPr>
          <w:rFonts w:ascii="Arial" w:cs="Arial" w:eastAsia="Arial" w:hAnsi="Arial"/>
          <w:b/>
          <w:bCs/>
          <w:sz w:val="24"/>
          <w:szCs w:val="24"/>
        </w:rPr>
        <w:t xml:space="preserve">2.3.3  Digital Wellbeing</w:t>
      </w:r>
    </w:p>
    <w:p>
      <w:pPr>
        <w:spacing w:after="160" w:before="0" w:line="360" w:lineRule="auto"/>
      </w:pPr>
      <w:r>
        <w:rPr>
          <w:rFonts w:ascii="Arial" w:cs="Arial" w:eastAsia="Arial" w:hAnsi="Arial"/>
          <w:sz w:val="22"/>
          <w:szCs w:val="22"/>
        </w:rPr>
        <w:t xml:space="preserve">Digital Wellbeing beschreibt die Qualität des Medienkonsums aus Perspektive der Nutzenden. Calvo und Peters (2014) haben mit dem Ansatz des «Positive Computing» die grundlegende Forderung formuliert, dass digitale Systeme aktiv das menschliche Wohlbefinden und Aufblühen fördern sollen, statt es nur zu vermeiden, Schaden zu verursachen. Vanden Abeele (2021) betont ergänzend den dynamischen Charakter von Digital Wellbeing: Wellbeing ist keine absolute Grösse, sondern eine kontextabhängige Balance. Burr, Taddeo und Floridi (2020) fordern, dass Technologiedesign aktiv zum Wohlbefinden beitragen soll statt es zu untergraben, und entwickeln dafür einen thematischen Ordnungsrahmen. Peters, Ahmadpour und Calvo (2020) konkretisieren diesen Anspruch in einem Framework für Wellbeing-Supportive Design, das Features, Charakteristika und Prototypen systematisch katalogisiert.</w:t>
      </w:r>
    </w:p>
    <w:p>
      <w:pPr>
        <w:pStyle w:val="Heading3"/>
        <w:spacing w:after="120" w:before="240"/>
      </w:pPr>
      <w:r>
        <w:rPr>
          <w:rFonts w:ascii="Arial" w:cs="Arial" w:eastAsia="Arial" w:hAnsi="Arial"/>
          <w:b/>
          <w:bCs/>
          <w:sz w:val="24"/>
          <w:szCs w:val="24"/>
        </w:rPr>
        <w:t xml:space="preserve">2.3.4  Ethik von Empfehlungssystemen und algorithmische Souveränität</w:t>
      </w:r>
    </w:p>
    <w:p>
      <w:pPr>
        <w:spacing w:after="160" w:before="0" w:line="360" w:lineRule="auto"/>
      </w:pPr>
      <w:r>
        <w:rPr>
          <w:rFonts w:ascii="Arial" w:cs="Arial" w:eastAsia="Arial" w:hAnsi="Arial"/>
          <w:sz w:val="22"/>
          <w:szCs w:val="22"/>
        </w:rPr>
        <w:t xml:space="preserve">Milano et al. (2020) systematisieren die ethischen Herausforderungen von Empfehlungssystemen und argumentieren, dass neben Relevanz auch Diversität, Fairness und Nutzerwohl als Optimierungsziele verankert werden müssen. Reviglio und Agosti (2020) ergänzen die politische Dimension und fordern algorithmische Souveränität, also eine echte, bedeutungsvolle Kontrolle über die Algorithmen, die Inhalte kuratieren. Die in Abschnitt 1.6 beobachtete Asymmetrie zwischen System und Nutzenden lässt sich damit nicht nur als individueller Autonomieverlust (SDT), sondern auch als strukturelles Souveränitätsdefizit lesen.</w:t>
      </w:r>
    </w:p>
    <w:p>
      <w:pPr>
        <w:pStyle w:val="Heading3"/>
        <w:spacing w:after="120" w:before="240"/>
      </w:pPr>
      <w:r>
        <w:rPr>
          <w:rFonts w:ascii="Arial" w:cs="Arial" w:eastAsia="Arial" w:hAnsi="Arial"/>
          <w:b/>
          <w:bCs/>
          <w:sz w:val="24"/>
          <w:szCs w:val="24"/>
        </w:rPr>
        <w:t xml:space="preserve">2.3.5  Gebrauchstauglichkeit und Akzeptanz</w:t>
      </w:r>
    </w:p>
    <w:p>
      <w:pPr>
        <w:spacing w:after="160" w:before="0" w:line="360" w:lineRule="auto"/>
      </w:pPr>
      <w:r>
        <w:rPr>
          <w:rFonts w:ascii="Arial" w:cs="Arial" w:eastAsia="Arial" w:hAnsi="Arial"/>
          <w:sz w:val="22"/>
          <w:szCs w:val="22"/>
        </w:rPr>
        <w:t xml:space="preserve">Neben den normativen Kriterien spielt die klassische Gebrauchstauglichkeit eine Rolle. Der System Usability Scale (Brooke, 1996; Bangor, Kortum &amp; Miller, 2008) ist ein etabliertes, kurzes Messinstrument, das die subjektive Usability eines Systems mit zehn Items erhebt und in der vorliegenden Arbeit ergänzend zu den wellbeing-bezogenen Massen eingesetzt werden kann.</w:t>
      </w:r>
    </w:p>
    <w:p>
      <w:pPr>
        <w:pStyle w:val="Heading2"/>
        <w:spacing w:after="160" w:before="320"/>
      </w:pPr>
      <w:r>
        <w:rPr>
          <w:rFonts w:ascii="Arial" w:cs="Arial" w:eastAsia="Arial" w:hAnsi="Arial"/>
          <w:b/>
          <w:bCs/>
          <w:sz w:val="28"/>
          <w:szCs w:val="28"/>
        </w:rPr>
        <w:t xml:space="preserve">2.4  Gegenüberstellung der Medienmodelle</w:t>
      </w:r>
    </w:p>
    <w:p>
      <w:pPr>
        <w:spacing w:after="160" w:before="0" w:line="360" w:lineRule="auto"/>
      </w:pPr>
      <w:r>
        <w:rPr>
          <w:rFonts w:ascii="Arial" w:cs="Arial" w:eastAsia="Arial" w:hAnsi="Arial"/>
          <w:sz w:val="22"/>
          <w:szCs w:val="22"/>
        </w:rPr>
        <w:t xml:space="preserve">Die beschriebenen Mechanismen und Kriterien lassen sich entlang von drei idealtypischen Medienmodellen zusammenfassen: einem traditionell-redaktionellen Modell (z. B. öffentlich-rechtliches Radio), einem engagement-optimierten Modell (z. B. TikTok, Instagram) und einem wellbeing-orientierten Modell, das diese Arbeit konzipiert und prototypisch umsetzt.</w:t>
      </w:r>
    </w:p>
    <w:p>
      <w:pPr>
        <w:spacing w:after="160" w:before="0" w:line="360" w:lineRule="auto"/>
      </w:pPr>
      <w:r>
        <w:rPr>
          <w:rFonts w:ascii="Arial" w:cs="Arial" w:eastAsia="Arial" w:hAnsi="Arial"/>
          <w:sz w:val="22"/>
          <w:szCs w:val="22"/>
        </w:rPr>
        <w:t xml:space="preserve">Die Gegenüberstellung zeigt: Jedes Modell hat spezifische Stärken und Schwächen. Das redaktionelle Modell steht für Qualität und Pluralismus, bietet aber wenig Personalisierung und schlechtere Verfügbarkeit. Das engagement-optimierte Modell bietet hohe Relevanz und Verfügbarkeit, jedoch um den Preis von Vielfalt, Transparenz und Autonomie. Das wellbeing-orientierte Modell versucht, Personalisierung mit Transparenz, Nutzerkontrolle und Qualität zu verbinden, ist aber in der Praxis bisher kaum in durchgängigen Artefakten umgesetzt.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2400"/>
        <w:gridCol w:w="2400"/>
      </w:tblGrid>
      <w:tr>
        <w:trPr>
          <w:tblHeader/>
        </w:trPr>
        <w:tc>
          <w:tcPr>
            <w:tcW w:type="dxa" w:w="1900"/>
            <w:tcBorders>
              <w:top w:val="single" w:color="999999" w:sz="4"/>
              <w:left w:val="single" w:color="999999" w:sz="4"/>
              <w:bottom w:val="single" w:color="999999" w:sz="4"/>
              <w:right w:val="single" w:color="999999" w:sz="4"/>
            </w:tcBorders>
            <w:shd w:fill="E8E8E8" w:color="auto" w:val="clear"/>
            <w:tcMar>
              <w:top w:type="dxa" w:w="80"/>
              <w:left w:type="dxa" w:w="120"/>
              <w:bottom w:type="dxa" w:w="80"/>
              <w:right w:type="dxa" w:w="120"/>
            </w:tcMar>
          </w:tcPr>
          <w:p>
            <w:pPr>
              <w:spacing w:after="0"/>
            </w:pPr>
            <w:r>
              <w:rPr>
                <w:rFonts w:ascii="Arial" w:cs="Arial" w:eastAsia="Arial" w:hAnsi="Arial"/>
                <w:b/>
                <w:bCs/>
                <w:sz w:val="20"/>
                <w:szCs w:val="20"/>
              </w:rPr>
              <w:t xml:space="preserve">Dimension</w:t>
            </w:r>
          </w:p>
        </w:tc>
        <w:tc>
          <w:tcPr>
            <w:tcW w:type="dxa" w:w="2300"/>
            <w:tcBorders>
              <w:top w:val="single" w:color="999999" w:sz="4"/>
              <w:left w:val="single" w:color="999999" w:sz="4"/>
              <w:bottom w:val="single" w:color="999999" w:sz="4"/>
              <w:right w:val="single" w:color="999999" w:sz="4"/>
            </w:tcBorders>
            <w:shd w:fill="E8E8E8" w:color="auto" w:val="clear"/>
            <w:tcMar>
              <w:top w:type="dxa" w:w="80"/>
              <w:left w:type="dxa" w:w="120"/>
              <w:bottom w:type="dxa" w:w="80"/>
              <w:right w:type="dxa" w:w="120"/>
            </w:tcMar>
          </w:tcPr>
          <w:p>
            <w:pPr>
              <w:spacing w:after="0"/>
            </w:pPr>
            <w:r>
              <w:rPr>
                <w:rFonts w:ascii="Arial" w:cs="Arial" w:eastAsia="Arial" w:hAnsi="Arial"/>
                <w:b/>
                <w:bCs/>
                <w:sz w:val="20"/>
                <w:szCs w:val="20"/>
              </w:rPr>
              <w:t xml:space="preserve">Redaktionelles Modell</w:t>
            </w:r>
          </w:p>
        </w:tc>
        <w:tc>
          <w:tcPr>
            <w:tcW w:type="dxa" w:w="2400"/>
            <w:tcBorders>
              <w:top w:val="single" w:color="999999" w:sz="4"/>
              <w:left w:val="single" w:color="999999" w:sz="4"/>
              <w:bottom w:val="single" w:color="999999" w:sz="4"/>
              <w:right w:val="single" w:color="999999" w:sz="4"/>
            </w:tcBorders>
            <w:shd w:fill="E8E8E8" w:color="auto" w:val="clear"/>
            <w:tcMar>
              <w:top w:type="dxa" w:w="80"/>
              <w:left w:type="dxa" w:w="120"/>
              <w:bottom w:type="dxa" w:w="80"/>
              <w:right w:type="dxa" w:w="120"/>
            </w:tcMar>
          </w:tcPr>
          <w:p>
            <w:pPr>
              <w:spacing w:after="0"/>
            </w:pPr>
            <w:r>
              <w:rPr>
                <w:rFonts w:ascii="Arial" w:cs="Arial" w:eastAsia="Arial" w:hAnsi="Arial"/>
                <w:b/>
                <w:bCs/>
                <w:sz w:val="20"/>
                <w:szCs w:val="20"/>
              </w:rPr>
              <w:t xml:space="preserve">Engagement-optimiertes Modell</w:t>
            </w:r>
          </w:p>
        </w:tc>
        <w:tc>
          <w:tcPr>
            <w:tcW w:type="dxa" w:w="2400"/>
            <w:tcBorders>
              <w:top w:val="single" w:color="999999" w:sz="4"/>
              <w:left w:val="single" w:color="999999" w:sz="4"/>
              <w:bottom w:val="single" w:color="999999" w:sz="4"/>
              <w:right w:val="single" w:color="999999" w:sz="4"/>
            </w:tcBorders>
            <w:shd w:fill="E8E8E8" w:color="auto" w:val="clear"/>
            <w:tcMar>
              <w:top w:type="dxa" w:w="80"/>
              <w:left w:type="dxa" w:w="120"/>
              <w:bottom w:type="dxa" w:w="80"/>
              <w:right w:type="dxa" w:w="120"/>
            </w:tcMar>
          </w:tcPr>
          <w:p>
            <w:pPr>
              <w:spacing w:after="0"/>
            </w:pPr>
            <w:r>
              <w:rPr>
                <w:rFonts w:ascii="Arial" w:cs="Arial" w:eastAsia="Arial" w:hAnsi="Arial"/>
                <w:b/>
                <w:bCs/>
                <w:sz w:val="20"/>
                <w:szCs w:val="20"/>
              </w:rPr>
              <w:t xml:space="preserve">Wellbeing-orientiertes Modell</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Kuration</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Menschliche Redaktion</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Algorithmisch, auf Verweildauer optimiert</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Algorithmisch, auf Nutzerwohl optimiert</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Transparenz</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Redaktionsstatut, öffentliche Leitlinien</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Black-Box-Algorithmus</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Nachvollziehbare Kriterien, offene Logik</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Nutzerkontrolle</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Gering (fixer Programmplan)</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Minimal (Like/Skip, Interessen-Tagging)</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Aktiv (Themen, Filter, Intensität)</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Inhaltsvielfalt</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Pluralismusauftrag</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Filterblasen, Echokammern</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Bewusste Diversifikation, Serendipität</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Zeitmanagement</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Sendezeiten, Programmrahmen</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Endloses Scrollen, Autoplay</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Definierte Länge, natürliche Pausen</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Finanzierung</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Gebühren, Abonnement</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Werbung, Datenhandel</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Variabel (Gebühren, Abo, Stiftung)</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Leitwert</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Qualität, Pluralismus</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Gewinnmaximierung</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Arial" w:cs="Arial" w:eastAsia="Arial" w:hAnsi="Arial"/>
                <w:sz w:val="20"/>
                <w:szCs w:val="20"/>
              </w:rPr>
              <w:t xml:space="preserve">Nutzerwohl, Autonomie</w:t>
            </w:r>
          </w:p>
        </w:tc>
      </w:tr>
    </w:tbl>
    <w:p>
      <w:pPr>
        <w:pStyle w:val="Heading2"/>
        <w:spacing w:after="160" w:before="320"/>
      </w:pPr>
      <w:r>
        <w:rPr>
          <w:rFonts w:ascii="Arial" w:cs="Arial" w:eastAsia="Arial" w:hAnsi="Arial"/>
          <w:b/>
          <w:bCs/>
          <w:sz w:val="28"/>
          <w:szCs w:val="28"/>
        </w:rPr>
        <w:t xml:space="preserve">2.5  Forschungslücke</w:t>
      </w:r>
    </w:p>
    <w:p>
      <w:pPr>
        <w:spacing w:after="160" w:before="0" w:line="360" w:lineRule="auto"/>
      </w:pPr>
      <w:r>
        <w:rPr>
          <w:rFonts w:ascii="Arial" w:cs="Arial" w:eastAsia="Arial" w:hAnsi="Arial"/>
          <w:sz w:val="22"/>
          <w:szCs w:val="22"/>
        </w:rPr>
        <w:t xml:space="preserve">Aus der Literatur wird deutlich, dass die theoretischen Grundlagen für eine nutzerzentrierte, wellbeing-orientierte Gestaltung digitaler Medien vorhanden sind: Self-Determination Theory, Value-Sensitive Design, Digital Wellbeing, Persuasive Technology und algorithmische Souveränität liefern einen dichten konzeptionellen Rahmen. Auch die Probleme der engagement-getriebenen Modelle sind sowohl theoretisch als auch empirisch gut dokumentiert.</w:t>
      </w:r>
    </w:p>
    <w:p>
      <w:pPr>
        <w:spacing w:after="160" w:before="0" w:line="360" w:lineRule="auto"/>
      </w:pPr>
      <w:r>
        <w:rPr>
          <w:rFonts w:ascii="Arial" w:cs="Arial" w:eastAsia="Arial" w:hAnsi="Arial"/>
          <w:sz w:val="22"/>
          <w:szCs w:val="22"/>
        </w:rPr>
        <w:t xml:space="preserve">Gleichzeitig fehlen konkrete, lauffähige Artefakte, die diese Prinzipien in einem integrierten System zeigen. Bestehende Ansätze bleiben entweder auf konzeptioneller Ebene (Peters et al., 2020; Hendry et al., 2021) oder beschränken sich auf einzelne Features wie Bildschirmzeit-Tracker und Wochenberichte, die der strukturellen Logik der Plattformen nichts entgegensetzen. Ein durchgängiges Demonstrationsmedium, das Personalisierung, Transparenz und Wellbeing in einem funktionierenden System verbindet und damit der Engagement-Logik ein konkretes Gegenmodell zur Seite stellt, steht aus. Genau diese Lücke adressiert die vorliegende Arbeit; die Forschungsfrage sowie der Lösungsvorschlag werden in den nachfolgenden Kapiteln entwickelt.</w:t>
      </w:r>
    </w:p>
    <w:p>
      <w:pPr>
        <w:pStyle w:val="Heading1"/>
        <w:pageBreakBefore/>
        <w:spacing w:after="240" w:before="480"/>
      </w:pPr>
      <w:r>
        <w:rPr>
          <w:rFonts w:ascii="Arial" w:cs="Arial" w:eastAsia="Arial" w:hAnsi="Arial"/>
          <w:b/>
          <w:bCs/>
          <w:sz w:val="32"/>
          <w:szCs w:val="32"/>
        </w:rPr>
        <w:t xml:space="preserve">3  Radio 25 als Forschungsartefakt</w:t>
      </w:r>
    </w:p>
    <w:p>
      <w:pPr>
        <w:spacing w:after="160" w:before="0" w:line="360" w:lineRule="auto"/>
      </w:pPr>
      <w:r>
        <w:rPr>
          <w:rFonts w:ascii="Arial" w:cs="Arial" w:eastAsia="Arial" w:hAnsi="Arial"/>
          <w:sz w:val="22"/>
          <w:szCs w:val="22"/>
        </w:rPr>
        <w:t xml:space="preserve">Aus der in Kapitel 2 dargestellten Forschungslücke leitet sich die Notwendigkeit eines konkreten, lauffähigen Demonstrationsmediums ab, an dem die diskutierten Prinzipien der nutzerzentrierten Personalisierung sicht- und untersuchbar werden. Die vorliegende Arbeit setzt diesen Lösungsvorschlag in Form eines vollautomatisierten, KI-gestützten Radios um, im Folgenden als Radio 25 bezeichnet. Dieses Kapitel begründet die Wahl des Mediums, beschreibt den geplanten Untersuchungsgegenstand und ordnet die zu untersuchenden Mechanismen den in Kapitel 2 entwickelten Beurteilungsgrundlagen zu.</w:t>
      </w:r>
    </w:p>
    <w:p>
      <w:pPr>
        <w:pStyle w:val="Heading2"/>
        <w:spacing w:after="160" w:before="320"/>
      </w:pPr>
      <w:r>
        <w:rPr>
          <w:rFonts w:ascii="Arial" w:cs="Arial" w:eastAsia="Arial" w:hAnsi="Arial"/>
          <w:b/>
          <w:bCs/>
          <w:sz w:val="28"/>
          <w:szCs w:val="28"/>
        </w:rPr>
        <w:t xml:space="preserve">3.1  Warum ein Radio als Untersuchungsmedium?</w:t>
      </w:r>
    </w:p>
    <w:p>
      <w:pPr>
        <w:spacing w:after="160" w:before="0" w:line="360" w:lineRule="auto"/>
      </w:pPr>
      <w:r>
        <w:rPr>
          <w:rFonts w:ascii="Arial" w:cs="Arial" w:eastAsia="Arial" w:hAnsi="Arial"/>
          <w:sz w:val="22"/>
          <w:szCs w:val="22"/>
        </w:rPr>
        <w:t xml:space="preserve">Ein Radio eignet sich aus mehreren Gründen besonders gut, um die Spannungsfelder zwischen Engagement-Optimierung und Nutzerwohl experimentell zu untersuchen.</w:t>
      </w:r>
    </w:p>
    <w:p>
      <w:pPr>
        <w:spacing w:after="160" w:before="0" w:line="360" w:lineRule="auto"/>
      </w:pPr>
      <w:r>
        <w:rPr>
          <w:rFonts w:ascii="Arial" w:cs="Arial" w:eastAsia="Arial" w:hAnsi="Arial"/>
          <w:sz w:val="22"/>
          <w:szCs w:val="22"/>
        </w:rPr>
        <w:t xml:space="preserve">Erstens vereint ein Radio in einem einzigen Format mehrere Inhaltsarten, die in der bisherigen Forschung getrennt betrachtet werden: Nachrichten, Wetter- und Service-Informationen, Moderation, Musik sowie Jingles. Damit lassen sich an einem Artefakt sowohl informative als auch unterhaltende Bedürfnisse abbilden, die der Uses-and-Gratifications-Ansatz unterscheidet (Katz et al., 1973), und es können verschiedene Empfehlungs- und Kurationsmechanismen unter realistischen Bedingungen kombiniert werden.</w:t>
      </w:r>
    </w:p>
    <w:p>
      <w:pPr>
        <w:spacing w:after="160" w:before="0" w:line="360" w:lineRule="auto"/>
      </w:pPr>
      <w:r>
        <w:rPr>
          <w:rFonts w:ascii="Arial" w:cs="Arial" w:eastAsia="Arial" w:hAnsi="Arial"/>
          <w:sz w:val="22"/>
          <w:szCs w:val="22"/>
        </w:rPr>
        <w:t xml:space="preserve">Zweitens ist Radio ein lineares, zeitlich gerahmtes Medium. Im Gegensatz zu Feeds mit endlosem Scrollen besitzt eine Sendung einen definierten Anfang und ein definiertes Ende. Diese Eigenschaft macht es möglich, gezielt diejenigen Designmuster zu vermeiden, die in Kapitel 1 als problematisch identifiziert wurden (endloses Scrollen, Autoplay, künstliche Verlängerung von Sessions), und stattdessen alternative, wellbeing-fördernde Strukturen wie natürliche Pausen, klare Sendungslängen und bewusste Abschlusspunkte zu erproben (Vanden Abeele, 2021; Peters et al., 2018).</w:t>
      </w:r>
    </w:p>
    <w:p>
      <w:pPr>
        <w:spacing w:after="160" w:before="0" w:line="360" w:lineRule="auto"/>
      </w:pPr>
      <w:r>
        <w:rPr>
          <w:rFonts w:ascii="Arial" w:cs="Arial" w:eastAsia="Arial" w:hAnsi="Arial"/>
          <w:sz w:val="22"/>
          <w:szCs w:val="22"/>
        </w:rPr>
        <w:t xml:space="preserve">Drittens ist Radio ein begleitendes Medium. Es wird häufig parallel zu anderen Tätigkeiten konsumiert (am Morgen, beim Pendeln, bei der Arbeit) und nimmt damit eine Rolle ein, die sich von aufmerksamkeitsbindenden visuellen Plattformen wesentlich unterscheidet. Diese Nutzungsform ist mit den Zielen von Digital Wellbeing kompatibler als mit denen einer rein visuellen Aufmerksamkeitsökonomie und stellt deshalb einen besonders ehrlichen Prüfstand für nutzerzentrierte Personalisierung dar.</w:t>
      </w:r>
    </w:p>
    <w:p>
      <w:pPr>
        <w:spacing w:after="160" w:before="0" w:line="360" w:lineRule="auto"/>
      </w:pPr>
      <w:r>
        <w:rPr>
          <w:rFonts w:ascii="Arial" w:cs="Arial" w:eastAsia="Arial" w:hAnsi="Arial"/>
          <w:sz w:val="22"/>
          <w:szCs w:val="22"/>
        </w:rPr>
        <w:t xml:space="preserve">Viertens lässt sich an einem vollautomatisierten Radio die gesamte Wertschöpfungskette technisch beherrschen. Die Inhalte werden nicht aus einem geschlossenen Empfehlungssystem eines Drittanbieters bezogen, sondern in einer eigenen Pipeline aus Quellen-Aggregation, Sprachmodell-basierter Moderation und Sprachsynthese erzeugt. Dadurch lassen sich Personalisierungslogik, Transparenz, Diversität und Nutzerkontrolle in einem einzigen, durchgängigen System experimentell variieren, was bei kommerziellen Plattformen aus methodischen Gründen ausgeschlossen ist.</w:t>
      </w:r>
    </w:p>
    <w:p>
      <w:pPr>
        <w:spacing w:after="160" w:before="0" w:line="360" w:lineRule="auto"/>
      </w:pPr>
      <w:r>
        <w:rPr>
          <w:rFonts w:ascii="Arial" w:cs="Arial" w:eastAsia="Arial" w:hAnsi="Arial"/>
          <w:sz w:val="22"/>
          <w:szCs w:val="22"/>
        </w:rPr>
        <w:t xml:space="preserve">Fünftens existiert mit dem öffentlich-rechtlichen Radio (SRF, DLF, BBC) ein etabliertes redaktionelles Vergleichsmodell, das sich an Pluralismus und Qualität orientiert. Damit liegt für jede der drei in Abschnitt 2.4 verglichenen Medienlogiken (redaktionell, engagement-optimiert, wellbeing-orientiert) ein realer oder konstruierter Referenzfall vor, an dem sich das wellbeing-orientierte Modell argumentativ wie empirisch positionieren kann.</w:t>
      </w:r>
    </w:p>
    <w:p>
      <w:pPr>
        <w:pStyle w:val="Heading2"/>
        <w:spacing w:after="160" w:before="320"/>
      </w:pPr>
      <w:r>
        <w:rPr>
          <w:rFonts w:ascii="Arial" w:cs="Arial" w:eastAsia="Arial" w:hAnsi="Arial"/>
          <w:b/>
          <w:bCs/>
          <w:sz w:val="28"/>
          <w:szCs w:val="28"/>
        </w:rPr>
        <w:t xml:space="preserve">3.2  Warum genau dieser Radio-Prototyp?</w:t>
      </w:r>
    </w:p>
    <w:p>
      <w:pPr>
        <w:spacing w:after="160" w:before="0" w:line="360" w:lineRule="auto"/>
      </w:pPr>
      <w:r>
        <w:rPr>
          <w:rFonts w:ascii="Arial" w:cs="Arial" w:eastAsia="Arial" w:hAnsi="Arial"/>
          <w:sz w:val="22"/>
          <w:szCs w:val="22"/>
        </w:rPr>
        <w:t xml:space="preserve">Aus den genannten Gründen wäre prinzipiell jedes Radio als Forschungsobjekt geeignet. Zwei Eigenschaften machen jedoch genau die in dieser Arbeit umgesetzte Form, also ein vollautomatisiertes, KI-gestütztes und individuell zugeschnittenes Radio, besonders aussagekräftig.</w:t>
      </w:r>
    </w:p>
    <w:p>
      <w:pPr>
        <w:spacing w:after="160" w:before="0" w:line="360" w:lineRule="auto"/>
      </w:pPr>
      <w:r>
        <w:rPr>
          <w:rFonts w:ascii="Arial" w:cs="Arial" w:eastAsia="Arial" w:hAnsi="Arial"/>
          <w:sz w:val="22"/>
          <w:szCs w:val="22"/>
        </w:rPr>
        <w:t xml:space="preserve">Zum einen erlaubt die Vollautomatisierung über Sprachmodelle und Sprachsynthese erst eine echte Personalisierung, die über die Auswahl von Themen oder Sendern hinausgeht. Wo klassische Radios denselben linearen Programmstrom an alle Hörerinnen und Hörer ausspielen, kann ein automatisiertes Radio für jede einzelne Person Inhalte, Tonalität, Reihenfolge und Länge der Sendung individuell zusammenstellen. Damit wird ein Mechanismus untersuchbar, den klassische Radios technisch gar nicht bedienen können: Personalisierung als kontextsensitive, nutzerinitiierte Anpassung.</w:t>
      </w:r>
    </w:p>
    <w:p>
      <w:pPr>
        <w:spacing w:after="160" w:before="0" w:line="360" w:lineRule="auto"/>
      </w:pPr>
      <w:r>
        <w:rPr>
          <w:rFonts w:ascii="Arial" w:cs="Arial" w:eastAsia="Arial" w:hAnsi="Arial"/>
          <w:sz w:val="22"/>
          <w:szCs w:val="22"/>
        </w:rPr>
        <w:t xml:space="preserve">Zum anderen demonstriert ein KI-gestütztes Radio dieselben Technologien, die in kommerziellen Plattformen heute zur Engagement-Optimierung eingesetzt werden, jedoch konsequent mit umgekehrter Zielfunktion: nicht Verweildauer und Klickrate, sondern Autonomie, Transparenz und subjektives Wohlbefinden. Genau diese Umkehrung der Optimierungsfunktion bei sonst vergleichbarem Technologie-Stack ist die methodische Pointe der Arbeit. Sie erlaubt es, zu zeigen, dass die problematischen Effekte engagement-optimierter Systeme nicht in der zugrundeliegenden Technologie selbst, sondern in deren Zielsetzung begründet liegen.</w:t>
      </w:r>
    </w:p>
    <w:p>
      <w:pPr>
        <w:spacing w:after="160" w:before="0" w:line="360" w:lineRule="auto"/>
      </w:pPr>
      <w:r>
        <w:rPr>
          <w:rFonts w:ascii="Arial" w:cs="Arial" w:eastAsia="Arial" w:hAnsi="Arial"/>
          <w:sz w:val="22"/>
          <w:szCs w:val="22"/>
        </w:rPr>
        <w:t xml:space="preserve">Schliesslich ist ein Radio als Forschungsartefakt mit überschaubarem Aufwand realisierbar und gleichzeitig reichhaltig genug, um die zentralen Designentscheidungen einer wellbeing-orientierten Plattform durchgängig abzubilden. Es benötigt keinen redaktionellen Apparat, keine soziale Komponente und keine Empfehlungs-Infrastruktur eines Drittanbieters und kann dennoch Personalisierung, Inhaltsdiversität, Transparenz und Zeitgestaltung in einem konsistenten Erlebnis kombinieren.</w:t>
      </w:r>
    </w:p>
    <w:p>
      <w:pPr>
        <w:pStyle w:val="Heading2"/>
        <w:spacing w:after="160" w:before="320"/>
      </w:pPr>
      <w:r>
        <w:rPr>
          <w:rFonts w:ascii="Arial" w:cs="Arial" w:eastAsia="Arial" w:hAnsi="Arial"/>
          <w:b/>
          <w:bCs/>
          <w:sz w:val="28"/>
          <w:szCs w:val="28"/>
        </w:rPr>
        <w:t xml:space="preserve">3.3  Was an Radio 25 konkret umgesetzt wird</w:t>
      </w:r>
    </w:p>
    <w:p>
      <w:pPr>
        <w:spacing w:after="160" w:before="0" w:line="360" w:lineRule="auto"/>
      </w:pPr>
      <w:r>
        <w:rPr>
          <w:rFonts w:ascii="Arial" w:cs="Arial" w:eastAsia="Arial" w:hAnsi="Arial"/>
          <w:sz w:val="22"/>
          <w:szCs w:val="22"/>
        </w:rPr>
        <w:t xml:space="preserve">Radio 25 ist als prototypischer Demonstrator konzipiert, der die in Kapitel 2 beschriebenen Mechanismen exemplarisch in einer wellbeing-orientierten Variante zeigt. Die folgenden Bausteine werden umgesetzt.</w:t>
      </w:r>
    </w:p>
    <w:p>
      <w:pPr>
        <w:pStyle w:val="Heading3"/>
        <w:spacing w:after="120" w:before="240"/>
      </w:pPr>
      <w:r>
        <w:rPr>
          <w:rFonts w:ascii="Arial" w:cs="Arial" w:eastAsia="Arial" w:hAnsi="Arial"/>
          <w:b/>
          <w:bCs/>
          <w:sz w:val="24"/>
          <w:szCs w:val="24"/>
        </w:rPr>
        <w:t xml:space="preserve">3.3.1  Explizite Präferenzangaben und Profilkonstruktion</w:t>
      </w:r>
    </w:p>
    <w:p>
      <w:pPr>
        <w:spacing w:after="160" w:before="0" w:line="360" w:lineRule="auto"/>
      </w:pPr>
      <w:r>
        <w:rPr>
          <w:rFonts w:ascii="Arial" w:cs="Arial" w:eastAsia="Arial" w:hAnsi="Arial"/>
          <w:sz w:val="22"/>
          <w:szCs w:val="22"/>
        </w:rPr>
        <w:t xml:space="preserve">Die Hörerinnen und Hörer geben ihre Interessen, ihren Standort und einen Moderationsstil aktiv und nachvollziehbar an. Anders als bei Plattformen, die Profile primär aus implizitem Verhalten lernen, bleibt das Profil bei Radio 25 transparent, einsehbar und jederzeit veränderbar. Damit wird die Anforderung an algorithmische Souveränität (Reviglio &amp; Agosti, 2020) konkret operationalisierbar, ohne die Nutzenden mit einem aufwendigen Konfigurationsritual zu überfordern.</w:t>
      </w:r>
    </w:p>
    <w:p>
      <w:pPr>
        <w:pStyle w:val="Heading3"/>
        <w:spacing w:after="120" w:before="240"/>
      </w:pPr>
      <w:r>
        <w:rPr>
          <w:rFonts w:ascii="Arial" w:cs="Arial" w:eastAsia="Arial" w:hAnsi="Arial"/>
          <w:b/>
          <w:bCs/>
          <w:sz w:val="24"/>
          <w:szCs w:val="24"/>
        </w:rPr>
        <w:t xml:space="preserve">3.3.2  Vollautomatisierte Sendungspipeline</w:t>
      </w:r>
    </w:p>
    <w:p>
      <w:pPr>
        <w:spacing w:after="160" w:before="0" w:line="360" w:lineRule="auto"/>
      </w:pPr>
      <w:r>
        <w:rPr>
          <w:rFonts w:ascii="Arial" w:cs="Arial" w:eastAsia="Arial" w:hAnsi="Arial"/>
          <w:sz w:val="22"/>
          <w:szCs w:val="22"/>
        </w:rPr>
        <w:t xml:space="preserve">Eine einzige Pipeline aggregiert Nachrichten- und Wetterdaten aus offenen Quellen, generiert daraus mit einem Sprachmodell die Moderationstexte und überführt diese mit einer Sprachsynthese in eine zusammenhängende Sendung aus Jingles, Begrüssung, Nachrichten, Musik, Wetter und Verabschiedung. Sie ersetzt die klassische Redaktion durch eine maschinelle, aber regelgeleitete Inhaltsproduktion und macht das Funktionsprinzip kommerzieller Empfehlungs-Pipelines an einem nicht-kommerziellen Beispiel sichtbar.</w:t>
      </w:r>
    </w:p>
    <w:p>
      <w:pPr>
        <w:pStyle w:val="Heading3"/>
        <w:spacing w:after="120" w:before="240"/>
      </w:pPr>
      <w:r>
        <w:rPr>
          <w:rFonts w:ascii="Arial" w:cs="Arial" w:eastAsia="Arial" w:hAnsi="Arial"/>
          <w:b/>
          <w:bCs/>
          <w:sz w:val="24"/>
          <w:szCs w:val="24"/>
        </w:rPr>
        <w:t xml:space="preserve">3.3.3  Kuratierungs- und Empfehlungslogik mit alternativem Zielwert</w:t>
      </w:r>
    </w:p>
    <w:p>
      <w:pPr>
        <w:spacing w:after="160" w:before="0" w:line="360" w:lineRule="auto"/>
      </w:pPr>
      <w:r>
        <w:rPr>
          <w:rFonts w:ascii="Arial" w:cs="Arial" w:eastAsia="Arial" w:hAnsi="Arial"/>
          <w:sz w:val="22"/>
          <w:szCs w:val="22"/>
        </w:rPr>
        <w:t xml:space="preserve">Die Auswahl und Reihenfolge der Inhalte folgt nicht der Maximierung von Verweildauer, sondern explizit definierten, am Nutzerwohl ausgerichteten Kriterien: thematische Vielfalt im Sinne einer bewussten Diversifikation, Eignung für den Tageszeitkontext und Übereinstimmung mit den deklarierten Präferenzen. Damit werden die in Abschnitt 2.2.3 beschriebenen Empfehlungsparadigmen (Ricci et al., 2015) auf eine wellbeing-orientierte Zielfunktion umgestellt, wie sie Milano et al. (2020) und Peters et al. (2020) als notwendig erachten.</w:t>
      </w:r>
    </w:p>
    <w:p>
      <w:pPr>
        <w:pStyle w:val="Heading3"/>
        <w:spacing w:after="120" w:before="240"/>
      </w:pPr>
      <w:r>
        <w:rPr>
          <w:rFonts w:ascii="Arial" w:cs="Arial" w:eastAsia="Arial" w:hAnsi="Arial"/>
          <w:b/>
          <w:bCs/>
          <w:sz w:val="24"/>
          <w:szCs w:val="24"/>
        </w:rPr>
        <w:t xml:space="preserve">3.3.4  Definierte Sessiongestaltung statt endlosem Strom</w:t>
      </w:r>
    </w:p>
    <w:p>
      <w:pPr>
        <w:spacing w:after="160" w:before="0" w:line="360" w:lineRule="auto"/>
      </w:pPr>
      <w:r>
        <w:rPr>
          <w:rFonts w:ascii="Arial" w:cs="Arial" w:eastAsia="Arial" w:hAnsi="Arial"/>
          <w:sz w:val="22"/>
          <w:szCs w:val="22"/>
        </w:rPr>
        <w:t xml:space="preserve">Eine Sendung hat eine feste, kommunizierte Länge und endet hörbar mit einer Verabschiedung und einem Outro-Jingle. Es gibt keinen Autoplay-Anschluss, kein endloses Scrollen, keine algorithmisch gesteuerten «Empfehlungs-Cliffhanger». Diese strukturelle Entscheidung adressiert direkt die in Abschnitt 1.3 beschriebenen manipulativen Designmuster und übersetzt die METUX-Forderung nach Autonomie auf der Verhaltensebene (Peters et al., 2018) in ein konkretes Sendungsformat.</w:t>
      </w:r>
    </w:p>
    <w:p>
      <w:pPr>
        <w:pStyle w:val="Heading3"/>
        <w:spacing w:after="120" w:before="240"/>
      </w:pPr>
      <w:r>
        <w:rPr>
          <w:rFonts w:ascii="Arial" w:cs="Arial" w:eastAsia="Arial" w:hAnsi="Arial"/>
          <w:b/>
          <w:bCs/>
          <w:sz w:val="24"/>
          <w:szCs w:val="24"/>
        </w:rPr>
        <w:t xml:space="preserve">3.3.5  Transparenz über Quellen, Logik und Personalisierung</w:t>
      </w:r>
    </w:p>
    <w:p>
      <w:pPr>
        <w:spacing w:after="160" w:before="0" w:line="360" w:lineRule="auto"/>
      </w:pPr>
      <w:r>
        <w:rPr>
          <w:rFonts w:ascii="Arial" w:cs="Arial" w:eastAsia="Arial" w:hAnsi="Arial"/>
          <w:sz w:val="22"/>
          <w:szCs w:val="22"/>
        </w:rPr>
        <w:t xml:space="preserve">Die Hörerinnen und Hörer können einsehen, aus welchen Quellen die Nachrichten stammen, welche Präferenzen welche Inhalte wie beeinflusst haben und welche Schritte die Pipeline durchlaufen hat. Damit wird der Black-Box-Charakter heutiger Empfehlungssysteme bewusst aufgebrochen und das Konzept der algorithmischen Souveränität (Reviglio &amp; Agosti, 2020) in einer für die Nutzenden zugänglichen Form operationalisiert.</w:t>
      </w:r>
    </w:p>
    <w:p>
      <w:pPr>
        <w:pStyle w:val="Heading2"/>
        <w:spacing w:after="160" w:before="320"/>
      </w:pPr>
      <w:r>
        <w:rPr>
          <w:rFonts w:ascii="Arial" w:cs="Arial" w:eastAsia="Arial" w:hAnsi="Arial"/>
          <w:b/>
          <w:bCs/>
          <w:sz w:val="28"/>
          <w:szCs w:val="28"/>
        </w:rPr>
        <w:t xml:space="preserve">3.4  Welche Mechanismen am Radio untersucht und verbessert werden</w:t>
      </w:r>
    </w:p>
    <w:p>
      <w:pPr>
        <w:spacing w:after="160" w:before="0" w:line="360" w:lineRule="auto"/>
      </w:pPr>
      <w:r>
        <w:rPr>
          <w:rFonts w:ascii="Arial" w:cs="Arial" w:eastAsia="Arial" w:hAnsi="Arial"/>
          <w:sz w:val="22"/>
          <w:szCs w:val="22"/>
        </w:rPr>
        <w:t xml:space="preserve">Aus den Bausteinen ergeben sich die Mechanismen, an denen die Arbeit experimentell ansetzt. Sie korrespondieren mit den in Abschnitt 2.3 beschriebenen Mechanismen aktueller Medienangebote und werden im wellbeing-orientierten Modell systematisch umakzentuiert.</w:t>
      </w:r>
    </w:p>
    <w:p>
      <w:pPr>
        <w:pStyle w:val="ListParagraph"/>
        <w:numPr>
          <w:ilvl w:val="0"/>
          <w:numId w:val="2"/>
        </w:numPr>
        <w:spacing w:after="80" w:line="360" w:lineRule="auto"/>
      </w:pPr>
      <w:r>
        <w:rPr>
          <w:rFonts w:ascii="Arial" w:cs="Arial" w:eastAsia="Arial" w:hAnsi="Arial"/>
          <w:sz w:val="22"/>
          <w:szCs w:val="22"/>
        </w:rPr>
        <w:t xml:space="preserve">Profil- und Präferenzbildung: Wie wirkt sich ein explizit deklariertes Profil im Vergleich zu impliziter Verhaltensanalyse auf das wahrgenommene Autonomie- und Kompetenzerleben aus (Ryan &amp; Deci, 2000; Peters et al., 2018)?</w:t>
      </w:r>
    </w:p>
    <w:p>
      <w:pPr>
        <w:pStyle w:val="ListParagraph"/>
        <w:numPr>
          <w:ilvl w:val="0"/>
          <w:numId w:val="2"/>
        </w:numPr>
        <w:spacing w:after="80" w:line="360" w:lineRule="auto"/>
      </w:pPr>
      <w:r>
        <w:rPr>
          <w:rFonts w:ascii="Arial" w:cs="Arial" w:eastAsia="Arial" w:hAnsi="Arial"/>
          <w:sz w:val="22"/>
          <w:szCs w:val="22"/>
        </w:rPr>
        <w:t xml:space="preserve">Personalisierte Kuratierung mit alternativer Zielfunktion: Welche Effekte hat eine auf Vielfalt, Tageskontext und Selbstbestimmung optimierte Auswahl gegenüber einer engagement-optimierten Empfehlungslogik (Nguyen et al., 2014; Milano et al., 2020)?</w:t>
      </w:r>
    </w:p>
    <w:p>
      <w:pPr>
        <w:pStyle w:val="ListParagraph"/>
        <w:numPr>
          <w:ilvl w:val="0"/>
          <w:numId w:val="2"/>
        </w:numPr>
        <w:spacing w:after="80" w:line="360" w:lineRule="auto"/>
      </w:pPr>
      <w:r>
        <w:rPr>
          <w:rFonts w:ascii="Arial" w:cs="Arial" w:eastAsia="Arial" w:hAnsi="Arial"/>
          <w:sz w:val="22"/>
          <w:szCs w:val="22"/>
        </w:rPr>
        <w:t xml:space="preserve">Sessiongestaltung: Wie wirken eine definierte Sendungslänge und ein bewusst gesetzter Abschluss im Vergleich zu endlosen Strömen auf die subjektive Zufriedenheit, das Zeitempfinden und die Nutzungskontrolle (Vanden Abeele, 2021; Montag et al., 2019)?</w:t>
      </w:r>
    </w:p>
    <w:p>
      <w:pPr>
        <w:pStyle w:val="ListParagraph"/>
        <w:numPr>
          <w:ilvl w:val="0"/>
          <w:numId w:val="2"/>
        </w:numPr>
        <w:spacing w:after="80" w:line="360" w:lineRule="auto"/>
      </w:pPr>
      <w:r>
        <w:rPr>
          <w:rFonts w:ascii="Arial" w:cs="Arial" w:eastAsia="Arial" w:hAnsi="Arial"/>
          <w:sz w:val="22"/>
          <w:szCs w:val="22"/>
        </w:rPr>
        <w:t xml:space="preserve">Transparenz der Algorithmik: Wie verändert eine offengelegte Personalisierungslogik das Vertrauen, die wahrgenommene Fairness und die Bereitschaft zur weiteren Nutzung (Reviglio &amp; Agosti, 2020; Milano et al., 2020)?</w:t>
      </w:r>
    </w:p>
    <w:p>
      <w:pPr>
        <w:pStyle w:val="ListParagraph"/>
        <w:numPr>
          <w:ilvl w:val="0"/>
          <w:numId w:val="2"/>
        </w:numPr>
        <w:spacing w:after="80" w:line="360" w:lineRule="auto"/>
      </w:pPr>
      <w:r>
        <w:rPr>
          <w:rFonts w:ascii="Arial" w:cs="Arial" w:eastAsia="Arial" w:hAnsi="Arial"/>
          <w:sz w:val="22"/>
          <w:szCs w:val="22"/>
        </w:rPr>
        <w:t xml:space="preserve">Persuasive Designmuster: Welche der in Abschnitt 1.3 katalogisierten Muster (Push-Benachrichtigungen, variable Belohnungen, Autoplay) entfallen in einem wellbeing-orientierten Format, und welche nicht-manipulativen Alternativen lassen sich durch Digital Nudging (Weinmann et al., 2016) im Sinne der Nutzenden umsetzen?</w:t>
      </w:r>
    </w:p>
    <w:p>
      <w:pPr>
        <w:pStyle w:val="ListParagraph"/>
        <w:numPr>
          <w:ilvl w:val="0"/>
          <w:numId w:val="2"/>
        </w:numPr>
        <w:spacing w:after="80" w:line="360" w:lineRule="auto"/>
      </w:pPr>
      <w:r>
        <w:rPr>
          <w:rFonts w:ascii="Arial" w:cs="Arial" w:eastAsia="Arial" w:hAnsi="Arial"/>
          <w:sz w:val="22"/>
          <w:szCs w:val="22"/>
        </w:rPr>
        <w:t xml:space="preserve">Gebrauchstauglichkeit und Akzeptanz: Wie schneidet ein wellbeing-orientiertes Radio im System Usability Scale (Brooke, 1996; Bangor et al., 2008) und in der subjektiven Akzeptanz im Vergleich zu vertrauten Plattformen ab?</w:t>
      </w:r>
    </w:p>
    <w:p>
      <w:pPr>
        <w:pStyle w:val="Heading2"/>
        <w:spacing w:after="160" w:before="320"/>
      </w:pPr>
      <w:r>
        <w:rPr>
          <w:rFonts w:ascii="Arial" w:cs="Arial" w:eastAsia="Arial" w:hAnsi="Arial"/>
          <w:b/>
          <w:bCs/>
          <w:sz w:val="28"/>
          <w:szCs w:val="28"/>
        </w:rPr>
        <w:t xml:space="preserve">3.5  Abgrenzung des Untersuchungsumfangs</w:t>
      </w:r>
    </w:p>
    <w:p>
      <w:pPr>
        <w:spacing w:after="160" w:before="0" w:line="360" w:lineRule="auto"/>
      </w:pPr>
      <w:r>
        <w:rPr>
          <w:rFonts w:ascii="Arial" w:cs="Arial" w:eastAsia="Arial" w:hAnsi="Arial"/>
          <w:sz w:val="22"/>
          <w:szCs w:val="22"/>
        </w:rPr>
        <w:t xml:space="preserve">Radio 25 versteht sich als Konzeptstudie, nicht als marktreifes Produkt. Die Pipeline wird soweit umgesetzt, wie es für eine konsistente Hörerfahrung und eine aussagekräftige Nutzerstudie mit einer kleinen Probandengruppe erforderlich ist. Aspekte, die für eine Skalierung relevant wären (Authentifizierung, Datenhaltung in einer Datenbank, redaktionelle Qualitätssicherung im grossen Massstab, Werbe- und Lizenzfragen), werden bewusst ausgeklammert und im Ausblick der Arbeit eingeordnet. Die folgenden Kapitel entwickeln auf dieser Grundlage die konkrete Forschungsfrage, das Untersuchungsdesign und den Aufbau der Evaluation.</w:t>
      </w:r>
    </w:p>
    <w:p>
      <w:pPr>
        <w:pStyle w:val="Heading1"/>
        <w:pageBreakBefore/>
        <w:spacing w:after="240" w:before="480"/>
      </w:pPr>
      <w:r>
        <w:rPr>
          <w:rFonts w:ascii="Arial" w:cs="Arial" w:eastAsia="Arial" w:hAnsi="Arial"/>
          <w:b/>
          <w:bCs/>
          <w:sz w:val="32"/>
          <w:szCs w:val="32"/>
        </w:rPr>
        <w:t xml:space="preserve">4  Methodik</w:t>
      </w:r>
    </w:p>
    <w:p>
      <w:pPr>
        <w:spacing w:after="160" w:before="0" w:line="360" w:lineRule="auto"/>
      </w:pPr>
      <w:r>
        <w:rPr>
          <w:rFonts w:ascii="Arial" w:cs="Arial" w:eastAsia="Arial" w:hAnsi="Arial"/>
          <w:sz w:val="22"/>
          <w:szCs w:val="22"/>
        </w:rPr>
        <w:t xml:space="preserve">Dieses Kapitel beschreibt die Methodik der vorliegenden Arbeit. Es macht transparent, mit welchen Vorgehensweisen, Werkzeugen und Datenquellen gearbeitet wurde, damit die Ergebnisse nachvollziehbar und überprüfbar sind. Der vorliegende Stand umfasst das bereits abgeschlossene Vorgehen der Literaturrecherche; die Methodik des Forschungsdesigns (Design-Science-Ansatz nach Hevner et al., 2004; Peffers et al., 2007), der Implementation und der späteren Pilotstudie wird im weiteren Verlauf der Arbeit ergänzt.</w:t>
      </w:r>
    </w:p>
    <w:p>
      <w:pPr>
        <w:pStyle w:val="Heading2"/>
        <w:spacing w:after="160" w:before="320"/>
      </w:pPr>
      <w:r>
        <w:rPr>
          <w:rFonts w:ascii="Arial" w:cs="Arial" w:eastAsia="Arial" w:hAnsi="Arial"/>
          <w:b/>
          <w:bCs/>
          <w:sz w:val="28"/>
          <w:szCs w:val="28"/>
        </w:rPr>
        <w:t xml:space="preserve">4.1  Vorgehen der Literaturrecherche</w:t>
      </w:r>
    </w:p>
    <w:p>
      <w:pPr>
        <w:spacing w:after="160" w:before="0" w:line="360" w:lineRule="auto"/>
      </w:pPr>
      <w:r>
        <w:rPr>
          <w:rFonts w:ascii="Arial" w:cs="Arial" w:eastAsia="Arial" w:hAnsi="Arial"/>
          <w:sz w:val="22"/>
          <w:szCs w:val="22"/>
        </w:rPr>
        <w:t xml:space="preserve">Grundlage des in Kapitel 2 entwickelten theoretischen Rahmens ist ein strukturierter Literaturreview, der klassische Datenbankrecherche mit KI-gestützten Werkzeugen kombiniert. Das Vorgehen wird hier transparent dargestellt, damit nachvollziehbar ist, welche Werkzeuge mit welchen Eingaben eingesetzt wurden und welche Ergebnisse sie lieferten.</w:t>
      </w:r>
    </w:p>
    <w:p>
      <w:pPr>
        <w:spacing w:after="160" w:before="0" w:line="360" w:lineRule="auto"/>
      </w:pPr>
      <w:r>
        <w:rPr>
          <w:rFonts w:ascii="Arial" w:cs="Arial" w:eastAsia="Arial" w:hAnsi="Arial"/>
          <w:sz w:val="22"/>
          <w:szCs w:val="22"/>
        </w:rPr>
        <w:t xml:space="preserve">Als erstes Werkzeug wurden die klassischen wissenschaftlichen Suchmaschinen Swisscovery und Google Scholar eingesetzt. Gesucht wurde nach englisch- und deutschsprachigen Quellen zu den Kernbegriffen «Digital Wellbeing», «Social Media», «Recommender Systems», «Personalization», «Value-Sensitive Design» und «Self-Determination Theory». Die Ergebnislisten wurden nach Titel, Abstract und Zitationshäufigkeit vorgefiltert. Als besonders ertragreich erwiesen sich die Reviews von Burr et al. (2020) und Orben (2020), die als Einstiegspunkte für Rückwärtssuchen dienten.</w:t>
      </w:r>
    </w:p>
    <w:p>
      <w:pPr>
        <w:spacing w:after="160" w:before="0" w:line="360" w:lineRule="auto"/>
      </w:pPr>
      <w:r>
        <w:rPr>
          <w:rFonts w:ascii="Arial" w:cs="Arial" w:eastAsia="Arial" w:hAnsi="Arial"/>
          <w:sz w:val="22"/>
          <w:szCs w:val="22"/>
        </w:rPr>
        <w:t xml:space="preserve">Als zweites Werkzeug wurde Claude (Anthropic) als KI-basiertes Recherchewerkzeug eingesetzt, primär zur Query Expansion und zur Identifikation angrenzender Theoriefelder. Prompts wie «Welche Theorien und zentralen Autorinnen und Autoren prägen die Debatte um Digital Wellbeing in Social Media?» oder «Welche Konzepte adressieren Nutzerkontrolle und algorithmische Transparenz in Empfehlungssystemen?» lieferten thematische Übersichten und konkrete Quellenvorschläge. Auf diesem Weg wurden unter anderem die Begriffe «Algorithmic Sovereignty» (Reviglio &amp; Agosti, 2020), «Persuasive Technology» (Fogg, 2003), «Digital Nudging» (Weinmann et al., 2016) und das METUX-Modell (Peters et al., 2018) als relevant identifiziert. Claude wurde dabei ausschliesslich für die Ideenfindung und Begriffserweiterung genutzt; jede vorgeschlagene Quelle wurde anschliessend in Swisscovery, im Verlagskatalog oder über den Digital Object Identifier verifiziert und als Originaldokument bezogen. Kein Inhalt wurde ohne Gegenprüfung übernommen.</w:t>
      </w:r>
    </w:p>
    <w:p>
      <w:pPr>
        <w:spacing w:after="160" w:before="0" w:line="360" w:lineRule="auto"/>
      </w:pPr>
      <w:r>
        <w:rPr>
          <w:rFonts w:ascii="Arial" w:cs="Arial" w:eastAsia="Arial" w:hAnsi="Arial"/>
          <w:sz w:val="22"/>
          <w:szCs w:val="22"/>
        </w:rPr>
        <w:t xml:space="preserve">Als drittes Werkzeug wurde NotebookLM (Google) eingesetzt, um den aufgebauten Quellenpool thematisch zu strukturieren und die Kernaussagen mehrerer Arbeiten gegenüberzustellen. Dies erleichterte die Einordnung der Quellen in die Abschnitte zu Bedürfnissen, Mechanismen und Beurteilungsgrundlagen und half, inhaltliche Dopplungen und Lücken zu erkennen.</w:t>
      </w:r>
    </w:p>
    <w:p>
      <w:pPr>
        <w:spacing w:after="160" w:before="0" w:line="360" w:lineRule="auto"/>
      </w:pPr>
      <w:r>
        <w:rPr>
          <w:rFonts w:ascii="Arial" w:cs="Arial" w:eastAsia="Arial" w:hAnsi="Arial"/>
          <w:sz w:val="22"/>
          <w:szCs w:val="22"/>
        </w:rPr>
        <w:t xml:space="preserve">Die finale Verwaltung der Quellen erfolgt in Zotero. Das gesamte Quellenset ist dort gepflegt und exportierbar; die in Kapitel 1 und 2 zitierten Arbeiten sind im Literaturverzeichnis aufgeführt. Der Review wird im weiteren Verlauf der Arbeit laufend ergänzt, insbesondere im Bereich der konkreten Mechanismen und der Evaluationsliteratur.</w:t>
      </w:r>
    </w:p>
    <w:p>
      <w:pPr>
        <w:pStyle w:val="Heading1"/>
        <w:pageBreakBefore/>
        <w:spacing w:after="240" w:before="480"/>
      </w:pPr>
      <w:r>
        <w:rPr>
          <w:rFonts w:ascii="Arial" w:cs="Arial" w:eastAsia="Arial" w:hAnsi="Arial"/>
          <w:b/>
          <w:bCs/>
          <w:sz w:val="32"/>
          <w:szCs w:val="32"/>
        </w:rPr>
        <w:t xml:space="preserve">Literaturverzeichnis (vorläufig)</w:t>
      </w:r>
    </w:p>
    <w:p>
      <w:pPr>
        <w:spacing w:after="160" w:before="0" w:line="360" w:lineRule="auto"/>
      </w:pPr>
      <w:r>
        <w:rPr>
          <w:rFonts w:ascii="Arial" w:cs="Arial" w:eastAsia="Arial" w:hAnsi="Arial"/>
          <w:sz w:val="22"/>
          <w:szCs w:val="22"/>
        </w:rPr>
        <w:t xml:space="preserve">Die folgende Liste enthält die in den Kapiteln 1 und 2 zitierten Quellen. Sie wird im weiteren Verlauf der Arbeit ergänzt und vollständig in Zotero verwaltet.</w:t>
      </w:r>
    </w:p>
    <w:p>
      <w:pPr>
        <w:spacing w:after="120" w:line="360" w:lineRule="auto"/>
        <w:ind w:left="720" w:hanging="720"/>
      </w:pPr>
      <w:r>
        <w:rPr>
          <w:rFonts w:ascii="Arial" w:cs="Arial" w:eastAsia="Arial" w:hAnsi="Arial"/>
          <w:sz w:val="22"/>
          <w:szCs w:val="22"/>
        </w:rPr>
        <w:t xml:space="preserve">Bangor, A., Kortum, P. T., &amp; Miller, J. T. (2008). An empirical evaluation of the System Usability Scale. International Journal of Human-Computer Interaction, 24(6), 574–594. https://doi.org/10.1080/10447310802205776</w:t>
      </w:r>
    </w:p>
    <w:p>
      <w:pPr>
        <w:spacing w:after="120" w:line="360" w:lineRule="auto"/>
        <w:ind w:left="720" w:hanging="720"/>
      </w:pPr>
      <w:r>
        <w:rPr>
          <w:rFonts w:ascii="Arial" w:cs="Arial" w:eastAsia="Arial" w:hAnsi="Arial"/>
          <w:sz w:val="22"/>
          <w:szCs w:val="22"/>
        </w:rPr>
        <w:t xml:space="preserve">Brooke, J. (1996). SUS: A «quick and dirty» usability scale. In P. W. Jordan, B. Thomas, I. L. McClelland &amp; B. Weerdmeester (Hrsg.), Usability evaluation in industry (S. 189–194). Taylor &amp; Francis.</w:t>
      </w:r>
    </w:p>
    <w:p>
      <w:pPr>
        <w:spacing w:after="120" w:line="360" w:lineRule="auto"/>
        <w:ind w:left="720" w:hanging="720"/>
      </w:pPr>
      <w:r>
        <w:rPr>
          <w:rFonts w:ascii="Arial" w:cs="Arial" w:eastAsia="Arial" w:hAnsi="Arial"/>
          <w:sz w:val="22"/>
          <w:szCs w:val="22"/>
        </w:rPr>
        <w:t xml:space="preserve">Burr, C., Taddeo, M., &amp; Floridi, L. (2020). The ethics of digital well-being: A thematic review. Science and Engineering Ethics, 26, 2441–2460. https://doi.org/10.1007/s11948-020-00175-8</w:t>
      </w:r>
    </w:p>
    <w:p>
      <w:pPr>
        <w:spacing w:after="120" w:line="360" w:lineRule="auto"/>
        <w:ind w:left="720" w:hanging="720"/>
      </w:pPr>
      <w:r>
        <w:rPr>
          <w:rFonts w:ascii="Arial" w:cs="Arial" w:eastAsia="Arial" w:hAnsi="Arial"/>
          <w:sz w:val="22"/>
          <w:szCs w:val="22"/>
        </w:rPr>
        <w:t xml:space="preserve">Calvo, R. A., &amp; Peters, D. (2014). Positive computing: Technology for wellbeing and human potential. MIT Press.</w:t>
      </w:r>
    </w:p>
    <w:p>
      <w:pPr>
        <w:spacing w:after="120" w:line="360" w:lineRule="auto"/>
        <w:ind w:left="720" w:hanging="720"/>
      </w:pPr>
      <w:r>
        <w:rPr>
          <w:rFonts w:ascii="Arial" w:cs="Arial" w:eastAsia="Arial" w:hAnsi="Arial"/>
          <w:sz w:val="22"/>
          <w:szCs w:val="22"/>
        </w:rPr>
        <w:t xml:space="preserve">Fogg, B. J. (2003). The functional triad: Computers in persuasive roles. In Persuasive technology: Using computers to change what we think and do (Kap. 2, S. 23–29). Morgan Kaufmann. https://doi.org/10.1016/B978-1-55860-643-2.X5000-8</w:t>
      </w:r>
    </w:p>
    <w:p>
      <w:pPr>
        <w:spacing w:after="120" w:line="360" w:lineRule="auto"/>
        <w:ind w:left="720" w:hanging="720"/>
      </w:pPr>
      <w:r>
        <w:rPr>
          <w:rFonts w:ascii="Arial" w:cs="Arial" w:eastAsia="Arial" w:hAnsi="Arial"/>
          <w:sz w:val="22"/>
          <w:szCs w:val="22"/>
        </w:rPr>
        <w:t xml:space="preserve">Geschke, D., Lorenz, J., &amp; Holtz, P. (2019). The triple-filter bubble: Using agent-based modelling to test a meta-theoretical framework for the emergence of filter bubbles and echo chambers. British Journal of Social Psychology, 58(1), 129–149. https://doi.org/10.1111/bjso.12286</w:t>
      </w:r>
    </w:p>
    <w:p>
      <w:pPr>
        <w:spacing w:after="120" w:line="360" w:lineRule="auto"/>
        <w:ind w:left="720" w:hanging="720"/>
      </w:pPr>
      <w:r>
        <w:rPr>
          <w:rFonts w:ascii="Arial" w:cs="Arial" w:eastAsia="Arial" w:hAnsi="Arial"/>
          <w:sz w:val="22"/>
          <w:szCs w:val="22"/>
        </w:rPr>
        <w:t xml:space="preserve">Hendry, D. G., Friedman, B., &amp; Ballard, S. (2021). Value sensitive design as a formative framework. Ethics and Information Technology, 23(1), 39–44. https://doi.org/10.1007/s10676-021-09579-x</w:t>
      </w:r>
    </w:p>
    <w:p>
      <w:pPr>
        <w:spacing w:after="120" w:line="360" w:lineRule="auto"/>
        <w:ind w:left="720" w:hanging="720"/>
      </w:pPr>
      <w:r>
        <w:rPr>
          <w:rFonts w:ascii="Arial" w:cs="Arial" w:eastAsia="Arial" w:hAnsi="Arial"/>
          <w:sz w:val="22"/>
          <w:szCs w:val="22"/>
        </w:rPr>
        <w:t xml:space="preserve">Katz, E., Blumler, J. G., &amp; Gurevitch, M. (1973). Uses and gratifications research. Public Opinion Quarterly, 37(4), 509–523. https://doi.org/10.1086/268109</w:t>
      </w:r>
    </w:p>
    <w:p>
      <w:pPr>
        <w:spacing w:after="120" w:line="360" w:lineRule="auto"/>
        <w:ind w:left="720" w:hanging="720"/>
      </w:pPr>
      <w:r>
        <w:rPr>
          <w:rFonts w:ascii="Arial" w:cs="Arial" w:eastAsia="Arial" w:hAnsi="Arial"/>
          <w:sz w:val="22"/>
          <w:szCs w:val="22"/>
        </w:rPr>
        <w:t xml:space="preserve">Milano, S., Taddeo, M., &amp; Floridi, L. (2020). Recommender systems and their ethical challenges. AI &amp; Society, 35, 957–967. https://doi.org/10.1007/s00146-020-00950-y</w:t>
      </w:r>
    </w:p>
    <w:p>
      <w:pPr>
        <w:spacing w:after="120" w:line="360" w:lineRule="auto"/>
        <w:ind w:left="720" w:hanging="720"/>
      </w:pPr>
      <w:r>
        <w:rPr>
          <w:rFonts w:ascii="Arial" w:cs="Arial" w:eastAsia="Arial" w:hAnsi="Arial"/>
          <w:sz w:val="22"/>
          <w:szCs w:val="22"/>
        </w:rPr>
        <w:t xml:space="preserve">Montag, C., &amp; Elhai, J. D. (2023). On social media design, (online-)time well-spent and addictive behaviors in the age of surveillance capitalism. Current Addiction Reports, 10(4), 384–395. https://doi.org/10.1007/s40429-023-00494-3</w:t>
      </w:r>
    </w:p>
    <w:p>
      <w:pPr>
        <w:spacing w:after="120" w:line="360" w:lineRule="auto"/>
        <w:ind w:left="720" w:hanging="720"/>
      </w:pPr>
      <w:r>
        <w:rPr>
          <w:rFonts w:ascii="Arial" w:cs="Arial" w:eastAsia="Arial" w:hAnsi="Arial"/>
          <w:sz w:val="22"/>
          <w:szCs w:val="22"/>
        </w:rPr>
        <w:t xml:space="preserve">Montag, C., Lachmann, B., Herrlich, M., &amp; Zweig, K. (2019). Addictive features of social media/messenger platforms and freemium games against the background of psychological and economic theories. International Journal of Environmental Research and Public Health, 16(14), 2612. https://doi.org/10.3390/ijerph16142612</w:t>
      </w:r>
    </w:p>
    <w:p>
      <w:pPr>
        <w:spacing w:after="120" w:line="360" w:lineRule="auto"/>
        <w:ind w:left="720" w:hanging="720"/>
      </w:pPr>
      <w:r>
        <w:rPr>
          <w:rFonts w:ascii="Arial" w:cs="Arial" w:eastAsia="Arial" w:hAnsi="Arial"/>
          <w:sz w:val="22"/>
          <w:szCs w:val="22"/>
        </w:rPr>
        <w:t xml:space="preserve">Nguyen, T. T., Hui, P.-M., Harper, F. M., Terveen, L., &amp; Konstan, J. A. (2014). Exploring the filter bubble: The effect of using recommender systems on content diversity. In Proceedings of the 23rd International Conference on World Wide Web (S. 677–686). ACM. https://doi.org/10.1145/2566486.2568012</w:t>
      </w:r>
    </w:p>
    <w:p>
      <w:pPr>
        <w:spacing w:after="120" w:line="360" w:lineRule="auto"/>
        <w:ind w:left="720" w:hanging="720"/>
      </w:pPr>
      <w:r>
        <w:rPr>
          <w:rFonts w:ascii="Arial" w:cs="Arial" w:eastAsia="Arial" w:hAnsi="Arial"/>
          <w:sz w:val="22"/>
          <w:szCs w:val="22"/>
        </w:rPr>
        <w:t xml:space="preserve">Orben, A. (2020). Teenagers, screens and social media: A narrative review of reviews and key studies. Social Psychiatry and Psychiatric Epidemiology, 55(4), 407–414. https://doi.org/10.1007/s00127-019-01825-4</w:t>
      </w:r>
    </w:p>
    <w:p>
      <w:pPr>
        <w:spacing w:after="120" w:line="360" w:lineRule="auto"/>
        <w:ind w:left="720" w:hanging="720"/>
      </w:pPr>
      <w:r>
        <w:rPr>
          <w:rFonts w:ascii="Arial" w:cs="Arial" w:eastAsia="Arial" w:hAnsi="Arial"/>
          <w:sz w:val="22"/>
          <w:szCs w:val="22"/>
        </w:rPr>
        <w:t xml:space="preserve">Pariser, E. (2011). The filter bubble: What the internet is hiding from you. Penguin Press.</w:t>
      </w:r>
    </w:p>
    <w:p>
      <w:pPr>
        <w:spacing w:after="120" w:line="360" w:lineRule="auto"/>
        <w:ind w:left="720" w:hanging="720"/>
      </w:pPr>
      <w:r>
        <w:rPr>
          <w:rFonts w:ascii="Arial" w:cs="Arial" w:eastAsia="Arial" w:hAnsi="Arial"/>
          <w:sz w:val="22"/>
          <w:szCs w:val="22"/>
        </w:rPr>
        <w:t xml:space="preserve">Peters, D., Ahmadpour, N., &amp; Calvo, R. A. (2020). Tools for wellbeing-supportive design: Features, characteristics, and prototypes. Multimodal Technologies and Interaction, 4(3), 40. https://doi.org/10.3390/mti4030040</w:t>
      </w:r>
    </w:p>
    <w:p>
      <w:pPr>
        <w:spacing w:after="120" w:line="360" w:lineRule="auto"/>
        <w:ind w:left="720" w:hanging="720"/>
      </w:pPr>
      <w:r>
        <w:rPr>
          <w:rFonts w:ascii="Arial" w:cs="Arial" w:eastAsia="Arial" w:hAnsi="Arial"/>
          <w:sz w:val="22"/>
          <w:szCs w:val="22"/>
        </w:rPr>
        <w:t xml:space="preserve">Peters, D., Calvo, R. A., &amp; Ryan, R. M. (2018). Designing for motivation, engagement and wellbeing in digital experience. Frontiers in Psychology, 9, 797. https://doi.org/10.3389/fpsyg.2018.00797</w:t>
      </w:r>
    </w:p>
    <w:p>
      <w:pPr>
        <w:spacing w:after="120" w:line="360" w:lineRule="auto"/>
        <w:ind w:left="720" w:hanging="720"/>
      </w:pPr>
      <w:r>
        <w:rPr>
          <w:rFonts w:ascii="Arial" w:cs="Arial" w:eastAsia="Arial" w:hAnsi="Arial"/>
          <w:sz w:val="22"/>
          <w:szCs w:val="22"/>
        </w:rPr>
        <w:t xml:space="preserve">Reviglio, U., &amp; Agosti, C. (2020). Thinking outside the black-box: The case for «algorithmic sovereignty» in social media. Social Media + Society, 6(2), 1–12. https://doi.org/10.1177/2056305120915613</w:t>
      </w:r>
    </w:p>
    <w:p>
      <w:pPr>
        <w:spacing w:after="120" w:line="360" w:lineRule="auto"/>
        <w:ind w:left="720" w:hanging="720"/>
      </w:pPr>
      <w:r>
        <w:rPr>
          <w:rFonts w:ascii="Arial" w:cs="Arial" w:eastAsia="Arial" w:hAnsi="Arial"/>
          <w:sz w:val="22"/>
          <w:szCs w:val="22"/>
        </w:rPr>
        <w:t xml:space="preserve">Ricci, F., Rokach, L., &amp; Shapira, B. (Hrsg.). (2015). Recommender systems handbook (2. Aufl.). Springer. https://doi.org/10.1007/978-1-4899-7637-6</w:t>
      </w:r>
    </w:p>
    <w:p>
      <w:pPr>
        <w:spacing w:after="120" w:line="360" w:lineRule="auto"/>
        <w:ind w:left="720" w:hanging="720"/>
      </w:pPr>
      <w:r>
        <w:rPr>
          <w:rFonts w:ascii="Arial" w:cs="Arial" w:eastAsia="Arial" w:hAnsi="Arial"/>
          <w:sz w:val="22"/>
          <w:szCs w:val="22"/>
        </w:rPr>
        <w:t xml:space="preserve">Ryan, R. M., &amp; Deci, E. L. (2000). Self-determination theory and the facilitation of intrinsic motivation, social development, and well-being. American Psychologist, 55(1), 68–78. https://doi.org/10.1037/0003-066X.55.1.68</w:t>
      </w:r>
    </w:p>
    <w:p>
      <w:pPr>
        <w:spacing w:after="120" w:line="360" w:lineRule="auto"/>
        <w:ind w:left="720" w:hanging="720"/>
      </w:pPr>
      <w:r>
        <w:rPr>
          <w:rFonts w:ascii="Arial" w:cs="Arial" w:eastAsia="Arial" w:hAnsi="Arial"/>
          <w:sz w:val="22"/>
          <w:szCs w:val="22"/>
        </w:rPr>
        <w:t xml:space="preserve">Sunstein, C. R. (2017). Polarization. In #Republic: Divided democracy in the age of social media (Kap. 3, S. 59–97). Princeton University Press.</w:t>
      </w:r>
    </w:p>
    <w:p>
      <w:pPr>
        <w:spacing w:after="120" w:line="360" w:lineRule="auto"/>
        <w:ind w:left="720" w:hanging="720"/>
      </w:pPr>
      <w:r>
        <w:rPr>
          <w:rFonts w:ascii="Arial" w:cs="Arial" w:eastAsia="Arial" w:hAnsi="Arial"/>
          <w:sz w:val="22"/>
          <w:szCs w:val="22"/>
        </w:rPr>
        <w:t xml:space="preserve">Vanden Abeele, M. M. P. (2021). Digital wellbeing as a dynamic construct. Communication Theory, 31(4), 932–955. https://doi.org/10.1093/ct/qtaa024</w:t>
      </w:r>
    </w:p>
    <w:p>
      <w:pPr>
        <w:spacing w:after="120" w:line="360" w:lineRule="auto"/>
        <w:ind w:left="720" w:hanging="720"/>
      </w:pPr>
      <w:r>
        <w:rPr>
          <w:rFonts w:ascii="Arial" w:cs="Arial" w:eastAsia="Arial" w:hAnsi="Arial"/>
          <w:sz w:val="22"/>
          <w:szCs w:val="22"/>
        </w:rPr>
        <w:t xml:space="preserve">Verduyn, P., Lee, D. S., Park, J., Shablack, H., Orvell, A., Bayer, J., Ybarra, O., Jonides, J., &amp; Kross, E. (2015). Passive Facebook usage undermines affective well-being: Experimental and longitudinal evidence. Journal of Experimental Psychology: General, 144(2), 480–488. https://doi.org/10.1037/xge0000057</w:t>
      </w:r>
    </w:p>
    <w:p>
      <w:pPr>
        <w:spacing w:after="120" w:line="360" w:lineRule="auto"/>
        <w:ind w:left="720" w:hanging="720"/>
      </w:pPr>
      <w:r>
        <w:rPr>
          <w:rFonts w:ascii="Arial" w:cs="Arial" w:eastAsia="Arial" w:hAnsi="Arial"/>
          <w:sz w:val="22"/>
          <w:szCs w:val="22"/>
        </w:rPr>
        <w:t xml:space="preserve">Vosoughi, S., Roy, D., &amp; Aral, S. (2018). The spread of true and false news online. Science, 359(6380), 1146–1151. https://doi.org/10.1126/science.aap9559</w:t>
      </w:r>
    </w:p>
    <w:p>
      <w:pPr>
        <w:spacing w:after="120" w:line="360" w:lineRule="auto"/>
        <w:ind w:left="720" w:hanging="720"/>
      </w:pPr>
      <w:r>
        <w:rPr>
          <w:rFonts w:ascii="Arial" w:cs="Arial" w:eastAsia="Arial" w:hAnsi="Arial"/>
          <w:sz w:val="22"/>
          <w:szCs w:val="22"/>
        </w:rPr>
        <w:t xml:space="preserve">Weinmann, M., Schneider, C., &amp; vom Brocke, J. (2016). Digital nudging. Business &amp; Information Systems Engineering, 58(6), 433–436. https://doi.org/10.1007/s12599-016-0453-3</w:t>
      </w:r>
    </w:p>
    <w:p>
      <w:pPr>
        <w:spacing w:after="120" w:line="360" w:lineRule="auto"/>
        <w:ind w:left="720" w:hanging="720"/>
      </w:pPr>
      <w:r>
        <w:rPr>
          <w:rFonts w:ascii="Arial" w:cs="Arial" w:eastAsia="Arial" w:hAnsi="Arial"/>
          <w:sz w:val="22"/>
          <w:szCs w:val="22"/>
        </w:rPr>
        <w:t xml:space="preserve">Zuboff, S. (2019). The discovery of behavioral surplus. In The age of surveillance capitalism: The fight for a human future at the new frontier of power (Kap. 3, S. 63–97). PublicAffairs.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Seite </w:t>
    </w:r>
    <w:r>
      <w:rPr>
        <w:rFonts w:ascii="Arial" w:cs="Arial" w:eastAsia="Arial" w:hAnsi="Arial"/>
        <w:sz w:val="20"/>
        <w:szCs w:val="20"/>
      </w:rPr>
      <w:fldChar w:fldCharType="begin"/>
      <w:instrText xml:space="preserve">PAGE</w:instrText>
      <w:fldChar w:fldCharType="separate"/>
      <w:fldChar w:fldCharType="end"/>
    </w:r>
    <w:r>
      <w:rPr>
        <w:rFonts w:ascii="Arial" w:cs="Arial" w:eastAsia="Arial" w:hAnsi="Arial"/>
        <w:sz w:val="20"/>
        <w:szCs w:val="20"/>
      </w:rPr>
      <w:t xml:space="preserve"> von </w:t>
    </w:r>
    <w:r>
      <w:rPr>
        <w:rFonts w:ascii="Arial" w:cs="Arial" w:eastAsia="Arial" w:hAnsi="Arial"/>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00000"/>
      <w:sz w:val="32"/>
      <w:szCs w:val="32"/>
    </w:rPr>
  </w:style>
  <w:style w:type="paragraph" w:styleId="Heading2">
    <w:name w:val="Heading 2"/>
    <w:basedOn w:val="Normal"/>
    <w:next w:val="Normal"/>
    <w:qFormat/>
    <w:pPr>
      <w:spacing w:after="160" w:before="320"/>
      <w:outlineLvl w:val="1"/>
    </w:pPr>
    <w:rPr>
      <w:rFonts w:ascii="Arial" w:cs="Arial" w:eastAsia="Arial" w:hAnsi="Arial"/>
      <w:b/>
      <w:bCs/>
      <w:color w:val="000000"/>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Radio 25 - BSc Thesis Hauptdokument</dc:title>
  <dc:creator>Michael Möckli</dc:creator>
  <cp:lastModifiedBy>Un-named</cp:lastModifiedBy>
  <cp:revision>1</cp:revision>
  <dcterms:created xsi:type="dcterms:W3CDTF">2026-04-25T15:59:35.723Z</dcterms:created>
  <dcterms:modified xsi:type="dcterms:W3CDTF">2026-04-25T15:59:35.723Z</dcterms:modified>
</cp:coreProperties>
</file>

<file path=docProps/custom.xml><?xml version="1.0" encoding="utf-8"?>
<Properties xmlns="http://schemas.openxmlformats.org/officeDocument/2006/custom-properties" xmlns:vt="http://schemas.openxmlformats.org/officeDocument/2006/docPropsVTypes"/>
</file>