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EAE8" w14:textId="77777777" w:rsidR="00FD0741" w:rsidRDefault="00000000">
      <w:pPr>
        <w:spacing w:after="120"/>
        <w:jc w:val="center"/>
      </w:pPr>
      <w:r>
        <w:rPr>
          <w:sz w:val="20"/>
          <w:szCs w:val="20"/>
        </w:rPr>
        <w:t>ZHAW Zürcher Hochschule für Angewandte Wissenschaften</w:t>
      </w:r>
    </w:p>
    <w:p w14:paraId="380C80BA" w14:textId="77777777" w:rsidR="00FD0741" w:rsidRDefault="00000000">
      <w:pPr>
        <w:spacing w:after="480"/>
        <w:jc w:val="center"/>
      </w:pPr>
      <w:r>
        <w:rPr>
          <w:sz w:val="20"/>
          <w:szCs w:val="20"/>
        </w:rPr>
        <w:t>Institut für Wirtschaftsinformatik</w:t>
      </w:r>
    </w:p>
    <w:p w14:paraId="52B32D1F" w14:textId="77777777" w:rsidR="00FD0741" w:rsidRDefault="00000000">
      <w:pPr>
        <w:spacing w:after="240"/>
        <w:jc w:val="center"/>
      </w:pPr>
      <w:r>
        <w:rPr>
          <w:b/>
          <w:bCs/>
          <w:sz w:val="32"/>
          <w:szCs w:val="32"/>
        </w:rPr>
        <w:t>BSc-Thesis</w:t>
      </w:r>
    </w:p>
    <w:p w14:paraId="3ED6D807" w14:textId="77777777" w:rsidR="00FD0741" w:rsidRDefault="00000000">
      <w:pPr>
        <w:spacing w:after="120"/>
        <w:jc w:val="center"/>
      </w:pPr>
      <w:r>
        <w:rPr>
          <w:b/>
          <w:bCs/>
          <w:sz w:val="28"/>
          <w:szCs w:val="28"/>
        </w:rPr>
        <w:t>Radio 25: Nutzerzentrierte Personalisierung</w:t>
      </w:r>
    </w:p>
    <w:p w14:paraId="532A4F3F" w14:textId="77777777" w:rsidR="00FD0741" w:rsidRDefault="00000000">
      <w:pPr>
        <w:spacing w:after="120"/>
        <w:jc w:val="center"/>
      </w:pPr>
      <w:r>
        <w:rPr>
          <w:b/>
          <w:bCs/>
          <w:sz w:val="28"/>
          <w:szCs w:val="28"/>
        </w:rPr>
        <w:t>im vollautomatisierten Radio</w:t>
      </w:r>
    </w:p>
    <w:p w14:paraId="192F0166" w14:textId="77777777" w:rsidR="00FD0741" w:rsidRDefault="00000000">
      <w:pPr>
        <w:spacing w:after="480"/>
        <w:jc w:val="center"/>
      </w:pPr>
      <w:r>
        <w:rPr>
          <w:b/>
          <w:bCs/>
          <w:sz w:val="24"/>
          <w:szCs w:val="24"/>
        </w:rPr>
        <w:t>Eine Konzeptstudie im Kontext von Digital Wellbeing</w:t>
      </w:r>
    </w:p>
    <w:p w14:paraId="3B5573E8" w14:textId="77777777" w:rsidR="00FD0741" w:rsidRDefault="00000000">
      <w:pPr>
        <w:spacing w:after="80"/>
        <w:jc w:val="center"/>
      </w:pPr>
      <w:r>
        <w:t>Autor: Michael Möckli</w:t>
      </w:r>
    </w:p>
    <w:p w14:paraId="584C5A8E" w14:textId="77777777" w:rsidR="00FD0741" w:rsidRDefault="00000000">
      <w:pPr>
        <w:spacing w:after="80"/>
        <w:jc w:val="center"/>
      </w:pPr>
      <w:r>
        <w:t>Betreuer: Alexandre de Spindler</w:t>
      </w:r>
    </w:p>
    <w:p w14:paraId="60D082A1" w14:textId="78A5BF11" w:rsidR="00FD0741" w:rsidRDefault="00000000">
      <w:pPr>
        <w:spacing w:after="240"/>
        <w:jc w:val="center"/>
      </w:pPr>
      <w:r>
        <w:t xml:space="preserve">Stand: </w:t>
      </w:r>
      <w:r w:rsidR="007C36AC">
        <w:t>23</w:t>
      </w:r>
      <w:r>
        <w:t>. April 2026</w:t>
      </w:r>
    </w:p>
    <w:p w14:paraId="3A30409E" w14:textId="77777777" w:rsidR="00FD0741" w:rsidRDefault="00000000">
      <w:r>
        <w:br w:type="page"/>
      </w:r>
    </w:p>
    <w:p w14:paraId="682BB6FA" w14:textId="77777777" w:rsidR="00FD0741" w:rsidRDefault="00000000">
      <w:pPr>
        <w:pStyle w:val="berschrift1"/>
      </w:pPr>
      <w:r>
        <w:lastRenderedPageBreak/>
        <w:t>1  Motivation</w:t>
      </w:r>
    </w:p>
    <w:p w14:paraId="70177CE5" w14:textId="77777777" w:rsidR="00FD0741" w:rsidRDefault="00000000">
      <w:pPr>
        <w:spacing w:after="160" w:line="320" w:lineRule="auto"/>
        <w:jc w:val="both"/>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501F427E" w14:textId="77777777" w:rsidR="00FD0741" w:rsidRDefault="00000000">
      <w:pPr>
        <w:spacing w:after="160" w:line="320" w:lineRule="auto"/>
        <w:jc w:val="both"/>
      </w:pPr>
      <w:r>
        <w:t>Dieses Kapitel stellt das daraus entstehende Problem in seiner Breite dar: von den ökonomischen Grundlagen über die konkreten Designmuster bis zu den dokumentierten Folgen auf individueller und gesellschaftlicher Ebene. Ziel ist, die Problemlage zu schärfen, die den inhaltlichen Rahmen der vorliegenden Arbeit bildet.</w:t>
      </w:r>
    </w:p>
    <w:p w14:paraId="5A46CBCA" w14:textId="77777777" w:rsidR="00FD0741" w:rsidRDefault="00000000">
      <w:pPr>
        <w:pStyle w:val="berschrift2"/>
      </w:pPr>
      <w:r>
        <w:t>1.1  Das Spannungsfeld zwischen Nutzer und Anbieter</w:t>
      </w:r>
    </w:p>
    <w:p w14:paraId="6904F36D" w14:textId="77777777" w:rsidR="00FD0741" w:rsidRDefault="00000000">
      <w:pPr>
        <w:spacing w:after="160" w:line="320" w:lineRule="auto"/>
        <w:jc w:val="both"/>
      </w:pPr>
      <w:r>
        <w:t>Die Motivationen der Nutzenden digitaler Medien sind vielfältig und lassen sich grob vier Ebenen zuordnen (in Anlehnung an den Uses-and-Gratifications-Ansatz nach Katz, Blumler und Gurevitch, 1973, sowie die Self-Determination Theory nach Ryan und Deci, 2000): (1) kognitive Bedürfnisse wie Information und Orientierung, (2) affektive Bedürfnisse wie Unterhaltung und Entspannung, (3) soziale Bedürfnisse wie Zugehörigkeit und Austausch sowie (4) Bedürfnisse nach persönlicher Entwicklung und Selbstbestimmung. Wird ein Medium diesen Motivationen gerecht, entstehen Zufriedenheit, Kompetenzerleben und Autonomie.</w:t>
      </w:r>
    </w:p>
    <w:p w14:paraId="7DFB7DC7" w14:textId="77777777" w:rsidR="00FD0741" w:rsidRDefault="00000000">
      <w:pPr>
        <w:spacing w:after="160" w:line="320" w:lineRule="auto"/>
        <w:jc w:val="both"/>
      </w:pPr>
      <w:r>
        <w:t>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14:paraId="34152BB0" w14:textId="77777777" w:rsidR="00FD0741" w:rsidRDefault="00000000">
      <w:pPr>
        <w:spacing w:after="160" w:line="320" w:lineRule="auto"/>
        <w:jc w:val="both"/>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Genau dies ist in den letzten Jahren empirisch immer besser dokumentiert (Burr et al., 2020; Milano et al., 2020).</w:t>
      </w:r>
    </w:p>
    <w:p w14:paraId="2B39C419" w14:textId="77777777" w:rsidR="00FD0741" w:rsidRDefault="00000000">
      <w:pPr>
        <w:pStyle w:val="berschrift2"/>
      </w:pPr>
      <w:r>
        <w:lastRenderedPageBreak/>
        <w:t>1.2  Das Geschäftsmodell der Aufmerksamkeitsökonomie</w:t>
      </w:r>
    </w:p>
    <w:p w14:paraId="6224BFA8" w14:textId="77777777" w:rsidR="00FD0741" w:rsidRDefault="00000000">
      <w:pPr>
        <w:spacing w:after="160" w:line="320" w:lineRule="auto"/>
        <w:jc w:val="both"/>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36D9824C" w14:textId="77777777" w:rsidR="00FD0741" w:rsidRDefault="00000000">
      <w:pPr>
        <w:spacing w:after="160" w:line="320" w:lineRule="auto"/>
        <w:jc w:val="both"/>
      </w:pPr>
      <w:r>
        <w:t>Die Asymmetrie dieses Modells ist strukturell: Während die Plattformen immer mehr über ihre Nutzenden wissen, bleibt den Nutzenden verborgen, welche Daten erhoben, wie sie interpretiert und mit welchem Ziel sie eingesetzt werden. Reviglio und Agosti (2020) sprechen in diesem Zusammenhang vom Fehlen einer «algorithmischen Souveränität»: Nutzende sind den Entscheidungen der Systeme weitgehend ausgeliefert, ohne sie substanziell beeinflussen oder auch nur verstehen zu können.</w:t>
      </w:r>
    </w:p>
    <w:p w14:paraId="51687786" w14:textId="77777777" w:rsidR="00FD0741" w:rsidRDefault="00000000">
      <w:pPr>
        <w:pStyle w:val="berschrift2"/>
      </w:pPr>
      <w:r>
        <w:t>1.3  Manipulative Designmuster</w:t>
      </w:r>
    </w:p>
    <w:p w14:paraId="2FBE2852" w14:textId="77777777" w:rsidR="00FD0741" w:rsidRDefault="00000000">
      <w:pPr>
        <w:spacing w:after="160" w:line="320" w:lineRule="auto"/>
        <w:jc w:val="both"/>
      </w:pPr>
      <w:r>
        <w:t>Die ökonomische Logik manifestiert sich in konkreten Designmustern, die gezielt auf Schwachstellen der menschlichen Psyche zielen. Fogg (2003) hat mit dem Modell der Persuasive Technology gezeigt, wie Computer als Werkzeuge, Medien und soziale Akteure Verhalten beeinflussen können; Social-Media-Plattformen nutzen diese Prinzipien heute in grossem Massstab zur Engagement-Maximierung (Montag et al., 2019; Montag &amp; Elhai, 2023). Zu den am besten dokumentierten Mustern gehören:</w:t>
      </w:r>
    </w:p>
    <w:p w14:paraId="2D1DA70F" w14:textId="77777777" w:rsidR="00FD0741" w:rsidRDefault="00000000">
      <w:pPr>
        <w:pStyle w:val="Listenabsatz"/>
        <w:numPr>
          <w:ilvl w:val="0"/>
          <w:numId w:val="2"/>
        </w:numPr>
        <w:spacing w:after="80" w:line="300" w:lineRule="auto"/>
      </w:pPr>
      <w:r>
        <w:rPr>
          <w:b/>
          <w:bCs/>
        </w:rPr>
        <w:t xml:space="preserve">Endloses Scrollen </w:t>
      </w:r>
      <w:r>
        <w:t>(Infinite Scroll), das natürliche Unterbrechungspunkte entfernt und die Verweildauer verlängert.</w:t>
      </w:r>
    </w:p>
    <w:p w14:paraId="659EB90C" w14:textId="77777777" w:rsidR="00FD0741" w:rsidRDefault="00000000">
      <w:pPr>
        <w:pStyle w:val="Listenabsatz"/>
        <w:numPr>
          <w:ilvl w:val="0"/>
          <w:numId w:val="2"/>
        </w:numPr>
        <w:spacing w:after="80" w:line="300" w:lineRule="auto"/>
      </w:pPr>
      <w:r>
        <w:rPr>
          <w:b/>
          <w:bCs/>
        </w:rPr>
        <w:t xml:space="preserve">Variable Belohnungsmuster </w:t>
      </w:r>
      <w:r>
        <w:t>nach dem Vorbild des Glücksspiels: unvorhersehbare Erfolgserlebnisse (Likes, neue Inhalte, Matches) halten die Aufmerksamkeit aufrecht.</w:t>
      </w:r>
    </w:p>
    <w:p w14:paraId="152DEFF5" w14:textId="77777777" w:rsidR="00FD0741" w:rsidRDefault="00000000">
      <w:pPr>
        <w:pStyle w:val="Listenabsatz"/>
        <w:numPr>
          <w:ilvl w:val="0"/>
          <w:numId w:val="2"/>
        </w:numPr>
        <w:spacing w:after="80" w:line="300" w:lineRule="auto"/>
      </w:pPr>
      <w:r>
        <w:rPr>
          <w:b/>
          <w:bCs/>
        </w:rPr>
        <w:t xml:space="preserve">Push-Benachrichtigungen, </w:t>
      </w:r>
      <w:r>
        <w:t>die andere Tätigkeiten unterbrechen und Nutzende zurück auf die Plattform holen.</w:t>
      </w:r>
    </w:p>
    <w:p w14:paraId="1E5B4161" w14:textId="77777777" w:rsidR="00FD0741" w:rsidRDefault="00000000">
      <w:pPr>
        <w:pStyle w:val="Listenabsatz"/>
        <w:numPr>
          <w:ilvl w:val="0"/>
          <w:numId w:val="2"/>
        </w:numPr>
        <w:spacing w:after="80" w:line="300" w:lineRule="auto"/>
      </w:pPr>
      <w:r>
        <w:rPr>
          <w:b/>
          <w:bCs/>
        </w:rPr>
        <w:t xml:space="preserve">Autoplay </w:t>
      </w:r>
      <w:r>
        <w:t>und ähnliche Automatismen, die stellvertretend über den nächsten Inhalt entscheiden.</w:t>
      </w:r>
    </w:p>
    <w:p w14:paraId="2DE7E2A2" w14:textId="77777777" w:rsidR="00FD0741" w:rsidRDefault="00000000">
      <w:pPr>
        <w:pStyle w:val="Listenabsatz"/>
        <w:numPr>
          <w:ilvl w:val="0"/>
          <w:numId w:val="2"/>
        </w:numPr>
        <w:spacing w:after="80" w:line="300" w:lineRule="auto"/>
      </w:pPr>
      <w:r>
        <w:rPr>
          <w:b/>
          <w:bCs/>
        </w:rPr>
        <w:t xml:space="preserve">Social-Proof- und Reziprozitätsmechanismen, </w:t>
      </w:r>
      <w:r>
        <w:t>die soziale Grundbedürfnisse (Bestätigung, Gegenseitigkeit) für die Plattformbindung nutzen.</w:t>
      </w:r>
    </w:p>
    <w:p w14:paraId="33EE23C3" w14:textId="77777777" w:rsidR="00FD0741" w:rsidRDefault="00000000">
      <w:pPr>
        <w:spacing w:after="160" w:line="320" w:lineRule="auto"/>
        <w:jc w:val="both"/>
      </w:pPr>
      <w:r>
        <w:t>Montag et al. (2019) dokumentieren strukturelle Parallelen zwischen den Mechaniken sozialer Medien und den suchtfördernden Designs von Glücksspiel- und Freemium-Games. Weinmann, Schneider und vom Brocke (2016) ordnen diese Praktiken in das Konzept des Digital Nudging ein: Digitale Nudges sind an sich wertneutrale Steuerungshinweise, werden aber in der kommerziellen Praxis fast ausschliesslich zur Engagement-Maximierung statt zum Nutzen der Nutzenden eingesetzt.</w:t>
      </w:r>
    </w:p>
    <w:p w14:paraId="51DED18C" w14:textId="77777777" w:rsidR="00FD0741" w:rsidRDefault="00000000">
      <w:pPr>
        <w:pStyle w:val="berschrift2"/>
      </w:pPr>
      <w:r>
        <w:lastRenderedPageBreak/>
        <w:t>1.4  Filterblasen, Echokammern und Polarisierung</w:t>
      </w:r>
    </w:p>
    <w:p w14:paraId="6C19BC4D" w14:textId="77777777" w:rsidR="00FD0741" w:rsidRDefault="00000000">
      <w:pPr>
        <w:spacing w:after="160" w:line="320" w:lineRule="auto"/>
        <w:jc w:val="both"/>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3259CB03" w14:textId="77777777" w:rsidR="00FD0741" w:rsidRDefault="00000000">
      <w:pPr>
        <w:spacing w:after="160" w:line="320" w:lineRule="auto"/>
        <w:jc w:val="both"/>
      </w:pPr>
      <w:r>
        <w:t>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39CE0171" w14:textId="77777777" w:rsidR="00FD0741" w:rsidRDefault="00000000">
      <w:pPr>
        <w:pStyle w:val="berschrift2"/>
      </w:pPr>
      <w:r>
        <w:t>1.5  Psychisches Wohlbefinden und Suchtverhalten</w:t>
      </w:r>
    </w:p>
    <w:p w14:paraId="2F1A0D3D" w14:textId="77777777" w:rsidR="00FD0741" w:rsidRDefault="00000000">
      <w:pPr>
        <w:spacing w:after="160" w:line="320" w:lineRule="auto"/>
        <w:jc w:val="both"/>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57AB80D" w14:textId="77777777" w:rsidR="00FD0741" w:rsidRDefault="00000000">
      <w:pPr>
        <w:spacing w:after="160" w:line="320" w:lineRule="auto"/>
        <w:jc w:val="both"/>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1FF38ADD" w14:textId="77777777" w:rsidR="00FD0741" w:rsidRDefault="00000000">
      <w:pPr>
        <w:spacing w:after="160" w:line="320" w:lineRule="auto"/>
        <w:jc w:val="both"/>
      </w:pPr>
      <w:r>
        <w:t xml:space="preserve">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w:t>
      </w:r>
      <w:r>
        <w:lastRenderedPageBreak/>
        <w:t>das subjektive Erleben, «zu viel Zeit zu verlieren» oder Plattformen trotz besserer Absicht nicht abschalten zu können.</w:t>
      </w:r>
    </w:p>
    <w:p w14:paraId="5D230657" w14:textId="77777777" w:rsidR="00FD0741" w:rsidRDefault="00000000">
      <w:pPr>
        <w:pStyle w:val="berschrift2"/>
      </w:pPr>
      <w:r>
        <w:t>1.6  Verlust der Nutzerautonomie</w:t>
      </w:r>
    </w:p>
    <w:p w14:paraId="23B73171" w14:textId="77777777" w:rsidR="00FD0741" w:rsidRDefault="00000000">
      <w:pPr>
        <w:spacing w:after="160" w:line="320" w:lineRule="auto"/>
        <w:jc w:val="both"/>
      </w:pPr>
      <w:r>
        <w:t>Über die direkten psychischen Folgen hinaus entsteht ein grundsätzlicheres Problem: der Verlust von Autonomie. Ryan und Deci (2000) identifizieren in der Self-Determination Theory die Autonomie, also das Erleben von Selbstbestimmung, als eines der drei psychologischen Grundbedürfnisse. Peters, Calvo und Ryan (2018) zeigen, dass digitale Systeme dieses Bedürfnis gezielt untergraben können, wenn sie Nutzende durch manipulative Designmuster in Nutzungsschleifen halten.</w:t>
      </w:r>
    </w:p>
    <w:p w14:paraId="45F07CDD" w14:textId="77777777" w:rsidR="00FD0741" w:rsidRDefault="00000000">
      <w:pPr>
        <w:spacing w:after="160" w:line="320" w:lineRule="auto"/>
        <w:jc w:val="both"/>
      </w:pPr>
      <w:r>
        <w:t>In der Praxis manifestiert sich dieser Autonomieverlust auf mehreren Ebenen: Nutzende sehen nicht, warum ein bestimmter Inhalt ausgespielt wird (Black Box). Sie können die zugrundeliegende Logik nicht substanziell ändern (fehlende Souveränität, Reviglio &amp; Agosti, 2020). Ihre Steuerungsmöglichkeiten beschränken sich auf oberflächliche Stellschrauben («diesen Kanal nicht mehr anzeigen», «Interesse bekunden»), während die tieferen Entscheidungsstrukturen intransparent bleiben. Milano, Taddeo und Floridi (2020) argumentieren deshalb, dass Empfehlungssysteme neben Relevanz auch Diversität, Fairness und Nutzerwohl als explizite Optimierungsziele benötigen.</w:t>
      </w:r>
    </w:p>
    <w:p w14:paraId="35F308B2" w14:textId="77777777" w:rsidR="00FD0741" w:rsidRDefault="00000000">
      <w:pPr>
        <w:pStyle w:val="berschrift2"/>
      </w:pPr>
      <w:r>
        <w:t>1.7  Zwischenfazit: Der Kern des Problems</w:t>
      </w:r>
    </w:p>
    <w:p w14:paraId="47A16968" w14:textId="77777777" w:rsidR="00FD0741" w:rsidRDefault="00000000">
      <w:pPr>
        <w:spacing w:after="160" w:line="320" w:lineRule="auto"/>
        <w:jc w:val="both"/>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1655A555" w14:textId="77777777" w:rsidR="00FD0741" w:rsidRDefault="00000000">
      <w:pPr>
        <w:spacing w:after="160" w:line="320" w:lineRule="auto"/>
        <w:jc w:val="both"/>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6EB46C97" w14:textId="77777777" w:rsidR="00FD0741" w:rsidRDefault="00000000">
      <w:pPr>
        <w:spacing w:after="160" w:line="320" w:lineRule="auto"/>
        <w:jc w:val="both"/>
      </w:pPr>
      <w:r>
        <w:t>Aus dieser Problemlage erwächst die grundlegende Frage, welche Prinzipien, Kriterien und Mechanismen nötig sind, um digitale Medien so zu gestalten, dass die Bedürfnisse der Nutzenden wieder in den Mittelpunkt rücken. Das nachfolgende Kapitel ordnet dazu die bestehende Medienlandschaft, ihre Mechanismen und die verfügbaren Beurteilungsgrundlagen wissenschaftlich ein.</w:t>
      </w:r>
    </w:p>
    <w:p w14:paraId="1AB6DE56" w14:textId="77777777" w:rsidR="00FD0741" w:rsidRDefault="00000000">
      <w:pPr>
        <w:pStyle w:val="berschrift1"/>
      </w:pPr>
      <w:r>
        <w:lastRenderedPageBreak/>
        <w:t>2  Background</w:t>
      </w:r>
    </w:p>
    <w:p w14:paraId="747C37EB" w14:textId="77777777" w:rsidR="00FD0741" w:rsidRDefault="00000000">
      <w:pPr>
        <w:spacing w:after="160" w:line="320" w:lineRule="auto"/>
        <w:jc w:val="both"/>
      </w:pPr>
      <w:r>
        <w:t>Dieses Kapitel kontextualisiert die in Kapitel 1 dargestellte Problematik wissenschaftlich und technisch. Es beantwortet drei Leitfragen: (1) Welche Bedürfnisse und Motivationen prägen Nutzende und Anbieter digitaler Medien? (2) In welchen technischen Mechanismen manifestieren sich diese Motivationen? (3) An welchen Kriterien lassen sich diese Mechanismen beurteilen? Aus der Gegenüberstellung ergeben sich Chancen und Gefahren, die den Rahmen für den Lösungsvorschlag dieser Arbeit bilden.</w:t>
      </w:r>
    </w:p>
    <w:p w14:paraId="5C7A38CB" w14:textId="77777777" w:rsidR="00FD0741" w:rsidRDefault="00000000">
      <w:pPr>
        <w:pStyle w:val="berschrift2"/>
      </w:pPr>
      <w:r>
        <w:t>2.1  Vorgehen der Literaturrecherche</w:t>
      </w:r>
    </w:p>
    <w:p w14:paraId="57E1987D" w14:textId="77777777" w:rsidR="00FD0741" w:rsidRDefault="00000000">
      <w:pPr>
        <w:spacing w:after="160" w:line="320" w:lineRule="auto"/>
        <w:jc w:val="both"/>
      </w:pPr>
      <w:r>
        <w:t>Grundlage dieses Kapitels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04A3DDF6" w14:textId="77777777" w:rsidR="00FD0741" w:rsidRDefault="00000000">
      <w:pPr>
        <w:spacing w:after="160" w:line="320" w:lineRule="auto"/>
        <w:jc w:val="both"/>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1D86E516" w14:textId="77777777" w:rsidR="00FD0741" w:rsidRDefault="00000000">
      <w:pPr>
        <w:spacing w:after="160" w:line="320" w:lineRule="auto"/>
        <w:jc w:val="both"/>
      </w:pPr>
      <w:r>
        <w:t>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5B0F31BE" w14:textId="77777777" w:rsidR="00FD0741" w:rsidRDefault="00000000">
      <w:pPr>
        <w:spacing w:after="160" w:line="320" w:lineRule="auto"/>
        <w:jc w:val="both"/>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70F41B10" w14:textId="77777777" w:rsidR="00FD0741" w:rsidRDefault="00000000">
      <w:pPr>
        <w:spacing w:after="160" w:line="320" w:lineRule="auto"/>
        <w:jc w:val="both"/>
      </w:pPr>
      <w:r>
        <w:t xml:space="preserve">Die finale Verwaltung der Quellen erfolgt in Zotero. Das gesamte Quellenset ist dort gepflegt und exportierbar; die in Kapitel 1 und 2 zitierten Arbeiten sind im Literaturverzeichnis aufgeführt. Der </w:t>
      </w:r>
      <w:r>
        <w:lastRenderedPageBreak/>
        <w:t>Review wird im weiteren Verlauf der Arbeit laufend ergänzt, insbesondere im Bereich der konkreten Mechanismen und der Evaluationsliteratur.</w:t>
      </w:r>
    </w:p>
    <w:p w14:paraId="5FBF3B3B" w14:textId="77777777" w:rsidR="00FD0741" w:rsidRDefault="00000000">
      <w:pPr>
        <w:pStyle w:val="berschrift2"/>
      </w:pPr>
      <w:r>
        <w:t>2.2  Bedürfnisse und Motivationen der Akteure</w:t>
      </w:r>
    </w:p>
    <w:p w14:paraId="4650418A" w14:textId="77777777" w:rsidR="00FD0741" w:rsidRDefault="00000000">
      <w:pPr>
        <w:pStyle w:val="berschrift3"/>
      </w:pPr>
      <w:r>
        <w:t>2.2.1  Anbieterseite</w:t>
      </w:r>
    </w:p>
    <w:p w14:paraId="0FEF35AF" w14:textId="77777777" w:rsidR="00FD0741" w:rsidRDefault="00000000">
      <w:pPr>
        <w:spacing w:after="160" w:line="320" w:lineRule="auto"/>
        <w:jc w:val="both"/>
      </w:pPr>
      <w:r>
        <w:t xml:space="preserve">Anbieter digitaler Medien verfolgen unterschiedliche Motive, die sich drei idealtypischen Kategorien zuordnen lassen. </w:t>
      </w:r>
    </w:p>
    <w:p w14:paraId="66EB394A" w14:textId="77777777" w:rsidR="00FD0741" w:rsidRDefault="00000000">
      <w:pPr>
        <w:pStyle w:val="Listenabsatz"/>
        <w:numPr>
          <w:ilvl w:val="0"/>
          <w:numId w:val="2"/>
        </w:numPr>
        <w:spacing w:after="80" w:line="300" w:lineRule="auto"/>
      </w:pPr>
      <w:r>
        <w:rPr>
          <w:b/>
          <w:bCs/>
        </w:rPr>
        <w:t xml:space="preserve">Kommerzielle Plattformen </w:t>
      </w:r>
      <w:r>
        <w:t>(TikTok, Meta, YouTube, X) finanzieren sich primär werbebasiert. Ihr zentrales Geschäftsziel ist die Maximierung von Aufmerksamkeit und Datenspuren, die an Werbetreibende weiterverkauft werden (Zuboff, 2019).</w:t>
      </w:r>
    </w:p>
    <w:p w14:paraId="6901A6FE" w14:textId="77777777" w:rsidR="00FD0741" w:rsidRDefault="00000000">
      <w:pPr>
        <w:pStyle w:val="Listenabsatz"/>
        <w:numPr>
          <w:ilvl w:val="0"/>
          <w:numId w:val="2"/>
        </w:numPr>
        <w:spacing w:after="80" w:line="300" w:lineRule="auto"/>
      </w:pPr>
      <w:r>
        <w:rPr>
          <w:b/>
          <w:bCs/>
        </w:rPr>
        <w:t xml:space="preserve">Abonnement- und On-Demand-Anbieter </w:t>
      </w:r>
      <w:r>
        <w:t>(Netflix, Spotify, Disney+) leben von langfristiger Kundenbindung. Ihr Ziel ist Engagement im Sinne von Zufriedenheit und Retention, nicht primär Scroll-Dauer.</w:t>
      </w:r>
    </w:p>
    <w:p w14:paraId="7F7059AD" w14:textId="77777777" w:rsidR="00FD0741" w:rsidRDefault="00000000">
      <w:pPr>
        <w:pStyle w:val="Listenabsatz"/>
        <w:numPr>
          <w:ilvl w:val="0"/>
          <w:numId w:val="2"/>
        </w:numPr>
        <w:spacing w:after="80" w:line="300" w:lineRule="auto"/>
      </w:pPr>
      <w:r>
        <w:rPr>
          <w:b/>
          <w:bCs/>
        </w:rPr>
        <w:t xml:space="preserve">Öffentlich-rechtliche und redaktionelle Anbieter </w:t>
      </w:r>
      <w:r>
        <w:t>(SRF, BBC, NZZ, DLF) folgen Leitbildern wie Bildungs-, Informations- und Kulturvermittlung. Sie finanzieren sich über Gebühren oder Abonnements und haben normative Verpflichtungen gegenüber Pluralismus und Qualität.</w:t>
      </w:r>
    </w:p>
    <w:p w14:paraId="142D4846" w14:textId="77777777" w:rsidR="00FD0741" w:rsidRDefault="00000000">
      <w:pPr>
        <w:spacing w:after="160" w:line="320" w:lineRule="auto"/>
        <w:jc w:val="both"/>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283A53D0" w14:textId="77777777" w:rsidR="00FD0741" w:rsidRDefault="00000000">
      <w:pPr>
        <w:pStyle w:val="berschrift3"/>
      </w:pPr>
      <w:r>
        <w:t>2.2.2  Nutzerseite</w:t>
      </w:r>
    </w:p>
    <w:p w14:paraId="60AE16BF" w14:textId="77777777" w:rsidR="00FD0741" w:rsidRDefault="00000000">
      <w:pPr>
        <w:spacing w:after="160" w:line="320" w:lineRule="auto"/>
        <w:jc w:val="both"/>
      </w:pPr>
      <w:r>
        <w:t xml:space="preserve">Auf der Nutzerseite lassen sich die Bedürfnisse entlang verschiedener theoretischer Rahmen gruppieren. Aus dem Uses-and-Gratifications-Ansatz (Katz, Blumler &amp; Gurevitch, 1973) ergeben sich typische Nutzungsmotive wie Information, Unterhaltung, soziale Interaktion und Identitätsbildung. Ergänzend identifizieren Ryan und Deci (2000) in der Self-Determination Theory drei psychologische Grundbedürfnisse, die für intrinsische Motivation und Wohlbefinden zentral sind: </w:t>
      </w:r>
    </w:p>
    <w:p w14:paraId="11AB8278" w14:textId="77777777" w:rsidR="00FD0741" w:rsidRDefault="00000000">
      <w:pPr>
        <w:pStyle w:val="Listenabsatz"/>
        <w:numPr>
          <w:ilvl w:val="0"/>
          <w:numId w:val="2"/>
        </w:numPr>
        <w:spacing w:after="80" w:line="300" w:lineRule="auto"/>
      </w:pPr>
      <w:r>
        <w:rPr>
          <w:b/>
          <w:bCs/>
        </w:rPr>
        <w:t xml:space="preserve">Autonomie: </w:t>
      </w:r>
      <w:r>
        <w:t>das Erleben, selbstbestimmt zu handeln und eigene Entscheidungen zu treffen;</w:t>
      </w:r>
    </w:p>
    <w:p w14:paraId="7BB8EA57" w14:textId="77777777" w:rsidR="00FD0741" w:rsidRDefault="00000000">
      <w:pPr>
        <w:pStyle w:val="Listenabsatz"/>
        <w:numPr>
          <w:ilvl w:val="0"/>
          <w:numId w:val="2"/>
        </w:numPr>
        <w:spacing w:after="80" w:line="300" w:lineRule="auto"/>
      </w:pPr>
      <w:r>
        <w:rPr>
          <w:b/>
          <w:bCs/>
        </w:rPr>
        <w:t xml:space="preserve">Kompetenz: </w:t>
      </w:r>
      <w:r>
        <w:t>das Gefühl, wirksam zu sein und Herausforderungen bewältigen zu können;</w:t>
      </w:r>
    </w:p>
    <w:p w14:paraId="00030704" w14:textId="77777777" w:rsidR="00FD0741" w:rsidRDefault="00000000">
      <w:pPr>
        <w:pStyle w:val="Listenabsatz"/>
        <w:numPr>
          <w:ilvl w:val="0"/>
          <w:numId w:val="2"/>
        </w:numPr>
        <w:spacing w:after="80" w:line="300" w:lineRule="auto"/>
      </w:pPr>
      <w:r>
        <w:rPr>
          <w:b/>
          <w:bCs/>
        </w:rPr>
        <w:t xml:space="preserve">soziale Eingebundenheit: </w:t>
      </w:r>
      <w:r>
        <w:t>das Erleben von bedeutungsvollen Beziehungen und Zugehörigkeit.</w:t>
      </w:r>
    </w:p>
    <w:p w14:paraId="0F30DE3A" w14:textId="77777777" w:rsidR="00FD0741" w:rsidRDefault="00000000">
      <w:pPr>
        <w:spacing w:after="160" w:line="320" w:lineRule="auto"/>
        <w:jc w:val="both"/>
      </w:pPr>
      <w:r>
        <w:t>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w:t>
      </w:r>
    </w:p>
    <w:p w14:paraId="60CA0C45" w14:textId="77777777" w:rsidR="00FD0741" w:rsidRDefault="00000000">
      <w:pPr>
        <w:spacing w:after="160" w:line="320" w:lineRule="auto"/>
        <w:jc w:val="both"/>
      </w:pPr>
      <w:r>
        <w:lastRenderedPageBreak/>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42459962" w14:textId="77777777" w:rsidR="00FD0741" w:rsidRDefault="00000000">
      <w:pPr>
        <w:pStyle w:val="berschrift2"/>
      </w:pPr>
      <w:r>
        <w:t>2.3  Mechanismen digitaler Medienangebote</w:t>
      </w:r>
    </w:p>
    <w:p w14:paraId="031A0C63" w14:textId="77777777" w:rsidR="00FD0741" w:rsidRDefault="00000000">
      <w:pPr>
        <w:spacing w:after="160" w:line="320" w:lineRule="auto"/>
        <w:jc w:val="both"/>
      </w:pPr>
      <w:r>
        <w:t>Die Motivationen beider Seiten schlagen sich in konkreten technischen Mechanismen nieder. Im Folgenden werden die zentralen Mechanismen aktueller Medienangebote beschrieben und ihre Funktionsweise skizziert.</w:t>
      </w:r>
    </w:p>
    <w:p w14:paraId="1959E5E5" w14:textId="77777777" w:rsidR="00FD0741" w:rsidRDefault="00000000">
      <w:pPr>
        <w:pStyle w:val="berschrift3"/>
      </w:pPr>
      <w:r>
        <w:t>2.3.1  Klassifikation und Ontologien</w:t>
      </w:r>
    </w:p>
    <w:p w14:paraId="28D530F3" w14:textId="77777777" w:rsidR="00FD0741" w:rsidRDefault="00000000">
      <w:pPr>
        <w:spacing w:after="160" w:line="320" w:lineRule="auto"/>
        <w:jc w:val="both"/>
      </w:pPr>
      <w:r>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15C3B1F2" w14:textId="77777777" w:rsidR="00FD0741" w:rsidRDefault="00000000">
      <w:pPr>
        <w:pStyle w:val="berschrift3"/>
      </w:pPr>
      <w:r>
        <w:t>2.3.2  Suche</w:t>
      </w:r>
    </w:p>
    <w:p w14:paraId="0F8E5853" w14:textId="77777777" w:rsidR="00FD0741" w:rsidRDefault="00000000">
      <w:pPr>
        <w:spacing w:after="160" w:line="320" w:lineRule="auto"/>
        <w:jc w:val="both"/>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62DF1F99" w14:textId="77777777" w:rsidR="00FD0741" w:rsidRDefault="00000000">
      <w:pPr>
        <w:pStyle w:val="berschrift3"/>
      </w:pPr>
      <w:r>
        <w:t>2.3.3  Empfehlungssysteme</w:t>
      </w:r>
    </w:p>
    <w:p w14:paraId="24CC1A4F" w14:textId="77777777" w:rsidR="00FD0741" w:rsidRDefault="00000000">
      <w:pPr>
        <w:spacing w:after="160" w:line="320" w:lineRule="auto"/>
        <w:jc w:val="both"/>
      </w:pPr>
      <w:r>
        <w:t>Empfehlungssysteme (Recommender Systems) schlagen Inhalte vor, ohne dass die Nutzenden aktiv danach suchen. In der Standardliteratur werden drei klassische Hauptparadigmen unterschieden (Ricci, Rokach &amp; Shapira, 2015):</w:t>
      </w:r>
    </w:p>
    <w:p w14:paraId="451A077D" w14:textId="77777777" w:rsidR="00FD0741" w:rsidRDefault="00000000">
      <w:pPr>
        <w:pStyle w:val="Listenabsatz"/>
        <w:numPr>
          <w:ilvl w:val="0"/>
          <w:numId w:val="2"/>
        </w:numPr>
        <w:spacing w:after="80" w:line="300" w:lineRule="auto"/>
      </w:pPr>
      <w:r>
        <w:rPr>
          <w:b/>
          <w:bCs/>
        </w:rPr>
        <w:t xml:space="preserve">Kollaboratives Filtern: </w:t>
      </w:r>
      <w:r>
        <w:t>Empfehlungen auf Basis der Ähnlichkeit zwischen Nutzenden (Prinzip: «Personen, die X mochten, mochten auch Y»).</w:t>
      </w:r>
    </w:p>
    <w:p w14:paraId="129E287F" w14:textId="77777777" w:rsidR="00FD0741" w:rsidRDefault="00000000">
      <w:pPr>
        <w:pStyle w:val="Listenabsatz"/>
        <w:numPr>
          <w:ilvl w:val="0"/>
          <w:numId w:val="2"/>
        </w:numPr>
        <w:spacing w:after="80" w:line="300" w:lineRule="auto"/>
      </w:pPr>
      <w:r>
        <w:rPr>
          <w:b/>
          <w:bCs/>
        </w:rPr>
        <w:t xml:space="preserve">Inhaltsbasiertes Filtern: </w:t>
      </w:r>
      <w:r>
        <w:t>Empfehlungen auf Basis der Ähnlichkeit zwischen Inhalten und des bisherigen Nutzerprofils.</w:t>
      </w:r>
    </w:p>
    <w:p w14:paraId="58843AB2" w14:textId="77777777" w:rsidR="00FD0741" w:rsidRDefault="00000000">
      <w:pPr>
        <w:pStyle w:val="Listenabsatz"/>
        <w:numPr>
          <w:ilvl w:val="0"/>
          <w:numId w:val="2"/>
        </w:numPr>
        <w:spacing w:after="80" w:line="300" w:lineRule="auto"/>
      </w:pPr>
      <w:r>
        <w:rPr>
          <w:b/>
          <w:bCs/>
        </w:rPr>
        <w:t xml:space="preserve">Hybride und Deep-Learning-basierte Ansätze: </w:t>
      </w:r>
      <w:r>
        <w:t>Kombination der obigen Verfahren mit impliziten Signalen (Verweildauer, Scrolltiefe, Wiederholungen) und tiefen neuronalen Modellen, wie sie in Feeds von TikTok oder Instagram dominieren.</w:t>
      </w:r>
    </w:p>
    <w:p w14:paraId="63CC9F18" w14:textId="77777777" w:rsidR="00FD0741" w:rsidRDefault="00000000">
      <w:pPr>
        <w:spacing w:after="160" w:line="320" w:lineRule="auto"/>
        <w:jc w:val="both"/>
      </w:pPr>
      <w:r>
        <w:lastRenderedPageBreak/>
        <w:t>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14:paraId="3C005328" w14:textId="77777777" w:rsidR="00FD0741" w:rsidRDefault="00000000">
      <w:pPr>
        <w:pStyle w:val="berschrift3"/>
      </w:pPr>
      <w:r>
        <w:t>2.3.4  Personalisierung und Feed-Kuration</w:t>
      </w:r>
    </w:p>
    <w:p w14:paraId="7382ED89" w14:textId="77777777" w:rsidR="00FD0741" w:rsidRDefault="00000000">
      <w:pPr>
        <w:spacing w:after="160" w:line="320" w:lineRule="auto"/>
        <w:jc w:val="both"/>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00DF8FF8" w14:textId="77777777" w:rsidR="00FD0741" w:rsidRDefault="00000000">
      <w:pPr>
        <w:pStyle w:val="berschrift3"/>
      </w:pPr>
      <w:r>
        <w:t>2.3.5  Sharing und soziale Mechanismen</w:t>
      </w:r>
    </w:p>
    <w:p w14:paraId="1BA2BF7D" w14:textId="77777777" w:rsidR="00FD0741" w:rsidRDefault="00000000">
      <w:pPr>
        <w:spacing w:after="160" w:line="320" w:lineRule="auto"/>
        <w:jc w:val="both"/>
      </w:pPr>
      <w:r>
        <w:t>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14:paraId="4D98E033" w14:textId="77777777" w:rsidR="00FD0741" w:rsidRDefault="00000000">
      <w:pPr>
        <w:pStyle w:val="berschrift3"/>
      </w:pPr>
      <w:r>
        <w:t>2.3.6  Persuasive Design und Nudging</w:t>
      </w:r>
    </w:p>
    <w:p w14:paraId="7CDDD5EF" w14:textId="77777777" w:rsidR="00FD0741" w:rsidRDefault="00000000">
      <w:pPr>
        <w:spacing w:after="160" w:line="320" w:lineRule="auto"/>
        <w:jc w:val="both"/>
      </w:pPr>
      <w:r>
        <w:t>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 Beide Ansätze sind wertneutral. In der kommerziellen Praxis werden sie jedoch überwiegend zur Engagement-Maximierung eingesetzt; sie liessen sich ebenso im Sinne des Nutzerwohls anwenden (Peters et al., 2018).</w:t>
      </w:r>
    </w:p>
    <w:p w14:paraId="65652C68" w14:textId="77777777" w:rsidR="00FD0741" w:rsidRDefault="00000000">
      <w:pPr>
        <w:pStyle w:val="berschrift3"/>
      </w:pPr>
      <w:r>
        <w:t>2.3.7  Monetarisierungsmechanismen</w:t>
      </w:r>
    </w:p>
    <w:p w14:paraId="756571E9" w14:textId="77777777" w:rsidR="00FD0741" w:rsidRDefault="00000000">
      <w:pPr>
        <w:spacing w:after="160" w:line="320" w:lineRule="auto"/>
        <w:jc w:val="both"/>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4FCFF992" w14:textId="77777777" w:rsidR="00FD0741" w:rsidRDefault="00000000">
      <w:pPr>
        <w:pStyle w:val="berschrift2"/>
      </w:pPr>
      <w:r>
        <w:lastRenderedPageBreak/>
        <w:t>2.4  Beurteilungsgrundlagen</w:t>
      </w:r>
    </w:p>
    <w:p w14:paraId="78A62EAD" w14:textId="77777777" w:rsidR="00FD0741" w:rsidRDefault="00000000">
      <w:pPr>
        <w:spacing w:after="160" w:line="320" w:lineRule="auto"/>
        <w:jc w:val="both"/>
      </w:pPr>
      <w:r>
        <w:t>Um die oben beschriebenen Mechanismen bewerten zu können, braucht es explizite Kriterien. Die Literatur stellt mehrere etablierte theoretische Rahmen zur Verfügung, die sich ergänzen.</w:t>
      </w:r>
    </w:p>
    <w:p w14:paraId="1A599E7B" w14:textId="77777777" w:rsidR="00FD0741" w:rsidRDefault="00000000">
      <w:pPr>
        <w:pStyle w:val="berschrift3"/>
      </w:pPr>
      <w:r>
        <w:t>2.4.1  Self-Determination Theory (SDT)</w:t>
      </w:r>
    </w:p>
    <w:p w14:paraId="7B21A36E" w14:textId="77777777" w:rsidR="00FD0741" w:rsidRDefault="00000000">
      <w:pPr>
        <w:spacing w:after="160" w:line="320" w:lineRule="auto"/>
        <w:jc w:val="both"/>
      </w:pPr>
      <w:r>
        <w:t>Die Self-Determination Theory (Ryan &amp; Deci, 2000) liefert mit den Grundbedürfnissen Autonomie, Kompetenz und soziale Eingebundenheit einen psychologischen Massstab: Mechanismen sind förderlich, wenn sie diese Bedürfnisse unterstützen, und schädlich, wenn sie sie untergraben. Das METUX-Modell (Peters et al., 2018) operationalisiert dies für die Gestaltung digitaler Produkte auf mehreren Ebenen.</w:t>
      </w:r>
    </w:p>
    <w:p w14:paraId="5487AF7E" w14:textId="77777777" w:rsidR="00FD0741" w:rsidRDefault="00000000">
      <w:pPr>
        <w:pStyle w:val="berschrift3"/>
      </w:pPr>
      <w:r>
        <w:t>2.4.2  Value-Sensitive Design (VSD)</w:t>
      </w:r>
    </w:p>
    <w:p w14:paraId="74644A6A" w14:textId="77777777" w:rsidR="00FD0741" w:rsidRDefault="00000000">
      <w:pPr>
        <w:spacing w:after="160" w:line="320" w:lineRule="auto"/>
        <w:jc w:val="both"/>
      </w:pPr>
      <w:r>
        <w:t>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4687B5F3" w14:textId="77777777" w:rsidR="00FD0741" w:rsidRDefault="00000000">
      <w:pPr>
        <w:pStyle w:val="berschrift3"/>
      </w:pPr>
      <w:r>
        <w:t>2.4.3  Digital Wellbeing</w:t>
      </w:r>
    </w:p>
    <w:p w14:paraId="5F5C056A" w14:textId="77777777" w:rsidR="00FD0741" w:rsidRDefault="00000000">
      <w:pPr>
        <w:spacing w:after="160" w:line="320" w:lineRule="auto"/>
        <w:jc w:val="both"/>
      </w:pPr>
      <w:r>
        <w:t>Digital Wellbeing beschreibt die Qualität des Medienkonsums aus Perspektive des Nutzers.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14:paraId="6848A10D" w14:textId="77777777" w:rsidR="00FD0741" w:rsidRDefault="00000000">
      <w:pPr>
        <w:pStyle w:val="berschrift3"/>
      </w:pPr>
      <w:r>
        <w:t>2.4.4  Ethik von Empfehlungssystemen und algorithmische Souveränität</w:t>
      </w:r>
    </w:p>
    <w:p w14:paraId="45575EFE" w14:textId="77777777" w:rsidR="00FD0741" w:rsidRDefault="00000000">
      <w:pPr>
        <w:spacing w:after="160" w:line="320" w:lineRule="auto"/>
        <w:jc w:val="both"/>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w:t>
      </w:r>
    </w:p>
    <w:p w14:paraId="43E405FF" w14:textId="77777777" w:rsidR="00FD0741" w:rsidRDefault="00000000">
      <w:pPr>
        <w:pStyle w:val="berschrift3"/>
      </w:pPr>
      <w:r>
        <w:t>2.4.5  Gebrauchstauglichkeit und Akzeptanz</w:t>
      </w:r>
    </w:p>
    <w:p w14:paraId="1DC6EBAB" w14:textId="77777777" w:rsidR="00FD0741" w:rsidRDefault="00000000">
      <w:pPr>
        <w:spacing w:after="160" w:line="320" w:lineRule="auto"/>
        <w:jc w:val="both"/>
      </w:pPr>
      <w:r>
        <w:lastRenderedPageBreak/>
        <w:t>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14:paraId="734BC567" w14:textId="77777777" w:rsidR="00FD0741" w:rsidRDefault="00000000">
      <w:pPr>
        <w:pStyle w:val="berschrift2"/>
      </w:pPr>
      <w:r>
        <w:t>2.5  Gegenüberstellung der Medienmodelle</w:t>
      </w:r>
    </w:p>
    <w:p w14:paraId="3CE0E8CB" w14:textId="77777777" w:rsidR="00FD0741" w:rsidRDefault="00000000">
      <w:pPr>
        <w:spacing w:after="160" w:line="320" w:lineRule="auto"/>
        <w:jc w:val="both"/>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D0741" w14:paraId="58CA0753" w14:textId="77777777">
        <w:tblPrEx>
          <w:tblCellMar>
            <w:top w:w="0" w:type="dxa"/>
            <w:bottom w:w="0" w:type="dxa"/>
          </w:tblCellMar>
        </w:tblPrEx>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E8EEF4"/>
            <w:tcMar>
              <w:top w:w="100" w:type="dxa"/>
              <w:left w:w="120" w:type="dxa"/>
              <w:bottom w:w="100" w:type="dxa"/>
              <w:right w:w="120" w:type="dxa"/>
            </w:tcMar>
          </w:tcPr>
          <w:p w14:paraId="1B4F8EA3" w14:textId="77777777" w:rsidR="00FD0741" w:rsidRDefault="00000000">
            <w:r>
              <w:rPr>
                <w:b/>
                <w:bCs/>
                <w:sz w:val="20"/>
                <w:szCs w:val="20"/>
              </w:rPr>
              <w:t>Dimension</w:t>
            </w:r>
          </w:p>
        </w:tc>
        <w:tc>
          <w:tcPr>
            <w:tcW w:w="2340" w:type="dxa"/>
            <w:tcBorders>
              <w:top w:val="single" w:sz="4" w:space="0" w:color="BFBFBF"/>
              <w:left w:val="single" w:sz="4" w:space="0" w:color="BFBFBF"/>
              <w:bottom w:val="single" w:sz="4" w:space="0" w:color="BFBFBF"/>
              <w:right w:val="single" w:sz="4" w:space="0" w:color="BFBFBF"/>
            </w:tcBorders>
            <w:shd w:val="clear" w:color="auto" w:fill="E8EEF4"/>
            <w:tcMar>
              <w:top w:w="100" w:type="dxa"/>
              <w:left w:w="120" w:type="dxa"/>
              <w:bottom w:w="100" w:type="dxa"/>
              <w:right w:w="120" w:type="dxa"/>
            </w:tcMar>
          </w:tcPr>
          <w:p w14:paraId="561FC35A" w14:textId="77777777" w:rsidR="00FD0741" w:rsidRDefault="00000000">
            <w:r>
              <w:rPr>
                <w:b/>
                <w:bCs/>
                <w:sz w:val="20"/>
                <w:szCs w:val="20"/>
              </w:rPr>
              <w:t>Redaktionelles Modell</w:t>
            </w:r>
          </w:p>
        </w:tc>
        <w:tc>
          <w:tcPr>
            <w:tcW w:w="2340" w:type="dxa"/>
            <w:tcBorders>
              <w:top w:val="single" w:sz="4" w:space="0" w:color="BFBFBF"/>
              <w:left w:val="single" w:sz="4" w:space="0" w:color="BFBFBF"/>
              <w:bottom w:val="single" w:sz="4" w:space="0" w:color="BFBFBF"/>
              <w:right w:val="single" w:sz="4" w:space="0" w:color="BFBFBF"/>
            </w:tcBorders>
            <w:shd w:val="clear" w:color="auto" w:fill="E8EEF4"/>
            <w:tcMar>
              <w:top w:w="100" w:type="dxa"/>
              <w:left w:w="120" w:type="dxa"/>
              <w:bottom w:w="100" w:type="dxa"/>
              <w:right w:w="120" w:type="dxa"/>
            </w:tcMar>
          </w:tcPr>
          <w:p w14:paraId="1B96401E" w14:textId="77777777" w:rsidR="00FD0741" w:rsidRDefault="00000000">
            <w:r>
              <w:rPr>
                <w:b/>
                <w:bCs/>
                <w:sz w:val="20"/>
                <w:szCs w:val="20"/>
              </w:rPr>
              <w:t>Engagement-optimiertes Modell</w:t>
            </w:r>
          </w:p>
        </w:tc>
        <w:tc>
          <w:tcPr>
            <w:tcW w:w="2340" w:type="dxa"/>
            <w:tcBorders>
              <w:top w:val="single" w:sz="4" w:space="0" w:color="BFBFBF"/>
              <w:left w:val="single" w:sz="4" w:space="0" w:color="BFBFBF"/>
              <w:bottom w:val="single" w:sz="4" w:space="0" w:color="BFBFBF"/>
              <w:right w:val="single" w:sz="4" w:space="0" w:color="BFBFBF"/>
            </w:tcBorders>
            <w:shd w:val="clear" w:color="auto" w:fill="E8EEF4"/>
            <w:tcMar>
              <w:top w:w="100" w:type="dxa"/>
              <w:left w:w="120" w:type="dxa"/>
              <w:bottom w:w="100" w:type="dxa"/>
              <w:right w:w="120" w:type="dxa"/>
            </w:tcMar>
          </w:tcPr>
          <w:p w14:paraId="6E26925E" w14:textId="77777777" w:rsidR="00FD0741" w:rsidRDefault="00000000">
            <w:r>
              <w:rPr>
                <w:b/>
                <w:bCs/>
                <w:sz w:val="20"/>
                <w:szCs w:val="20"/>
              </w:rPr>
              <w:t>Wellbeing-orientiertes Modell</w:t>
            </w:r>
          </w:p>
        </w:tc>
      </w:tr>
      <w:tr w:rsidR="00FD0741" w14:paraId="689F8D17"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987D9A3" w14:textId="77777777" w:rsidR="00FD0741" w:rsidRDefault="00000000">
            <w:r>
              <w:rPr>
                <w:sz w:val="20"/>
                <w:szCs w:val="20"/>
              </w:rPr>
              <w:t>Kuration</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BB51DED" w14:textId="77777777" w:rsidR="00FD0741" w:rsidRDefault="00000000">
            <w:r>
              <w:rPr>
                <w:sz w:val="20"/>
                <w:szCs w:val="20"/>
              </w:rPr>
              <w:t>Menschliche Redaktion</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E49F385" w14:textId="77777777" w:rsidR="00FD0741" w:rsidRDefault="00000000">
            <w:r>
              <w:rPr>
                <w:sz w:val="20"/>
                <w:szCs w:val="20"/>
              </w:rPr>
              <w:t>Algorithmisch, auf Verweildauer optimiert</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6104121" w14:textId="77777777" w:rsidR="00FD0741" w:rsidRDefault="00000000">
            <w:r>
              <w:rPr>
                <w:sz w:val="20"/>
                <w:szCs w:val="20"/>
              </w:rPr>
              <w:t>Algorithmisch, auf Nutzerwohl optimiert</w:t>
            </w:r>
          </w:p>
        </w:tc>
      </w:tr>
      <w:tr w:rsidR="00FD0741" w14:paraId="45FB1E6F"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BF4A02B" w14:textId="77777777" w:rsidR="00FD0741" w:rsidRDefault="00000000">
            <w:r>
              <w:rPr>
                <w:sz w:val="20"/>
                <w:szCs w:val="20"/>
              </w:rPr>
              <w:t>Transparenz</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2B17248" w14:textId="77777777" w:rsidR="00FD0741" w:rsidRDefault="00000000">
            <w:r>
              <w:rPr>
                <w:sz w:val="20"/>
                <w:szCs w:val="20"/>
              </w:rPr>
              <w:t>Redaktionsstatut, öffentliche Leitlinien</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C79F3C5" w14:textId="77777777" w:rsidR="00FD0741" w:rsidRDefault="00000000">
            <w:r>
              <w:rPr>
                <w:sz w:val="20"/>
                <w:szCs w:val="20"/>
              </w:rPr>
              <w:t>Black-Box-Algorithmus</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D89AE94" w14:textId="77777777" w:rsidR="00FD0741" w:rsidRDefault="00000000">
            <w:r>
              <w:rPr>
                <w:sz w:val="20"/>
                <w:szCs w:val="20"/>
              </w:rPr>
              <w:t>Nachvollziehbare Kriterien, offene Logik</w:t>
            </w:r>
          </w:p>
        </w:tc>
      </w:tr>
      <w:tr w:rsidR="00FD0741" w14:paraId="3C5F186C"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DCB6AC8" w14:textId="77777777" w:rsidR="00FD0741" w:rsidRDefault="00000000">
            <w:r>
              <w:rPr>
                <w:sz w:val="20"/>
                <w:szCs w:val="20"/>
              </w:rPr>
              <w:t>Nutzerkontrolle</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FCC480F" w14:textId="77777777" w:rsidR="00FD0741" w:rsidRDefault="00000000">
            <w:r>
              <w:rPr>
                <w:sz w:val="20"/>
                <w:szCs w:val="20"/>
              </w:rPr>
              <w:t>Gering (fixer Programmplan)</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AF53347" w14:textId="77777777" w:rsidR="00FD0741" w:rsidRDefault="00000000">
            <w:r>
              <w:rPr>
                <w:sz w:val="20"/>
                <w:szCs w:val="20"/>
              </w:rPr>
              <w:t>Minimal (Like/Skip, Interessen-Tagging)</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BBCFDBE" w14:textId="77777777" w:rsidR="00FD0741" w:rsidRDefault="00000000">
            <w:r>
              <w:rPr>
                <w:sz w:val="20"/>
                <w:szCs w:val="20"/>
              </w:rPr>
              <w:t>Aktiv (Themen, Filter, Intensität)</w:t>
            </w:r>
          </w:p>
        </w:tc>
      </w:tr>
      <w:tr w:rsidR="00FD0741" w14:paraId="39C10DDB"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738BC21" w14:textId="77777777" w:rsidR="00FD0741" w:rsidRDefault="00000000">
            <w:r>
              <w:rPr>
                <w:sz w:val="20"/>
                <w:szCs w:val="20"/>
              </w:rPr>
              <w:t>Inhaltsvielfalt</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696101C" w14:textId="77777777" w:rsidR="00FD0741" w:rsidRDefault="00000000">
            <w:r>
              <w:rPr>
                <w:sz w:val="20"/>
                <w:szCs w:val="20"/>
              </w:rPr>
              <w:t>Pluralismusauftrag</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5F4DF03" w14:textId="77777777" w:rsidR="00FD0741" w:rsidRDefault="00000000">
            <w:r>
              <w:rPr>
                <w:sz w:val="20"/>
                <w:szCs w:val="20"/>
              </w:rPr>
              <w:t>Filterblasen, Echokammern</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E1C2B97" w14:textId="77777777" w:rsidR="00FD0741" w:rsidRDefault="00000000">
            <w:r>
              <w:rPr>
                <w:sz w:val="20"/>
                <w:szCs w:val="20"/>
              </w:rPr>
              <w:t>Bewusste Diversifikation, Serendipität</w:t>
            </w:r>
          </w:p>
        </w:tc>
      </w:tr>
      <w:tr w:rsidR="00FD0741" w14:paraId="1DDE2B94"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E3D67C5" w14:textId="77777777" w:rsidR="00FD0741" w:rsidRDefault="00000000">
            <w:r>
              <w:rPr>
                <w:sz w:val="20"/>
                <w:szCs w:val="20"/>
              </w:rPr>
              <w:t>Zeitmanagement</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4C2C8E8" w14:textId="77777777" w:rsidR="00FD0741" w:rsidRDefault="00000000">
            <w:r>
              <w:rPr>
                <w:sz w:val="20"/>
                <w:szCs w:val="20"/>
              </w:rPr>
              <w:t>Sendezeiten, Programmrahmen</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FA24C0A" w14:textId="77777777" w:rsidR="00FD0741" w:rsidRDefault="00000000">
            <w:r>
              <w:rPr>
                <w:sz w:val="20"/>
                <w:szCs w:val="20"/>
              </w:rPr>
              <w:t>Endloses Scrollen, Autoplay</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04BFAB8" w14:textId="77777777" w:rsidR="00FD0741" w:rsidRDefault="00000000">
            <w:r>
              <w:rPr>
                <w:sz w:val="20"/>
                <w:szCs w:val="20"/>
              </w:rPr>
              <w:t>Definierte Länge, natürliche Pausen</w:t>
            </w:r>
          </w:p>
        </w:tc>
      </w:tr>
      <w:tr w:rsidR="00FD0741" w14:paraId="02C6AFA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F3A9239" w14:textId="77777777" w:rsidR="00FD0741" w:rsidRDefault="00000000">
            <w:r>
              <w:rPr>
                <w:sz w:val="20"/>
                <w:szCs w:val="20"/>
              </w:rPr>
              <w:t>Finanzierung</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5087D28" w14:textId="77777777" w:rsidR="00FD0741" w:rsidRDefault="00000000">
            <w:r>
              <w:rPr>
                <w:sz w:val="20"/>
                <w:szCs w:val="20"/>
              </w:rPr>
              <w:t>Gebühren, Abonnement</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1B64977" w14:textId="77777777" w:rsidR="00FD0741" w:rsidRDefault="00000000">
            <w:r>
              <w:rPr>
                <w:sz w:val="20"/>
                <w:szCs w:val="20"/>
              </w:rPr>
              <w:t>Werbung, Datenhandel</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92D1D37" w14:textId="77777777" w:rsidR="00FD0741" w:rsidRDefault="00000000">
            <w:r>
              <w:rPr>
                <w:sz w:val="20"/>
                <w:szCs w:val="20"/>
              </w:rPr>
              <w:t>Variabel (Gebühren, Abo, Stiftung)</w:t>
            </w:r>
          </w:p>
        </w:tc>
      </w:tr>
      <w:tr w:rsidR="00FD0741" w14:paraId="2B9DCB54"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B4D905B" w14:textId="77777777" w:rsidR="00FD0741" w:rsidRDefault="00000000">
            <w:r>
              <w:rPr>
                <w:sz w:val="20"/>
                <w:szCs w:val="20"/>
              </w:rPr>
              <w:t>Leitwert</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9A7C21D" w14:textId="77777777" w:rsidR="00FD0741" w:rsidRDefault="00000000">
            <w:r>
              <w:rPr>
                <w:sz w:val="20"/>
                <w:szCs w:val="20"/>
              </w:rPr>
              <w:t>Qualität, Pluralismus</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3CE8EDB" w14:textId="77777777" w:rsidR="00FD0741" w:rsidRDefault="00000000">
            <w:r>
              <w:rPr>
                <w:sz w:val="20"/>
                <w:szCs w:val="20"/>
              </w:rPr>
              <w:t>Gewinnmaximierung</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64B2381" w14:textId="77777777" w:rsidR="00FD0741" w:rsidRDefault="00000000">
            <w:r>
              <w:rPr>
                <w:sz w:val="20"/>
                <w:szCs w:val="20"/>
              </w:rPr>
              <w:t>Nutzerwohl, Autonomie</w:t>
            </w:r>
          </w:p>
        </w:tc>
      </w:tr>
    </w:tbl>
    <w:p w14:paraId="5F8E2995" w14:textId="77777777" w:rsidR="00FD0741" w:rsidRDefault="00000000">
      <w:pPr>
        <w:spacing w:after="160" w:line="320" w:lineRule="auto"/>
        <w:jc w:val="both"/>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p w14:paraId="6BDE31B0" w14:textId="77777777" w:rsidR="00FD0741" w:rsidRDefault="00000000">
      <w:pPr>
        <w:pStyle w:val="berschrift2"/>
      </w:pPr>
      <w:r>
        <w:t>2.6  Forschungslücke</w:t>
      </w:r>
    </w:p>
    <w:p w14:paraId="462510BE" w14:textId="77777777" w:rsidR="00FD0741" w:rsidRDefault="00000000">
      <w:pPr>
        <w:spacing w:after="160" w:line="320" w:lineRule="auto"/>
        <w:jc w:val="both"/>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170020C4" w14:textId="77777777" w:rsidR="00FD0741" w:rsidRDefault="00000000">
      <w:pPr>
        <w:spacing w:after="160" w:line="320" w:lineRule="auto"/>
        <w:jc w:val="both"/>
      </w:pPr>
      <w:r>
        <w:lastRenderedPageBreak/>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7AF5CD93" w14:textId="77777777" w:rsidR="00FD0741" w:rsidRDefault="00000000">
      <w:r>
        <w:br w:type="page"/>
      </w:r>
    </w:p>
    <w:p w14:paraId="42DC8074" w14:textId="77777777" w:rsidR="00FD0741" w:rsidRDefault="00000000">
      <w:pPr>
        <w:pStyle w:val="berschrift1"/>
      </w:pPr>
      <w:r>
        <w:lastRenderedPageBreak/>
        <w:t>Literaturverzeichnis (vorläufig)</w:t>
      </w:r>
    </w:p>
    <w:p w14:paraId="2038CC51" w14:textId="77777777" w:rsidR="00FD0741" w:rsidRDefault="00000000">
      <w:pPr>
        <w:spacing w:after="160" w:line="320" w:lineRule="auto"/>
        <w:jc w:val="both"/>
      </w:pPr>
      <w:r>
        <w:t>Die folgende Liste enthält die in den Kapiteln 1 und 2 zitierten Quellen. Sie wird im weiteren Verlauf der Arbeit ergänzt und vollständig in Zotero verwaltet.</w:t>
      </w:r>
    </w:p>
    <w:p w14:paraId="3E0301AA" w14:textId="77777777" w:rsidR="00FD0741" w:rsidRDefault="00000000">
      <w:pPr>
        <w:spacing w:after="120" w:line="280" w:lineRule="auto"/>
        <w:ind w:left="720" w:hanging="720"/>
      </w:pPr>
      <w:r>
        <w:t>Bangor, A., Kortum, P. T., &amp; Miller, J. T. (2008). An empirical evaluation of the System Usability Scale. International Journal of Human-Computer Interaction, 24(6), 574–594. https://doi.org/10.1080/10447310802205776</w:t>
      </w:r>
    </w:p>
    <w:p w14:paraId="1463A01E" w14:textId="77777777" w:rsidR="00FD0741" w:rsidRDefault="00000000">
      <w:pPr>
        <w:spacing w:after="120" w:line="280" w:lineRule="auto"/>
        <w:ind w:left="720" w:hanging="720"/>
      </w:pPr>
      <w:r>
        <w:t>Brooke, J. (1996). SUS: A «quick and dirty» usability scale. In P. W. Jordan, B. Thomas, I. L. McClelland &amp; B. Weerdmeester (Hrsg.), Usability evaluation in industry (S. 189–194). Taylor &amp; Francis.</w:t>
      </w:r>
    </w:p>
    <w:p w14:paraId="4D024BB5" w14:textId="77777777" w:rsidR="00FD0741" w:rsidRDefault="00000000">
      <w:pPr>
        <w:spacing w:after="120" w:line="280" w:lineRule="auto"/>
        <w:ind w:left="720" w:hanging="720"/>
      </w:pPr>
      <w:r>
        <w:t>Burr, C., Taddeo, M., &amp; Floridi, L. (2020). The ethics of digital well-being: A thematic review. Science and Engineering Ethics, 26, 2441–2460. https://doi.org/10.1007/s11948-020-00175-8</w:t>
      </w:r>
    </w:p>
    <w:p w14:paraId="6C1F2A0E" w14:textId="77777777" w:rsidR="00FD0741" w:rsidRDefault="00000000">
      <w:pPr>
        <w:spacing w:after="120" w:line="280" w:lineRule="auto"/>
        <w:ind w:left="720" w:hanging="720"/>
      </w:pPr>
      <w:r>
        <w:t>Calvo, R. A., &amp; Peters, D. (2014). Positive computing: Technology for wellbeing and human potential. MIT Press.</w:t>
      </w:r>
    </w:p>
    <w:p w14:paraId="029D49FC" w14:textId="77777777" w:rsidR="00FD0741" w:rsidRDefault="00000000">
      <w:pPr>
        <w:spacing w:after="120" w:line="280" w:lineRule="auto"/>
        <w:ind w:left="720" w:hanging="720"/>
      </w:pPr>
      <w:r>
        <w:t>Fogg, B. J. (2003). The functional triad: Computers in persuasive roles. In Persuasive technology: Using computers to change what we think and do (Kap. 2, S. 23–29). Morgan Kaufmann. https://doi.org/10.1016/B978-1-55860-643-2.X5000-8</w:t>
      </w:r>
    </w:p>
    <w:p w14:paraId="672BF56D" w14:textId="77777777" w:rsidR="00FD0741" w:rsidRDefault="00000000">
      <w:pPr>
        <w:spacing w:after="120" w:line="280" w:lineRule="auto"/>
        <w:ind w:left="720" w:hanging="720"/>
      </w:pPr>
      <w:r>
        <w:t>Geschke, D., Lorenz, J., &amp; Holtz, P. (2019). The triple-filter bubble: Using agent-based modelling to test a meta-theoretical framework for the emergence of filter bubbles and echo chambers. British Journal of Social Psychology, 58(1), 129–149. https://doi.org/10.1111/bjso.12286</w:t>
      </w:r>
    </w:p>
    <w:p w14:paraId="1C734F3D" w14:textId="77777777" w:rsidR="00FD0741" w:rsidRDefault="00000000">
      <w:pPr>
        <w:spacing w:after="120" w:line="280" w:lineRule="auto"/>
        <w:ind w:left="720" w:hanging="720"/>
      </w:pPr>
      <w:r>
        <w:t>Hendry, D. G., Friedman, B., &amp; Ballard, S. (2021). Value sensitive design as a formative framework. Ethics and Information Technology, 23(1), 39–44. https://doi.org/10.1007/s10676-021-09579-x</w:t>
      </w:r>
    </w:p>
    <w:p w14:paraId="0EB38C36" w14:textId="77777777" w:rsidR="00FD0741" w:rsidRDefault="00000000">
      <w:pPr>
        <w:spacing w:after="120" w:line="280" w:lineRule="auto"/>
        <w:ind w:left="720" w:hanging="720"/>
      </w:pPr>
      <w:r>
        <w:t>Katz, E., Blumler, J. G., &amp; Gurevitch, M. (1973). Uses and gratifications research. Public Opinion Quarterly, 37(4), 509–523. https://doi.org/10.1086/268109</w:t>
      </w:r>
    </w:p>
    <w:p w14:paraId="1916BE2C" w14:textId="77777777" w:rsidR="00FD0741" w:rsidRDefault="00000000">
      <w:pPr>
        <w:spacing w:after="120" w:line="280" w:lineRule="auto"/>
        <w:ind w:left="720" w:hanging="720"/>
      </w:pPr>
      <w:r>
        <w:t>Milano, S., Taddeo, M., &amp; Floridi, L. (2020). Recommender systems and their ethical challenges. AI &amp; Society, 35, 957–967. https://doi.org/10.1007/s00146-020-00950-y</w:t>
      </w:r>
    </w:p>
    <w:p w14:paraId="188A6D90" w14:textId="77777777" w:rsidR="00FD0741" w:rsidRDefault="00000000">
      <w:pPr>
        <w:spacing w:after="120" w:line="280" w:lineRule="auto"/>
        <w:ind w:left="720" w:hanging="720"/>
      </w:pPr>
      <w:r>
        <w:t>Montag, C., &amp; Elhai, J. D. (2023). On social media design, (online-)time well-spent and addictive behaviors in the age of surveillance capitalism. Current Addiction Reports, 10(4), 384–395. https://doi.org/10.1007/s40429-023-00494-3</w:t>
      </w:r>
    </w:p>
    <w:p w14:paraId="1199DD0C" w14:textId="77777777" w:rsidR="00FD0741" w:rsidRDefault="00000000">
      <w:pPr>
        <w:spacing w:after="120" w:line="280" w:lineRule="auto"/>
        <w:ind w:left="720" w:hanging="720"/>
      </w:pPr>
      <w: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56C1BD85" w14:textId="77777777" w:rsidR="00FD0741" w:rsidRDefault="00000000">
      <w:pPr>
        <w:spacing w:after="120" w:line="280" w:lineRule="auto"/>
        <w:ind w:left="720" w:hanging="720"/>
      </w:pPr>
      <w:r>
        <w:t>Nguyen, T. T., Hui, P.-M., Harper, F. M., Terveen, L., &amp; Konstan, J. A. (2014). Exploring the filter bubble: The effect of using recommender systems on content diversity. In Proceedings of the 23rd International Conference on World Wide Web (S. 677–686). ACM. https://doi.org/10.1145/2566486.2568012</w:t>
      </w:r>
    </w:p>
    <w:p w14:paraId="61907EF1" w14:textId="77777777" w:rsidR="00FD0741" w:rsidRDefault="00000000">
      <w:pPr>
        <w:spacing w:after="120" w:line="280" w:lineRule="auto"/>
        <w:ind w:left="720" w:hanging="720"/>
      </w:pPr>
      <w:r>
        <w:lastRenderedPageBreak/>
        <w:t>Orben, A. (2020). Teenagers, screens and social media: A narrative review of reviews and key studies. Social Psychiatry and Psychiatric Epidemiology, 55(4), 407–414. https://doi.org/10.1007/s00127-019-01825-4</w:t>
      </w:r>
    </w:p>
    <w:p w14:paraId="7F62C567" w14:textId="77777777" w:rsidR="00FD0741" w:rsidRDefault="00000000">
      <w:pPr>
        <w:spacing w:after="120" w:line="280" w:lineRule="auto"/>
        <w:ind w:left="720" w:hanging="720"/>
      </w:pPr>
      <w:r>
        <w:t>Pariser, E. (2011). The filter bubble: What the internet is hiding from you. Penguin Press.</w:t>
      </w:r>
    </w:p>
    <w:p w14:paraId="0B3C092A" w14:textId="77777777" w:rsidR="00FD0741" w:rsidRDefault="00000000">
      <w:pPr>
        <w:spacing w:after="120" w:line="280" w:lineRule="auto"/>
        <w:ind w:left="720" w:hanging="720"/>
      </w:pPr>
      <w:r>
        <w:t>Peters, D., Ahmadpour, N., &amp; Calvo, R. A. (2020). Tools for wellbeing-supportive design: Features, characteristics, and prototypes. Multimodal Technologies and Interaction, 4(3), 40. https://doi.org/10.3390/mti4030040</w:t>
      </w:r>
    </w:p>
    <w:p w14:paraId="193856C5" w14:textId="77777777" w:rsidR="00FD0741" w:rsidRDefault="00000000">
      <w:pPr>
        <w:spacing w:after="120" w:line="280" w:lineRule="auto"/>
        <w:ind w:left="720" w:hanging="720"/>
      </w:pPr>
      <w:r>
        <w:t>Peters, D., Calvo, R. A., &amp; Ryan, R. M. (2018). Designing for motivation, engagement and wellbeing in digital experience. Frontiers in Psychology, 9, 797. https://doi.org/10.3389/fpsyg.2018.00797</w:t>
      </w:r>
    </w:p>
    <w:p w14:paraId="2165741F" w14:textId="77777777" w:rsidR="00FD0741" w:rsidRDefault="00000000">
      <w:pPr>
        <w:spacing w:after="120" w:line="280" w:lineRule="auto"/>
        <w:ind w:left="720" w:hanging="720"/>
      </w:pPr>
      <w:r>
        <w:t>Reviglio, U., &amp; Agosti, C. (2020). Thinking outside the black-box: The case for «algorithmic sovereignty» in social media. Social Media + Society, 6(2), 1–12. https://doi.org/10.1177/2056305120915613</w:t>
      </w:r>
    </w:p>
    <w:p w14:paraId="4C2497B6" w14:textId="77777777" w:rsidR="00FD0741" w:rsidRDefault="00000000">
      <w:pPr>
        <w:spacing w:after="120" w:line="280" w:lineRule="auto"/>
        <w:ind w:left="720" w:hanging="720"/>
      </w:pPr>
      <w:r>
        <w:t>Ricci, F., Rokach, L., &amp; Shapira, B. (Hrsg.). (2015). Recommender systems handbook (2. Aufl.). Springer. https://doi.org/10.1007/978-1-4899-7637-6</w:t>
      </w:r>
    </w:p>
    <w:p w14:paraId="32DD01C7" w14:textId="77777777" w:rsidR="00FD0741" w:rsidRDefault="00000000">
      <w:pPr>
        <w:spacing w:after="120" w:line="280" w:lineRule="auto"/>
        <w:ind w:left="720" w:hanging="720"/>
      </w:pPr>
      <w:r>
        <w:t>Ryan, R. M., &amp; Deci, E. L. (2000). Self-determination theory and the facilitation of intrinsic motivation, social development, and well-being. American Psychologist, 55(1), 68–78. https://doi.org/10.1037/0003-066X.55.1.68</w:t>
      </w:r>
    </w:p>
    <w:p w14:paraId="6399EEE8" w14:textId="77777777" w:rsidR="00FD0741" w:rsidRDefault="00000000">
      <w:pPr>
        <w:spacing w:after="120" w:line="280" w:lineRule="auto"/>
        <w:ind w:left="720" w:hanging="720"/>
      </w:pPr>
      <w:r>
        <w:t>Sunstein, C. R. (2017). Polarization. In #Republic: Divided democracy in the age of social media (Kap. 3, S. 59–97). Princeton University Press.</w:t>
      </w:r>
    </w:p>
    <w:p w14:paraId="236F1C4A" w14:textId="77777777" w:rsidR="00FD0741" w:rsidRDefault="00000000">
      <w:pPr>
        <w:spacing w:after="120" w:line="280" w:lineRule="auto"/>
        <w:ind w:left="720" w:hanging="720"/>
      </w:pPr>
      <w:r>
        <w:t>Vanden Abeele, M. M. P. (2021). Digital wellbeing as a dynamic construct. Communication Theory, 31(4), 932–955. https://doi.org/10.1093/ct/qtaa024</w:t>
      </w:r>
    </w:p>
    <w:p w14:paraId="789D0CD5" w14:textId="77777777" w:rsidR="00FD0741" w:rsidRDefault="00000000">
      <w:pPr>
        <w:spacing w:after="120" w:line="280" w:lineRule="auto"/>
        <w:ind w:left="720" w:hanging="720"/>
      </w:pPr>
      <w: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3C02524C" w14:textId="77777777" w:rsidR="00FD0741" w:rsidRDefault="00000000">
      <w:pPr>
        <w:spacing w:after="120" w:line="280" w:lineRule="auto"/>
        <w:ind w:left="720" w:hanging="720"/>
      </w:pPr>
      <w:r>
        <w:t>Vosoughi, S., Roy, D., &amp; Aral, S. (2018). The spread of true and false news online. Science, 359(6380), 1146–1151. https://doi.org/10.1126/science.aap9559</w:t>
      </w:r>
    </w:p>
    <w:p w14:paraId="401BFE75" w14:textId="77777777" w:rsidR="00FD0741" w:rsidRDefault="00000000">
      <w:pPr>
        <w:spacing w:after="120" w:line="280" w:lineRule="auto"/>
        <w:ind w:left="720" w:hanging="720"/>
      </w:pPr>
      <w:r>
        <w:t>Weinmann, M., Schneider, C., &amp; vom Brocke, J. (2016). Digital nudging. Business &amp; Information Systems Engineering, 58(6), 433–436. https://doi.org/10.1007/s12599-016-0453-3</w:t>
      </w:r>
    </w:p>
    <w:p w14:paraId="0CFDA7F9" w14:textId="77777777" w:rsidR="00FD0741" w:rsidRDefault="00000000">
      <w:pPr>
        <w:spacing w:after="120" w:line="280" w:lineRule="auto"/>
        <w:ind w:left="720" w:hanging="720"/>
      </w:pPr>
      <w:r>
        <w:t>Zuboff, S. (2019). The discovery of behavioral surplus. In The age of surveillance capitalism: The fight for a human future at the new frontier of power (Kap. 3, S. 63–97). PublicAffairs.</w:t>
      </w:r>
    </w:p>
    <w:sectPr w:rsidR="00FD074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27F66" w14:textId="77777777" w:rsidR="002F749C" w:rsidRDefault="002F749C">
      <w:r>
        <w:separator/>
      </w:r>
    </w:p>
  </w:endnote>
  <w:endnote w:type="continuationSeparator" w:id="0">
    <w:p w14:paraId="291768A1" w14:textId="77777777" w:rsidR="002F749C" w:rsidRDefault="002F7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89974" w14:textId="77777777" w:rsidR="00FD0741" w:rsidRDefault="00000000">
    <w:pPr>
      <w:jc w:val="center"/>
    </w:pPr>
    <w:r>
      <w:rPr>
        <w:color w:val="808080"/>
        <w:sz w:val="18"/>
        <w:szCs w:val="18"/>
      </w:rPr>
      <w:t xml:space="preserve">Seite </w:t>
    </w:r>
    <w:r>
      <w:rPr>
        <w:color w:val="808080"/>
        <w:sz w:val="18"/>
        <w:szCs w:val="18"/>
      </w:rPr>
      <w:fldChar w:fldCharType="begin"/>
    </w:r>
    <w:r>
      <w:rPr>
        <w:color w:val="808080"/>
        <w:sz w:val="18"/>
        <w:szCs w:val="18"/>
      </w:rPr>
      <w:instrText>PAGE</w:instrText>
    </w:r>
    <w:r>
      <w:rPr>
        <w:color w:val="808080"/>
        <w:sz w:val="18"/>
        <w:szCs w:val="18"/>
      </w:rPr>
      <w:fldChar w:fldCharType="separate"/>
    </w:r>
    <w:r w:rsidR="00F8246F">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F8246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80366" w14:textId="77777777" w:rsidR="002F749C" w:rsidRDefault="002F749C">
      <w:r>
        <w:separator/>
      </w:r>
    </w:p>
  </w:footnote>
  <w:footnote w:type="continuationSeparator" w:id="0">
    <w:p w14:paraId="36045B7C" w14:textId="77777777" w:rsidR="002F749C" w:rsidRDefault="002F7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CF910" w14:textId="77777777" w:rsidR="00FD0741" w:rsidRDefault="00000000">
    <w:pPr>
      <w:jc w:val="right"/>
    </w:pPr>
    <w:r>
      <w:rPr>
        <w:color w:val="808080"/>
        <w:sz w:val="18"/>
        <w:szCs w:val="18"/>
      </w:rPr>
      <w:t>Radio 25: Hauptdokument (Entwurf Kapitel 1 &amp;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3419"/>
    <w:multiLevelType w:val="hybridMultilevel"/>
    <w:tmpl w:val="8BF47408"/>
    <w:lvl w:ilvl="0" w:tplc="C8864938">
      <w:start w:val="1"/>
      <w:numFmt w:val="bullet"/>
      <w:lvlText w:val="●"/>
      <w:lvlJc w:val="left"/>
      <w:pPr>
        <w:ind w:left="720" w:hanging="360"/>
      </w:pPr>
    </w:lvl>
    <w:lvl w:ilvl="1" w:tplc="48925DDE">
      <w:start w:val="1"/>
      <w:numFmt w:val="bullet"/>
      <w:lvlText w:val="○"/>
      <w:lvlJc w:val="left"/>
      <w:pPr>
        <w:ind w:left="1440" w:hanging="360"/>
      </w:pPr>
    </w:lvl>
    <w:lvl w:ilvl="2" w:tplc="6C94FE34">
      <w:start w:val="1"/>
      <w:numFmt w:val="bullet"/>
      <w:lvlText w:val="■"/>
      <w:lvlJc w:val="left"/>
      <w:pPr>
        <w:ind w:left="2160" w:hanging="360"/>
      </w:pPr>
    </w:lvl>
    <w:lvl w:ilvl="3" w:tplc="B5645BD4">
      <w:start w:val="1"/>
      <w:numFmt w:val="bullet"/>
      <w:lvlText w:val="●"/>
      <w:lvlJc w:val="left"/>
      <w:pPr>
        <w:ind w:left="2880" w:hanging="360"/>
      </w:pPr>
    </w:lvl>
    <w:lvl w:ilvl="4" w:tplc="54E667C0">
      <w:start w:val="1"/>
      <w:numFmt w:val="bullet"/>
      <w:lvlText w:val="○"/>
      <w:lvlJc w:val="left"/>
      <w:pPr>
        <w:ind w:left="3600" w:hanging="360"/>
      </w:pPr>
    </w:lvl>
    <w:lvl w:ilvl="5" w:tplc="B6EC0016">
      <w:start w:val="1"/>
      <w:numFmt w:val="bullet"/>
      <w:lvlText w:val="■"/>
      <w:lvlJc w:val="left"/>
      <w:pPr>
        <w:ind w:left="4320" w:hanging="360"/>
      </w:pPr>
    </w:lvl>
    <w:lvl w:ilvl="6" w:tplc="BBBE10F6">
      <w:start w:val="1"/>
      <w:numFmt w:val="bullet"/>
      <w:lvlText w:val="●"/>
      <w:lvlJc w:val="left"/>
      <w:pPr>
        <w:ind w:left="5040" w:hanging="360"/>
      </w:pPr>
    </w:lvl>
    <w:lvl w:ilvl="7" w:tplc="F956EFB0">
      <w:start w:val="1"/>
      <w:numFmt w:val="bullet"/>
      <w:lvlText w:val="●"/>
      <w:lvlJc w:val="left"/>
      <w:pPr>
        <w:ind w:left="5760" w:hanging="360"/>
      </w:pPr>
    </w:lvl>
    <w:lvl w:ilvl="8" w:tplc="EE4C6CD2">
      <w:start w:val="1"/>
      <w:numFmt w:val="bullet"/>
      <w:lvlText w:val="●"/>
      <w:lvlJc w:val="left"/>
      <w:pPr>
        <w:ind w:left="6480" w:hanging="360"/>
      </w:pPr>
    </w:lvl>
  </w:abstractNum>
  <w:abstractNum w:abstractNumId="1" w15:restartNumberingAfterBreak="0">
    <w:nsid w:val="227C33EB"/>
    <w:multiLevelType w:val="hybridMultilevel"/>
    <w:tmpl w:val="18CEDB60"/>
    <w:lvl w:ilvl="0" w:tplc="B3D697E4">
      <w:start w:val="1"/>
      <w:numFmt w:val="bullet"/>
      <w:lvlText w:val="•"/>
      <w:lvlJc w:val="left"/>
      <w:pPr>
        <w:ind w:left="720" w:hanging="360"/>
      </w:pPr>
    </w:lvl>
    <w:lvl w:ilvl="1" w:tplc="AB4CF62E">
      <w:numFmt w:val="decimal"/>
      <w:lvlText w:val=""/>
      <w:lvlJc w:val="left"/>
    </w:lvl>
    <w:lvl w:ilvl="2" w:tplc="EF16BA6E">
      <w:numFmt w:val="decimal"/>
      <w:lvlText w:val=""/>
      <w:lvlJc w:val="left"/>
    </w:lvl>
    <w:lvl w:ilvl="3" w:tplc="C0028AEA">
      <w:numFmt w:val="decimal"/>
      <w:lvlText w:val=""/>
      <w:lvlJc w:val="left"/>
    </w:lvl>
    <w:lvl w:ilvl="4" w:tplc="954286B6">
      <w:numFmt w:val="decimal"/>
      <w:lvlText w:val=""/>
      <w:lvlJc w:val="left"/>
    </w:lvl>
    <w:lvl w:ilvl="5" w:tplc="5552B9B0">
      <w:numFmt w:val="decimal"/>
      <w:lvlText w:val=""/>
      <w:lvlJc w:val="left"/>
    </w:lvl>
    <w:lvl w:ilvl="6" w:tplc="2EB4FF0A">
      <w:numFmt w:val="decimal"/>
      <w:lvlText w:val=""/>
      <w:lvlJc w:val="left"/>
    </w:lvl>
    <w:lvl w:ilvl="7" w:tplc="B9D806D6">
      <w:numFmt w:val="decimal"/>
      <w:lvlText w:val=""/>
      <w:lvlJc w:val="left"/>
    </w:lvl>
    <w:lvl w:ilvl="8" w:tplc="A4E0BF2A">
      <w:numFmt w:val="decimal"/>
      <w:lvlText w:val=""/>
      <w:lvlJc w:val="left"/>
    </w:lvl>
  </w:abstractNum>
  <w:num w:numId="1" w16cid:durableId="1003632632">
    <w:abstractNumId w:val="0"/>
    <w:lvlOverride w:ilvl="0">
      <w:startOverride w:val="1"/>
    </w:lvlOverride>
  </w:num>
  <w:num w:numId="2" w16cid:durableId="9102338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741"/>
    <w:rsid w:val="002F749C"/>
    <w:rsid w:val="007C36AC"/>
    <w:rsid w:val="00F8246F"/>
    <w:rsid w:val="00F92B31"/>
    <w:rsid w:val="00FD074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B4B61"/>
  <w15:docId w15:val="{E0C06D4C-58CD-431A-A2C6-5534B1C59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1F3864"/>
      <w:sz w:val="36"/>
      <w:szCs w:val="36"/>
    </w:rPr>
  </w:style>
  <w:style w:type="paragraph" w:styleId="berschrift2">
    <w:name w:val="heading 2"/>
    <w:uiPriority w:val="9"/>
    <w:unhideWhenUsed/>
    <w:qFormat/>
    <w:pPr>
      <w:spacing w:before="320" w:after="160"/>
      <w:outlineLvl w:val="1"/>
    </w:pPr>
    <w:rPr>
      <w:b/>
      <w:bCs/>
      <w:color w:val="2E5496"/>
      <w:sz w:val="28"/>
      <w:szCs w:val="28"/>
    </w:rPr>
  </w:style>
  <w:style w:type="paragraph" w:styleId="berschrift3">
    <w:name w:val="heading 3"/>
    <w:uiPriority w:val="9"/>
    <w:unhideWhenUsed/>
    <w:qFormat/>
    <w:pPr>
      <w:spacing w:before="240" w:after="120"/>
      <w:outlineLvl w:val="2"/>
    </w:pPr>
    <w:rPr>
      <w:b/>
      <w:bCs/>
      <w:color w:val="2E5496"/>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4593</Words>
  <Characters>28938</Characters>
  <Application>Microsoft Office Word</Application>
  <DocSecurity>0</DocSecurity>
  <Lines>241</Lines>
  <Paragraphs>66</Paragraphs>
  <ScaleCrop>false</ScaleCrop>
  <Company/>
  <LinksUpToDate>false</LinksUpToDate>
  <CharactersWithSpaces>33465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Hauptdokument (Kapitel 1 &amp; 2)</dc:title>
  <dc:creator>Michael Möckli</dc:creator>
  <dc:description>BSc-Thesis Entwurf</dc:description>
  <cp:lastModifiedBy>Michael Möckli</cp:lastModifiedBy>
  <cp:revision>3</cp:revision>
  <dcterms:created xsi:type="dcterms:W3CDTF">2026-04-19T19:42:00Z</dcterms:created>
  <dcterms:modified xsi:type="dcterms:W3CDTF">2026-04-23T08:25:00Z</dcterms:modified>
</cp:coreProperties>
</file>