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8"/>
          <w:szCs w:val="38"/>
        </w:rPr>
        <w:t xml:space="preserve">Prüfbericht Quellenarbeit — Abschlussfassung</w:t>
      </w:r>
    </w:p>
    <w:p>
      <w:pPr>
        <w:spacing w:after="40"/>
      </w:pPr>
      <w:r>
        <w:rPr>
          <w:rFonts w:ascii="Arial" w:cs="Arial" w:eastAsia="Arial" w:hAnsi="Arial"/>
          <w:color w:val="595959"/>
          <w:sz w:val="24"/>
          <w:szCs w:val="24"/>
        </w:rPr>
        <w:t xml:space="preserve">Bachelorarbeit «Attune» · Status nach Umsetzung aller Korrekturen</w:t>
      </w:r>
    </w:p>
    <w:p>
      <w:pPr>
        <w:spacing w:after="30"/>
      </w:pPr>
      <w:r>
        <w:rPr>
          <w:rFonts w:ascii="Arial" w:cs="Arial" w:eastAsia="Arial" w:hAnsi="Arial"/>
          <w:sz w:val="21"/>
          <w:szCs w:val="21"/>
        </w:rPr>
        <w:t xml:space="preserve">Prüfgegenstand: Hauptdokument.docx (Kap. 1–11, 38 Quellen)  ·  </w:t>
      </w:r>
      <w:r>
        <w:rPr>
          <w:rFonts w:ascii="Arial" w:cs="Arial" w:eastAsia="Arial" w:hAnsi="Arial"/>
          <w:sz w:val="21"/>
          <w:szCs w:val="21"/>
        </w:rPr>
        <w:t xml:space="preserve">Massstab: ZHAW-Zitierleitfaden SML (APA 7, Dez. 2023)  ·  </w:t>
      </w:r>
      <w:r>
        <w:rPr>
          <w:rFonts w:ascii="Arial" w:cs="Arial" w:eastAsia="Arial" w:hAnsi="Arial"/>
          <w:sz w:val="21"/>
          <w:szCs w:val="21"/>
        </w:rPr>
        <w:t xml:space="preserve">Stand: 14. Juni 2026</w:t>
      </w:r>
    </w:p>
    <w:p>
      <w:pPr>
        <w:pBdr>
          <w:bottom w:val="single" w:color="1F4E79" w:sz="6" w:space="1"/>
        </w:pBdr>
      </w:pPr>
    </w:p>
    <w:p>
      <w:pPr>
        <w:pStyle w:val="Heading1"/>
      </w:pPr>
      <w:r>
        <w:t xml:space="preserve">Ergebnis</w:t>
      </w:r>
    </w:p>
    <w:p>
      <w:pPr>
        <w:spacing w:after="120"/>
      </w:pPr>
      <w:r>
        <w:rPr>
          <w:rFonts w:ascii="Arial" w:cs="Arial" w:eastAsia="Arial" w:hAnsi="Arial"/>
          <w:b/>
          <w:bCs/>
          <w:sz w:val="21"/>
          <w:szCs w:val="21"/>
        </w:rPr>
        <w:t xml:space="preserve">Alle im ursprünglichen Prüfbericht festgehaltenen Befunde sind behoben. </w:t>
      </w:r>
      <w:r>
        <w:rPr>
          <w:rFonts w:ascii="Arial" w:cs="Arial" w:eastAsia="Arial" w:hAnsi="Arial"/>
          <w:sz w:val="21"/>
          <w:szCs w:val="21"/>
        </w:rPr>
        <w:t xml:space="preserve">Das Literaturverzeichnis wurde formal vollständig überarbeitet, vier fehlerhafte bibliografische Angaben wurden korrigiert, und das Quellenfundament wurde von 28 auf 38 belegte Quellen erweitert. </w:t>
      </w:r>
      <w:r>
        <w:rPr>
          <w:rFonts w:ascii="Arial" w:cs="Arial" w:eastAsia="Arial" w:hAnsi="Arial"/>
          <w:sz w:val="21"/>
          <w:szCs w:val="21"/>
        </w:rPr>
        <w:t xml:space="preserve">Alle 38 Quellen sind im Web verifiziert und existieren; Text und Verzeichnis entsprechen sich lückenlos; jede belegpflichtige fremde Aussage ist belegt.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Quellen gesamt</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28 → 38 (verifiziert)</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Sach-/Formfehler</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alle behoben (A1–A4, C1–C3)</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Mehrfachbelege</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alphabetisch geordnet (B2)</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Direktzitate (B3)</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aufgelöst</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Text ↔ Verzeichnis</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lückenlos (D)</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Belegpflicht (E)</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vollständig, inkl. 2.2.1/2.2.2, TAM/UTAUT</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KI-Deklaration</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konform</w:t>
            </w:r>
          </w:p>
        </w:tc>
      </w:tr>
      <w:tr>
        <w:tc>
          <w:tcPr>
            <w:tcW w:type="dxa" w:w="4680"/>
            <w:tcBorders>
              <w:top w:val="single" w:color="BFBFBF" w:sz="1"/>
              <w:left w:val="single" w:color="BFBFBF" w:sz="1"/>
              <w:bottom w:val="single" w:color="BFBFBF" w:sz="1"/>
              <w:right w:val="single" w:color="BFBFBF" w:sz="1"/>
            </w:tcBorders>
            <w:shd w:fill="EEF3F8" w:val="clear"/>
            <w:tcMar>
              <w:top w:type="dxa" w:w="50"/>
              <w:left w:type="dxa" w:w="110"/>
              <w:bottom w:type="dxa" w:w="50"/>
              <w:right w:type="dxa" w:w="110"/>
            </w:tcMar>
          </w:tcPr>
          <w:p>
            <w:r>
              <w:rPr>
                <w:rFonts w:ascii="Arial" w:cs="Arial" w:eastAsia="Arial" w:hAnsi="Arial"/>
                <w:b/>
                <w:bCs/>
                <w:sz w:val="20"/>
                <w:szCs w:val="20"/>
              </w:rPr>
              <w:t xml:space="preserve">Status</w:t>
            </w:r>
          </w:p>
        </w:tc>
        <w:tc>
          <w:tcPr>
            <w:tcW w:type="dxa" w:w="468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b w:val="false"/>
                <w:bCs w:val="false"/>
                <w:sz w:val="20"/>
                <w:szCs w:val="20"/>
              </w:rPr>
              <w:t xml:space="preserve">abgabereif (Quellen)</w:t>
            </w:r>
          </w:p>
        </w:tc>
      </w:tr>
    </w:tbl>
    <w:p>
      <w:pPr>
        <w:pStyle w:val="Heading1"/>
      </w:pPr>
      <w:r>
        <w:t xml:space="preserve">A · Inhaltliche Quellenprobleme</w:t>
      </w:r>
    </w:p>
    <w:p>
      <w:pPr>
        <w:spacing w:after="120"/>
      </w:pPr>
      <w:r>
        <w:rPr>
          <w:rFonts w:ascii="Arial" w:cs="Arial" w:eastAsia="Arial" w:hAnsi="Arial"/>
          <w:sz w:val="21"/>
          <w:szCs w:val="21"/>
        </w:rPr>
        <w:t xml:space="preserve">Alle 38 Quellen wurden über Verlagsseite/DOI gegengeprüft — keine erfundene, falsch zugeschriebene oder nicht-zitierfähige Quelle. Vier Genauigkeitsfehler wurden korrigiert:</w:t>
      </w:r>
    </w:p>
    <w:p>
      <w:pPr>
        <w:spacing w:after="40" w:before="150"/>
      </w:pPr>
      <w:r>
        <w:rPr>
          <w:rFonts w:ascii="Arial" w:cs="Arial" w:eastAsia="Arial" w:hAnsi="Arial"/>
          <w:b/>
          <w:bCs/>
          <w:color w:val="1F4E79"/>
          <w:sz w:val="22"/>
          <w:szCs w:val="22"/>
        </w:rPr>
        <w:t xml:space="preserve">A1  </w:t>
      </w:r>
      <w:r>
        <w:rPr>
          <w:rFonts w:ascii="Arial" w:cs="Arial" w:eastAsia="Arial" w:hAnsi="Arial"/>
          <w:b/>
          <w:bCs/>
          <w:sz w:val="22"/>
          <w:szCs w:val="22"/>
        </w:rPr>
        <w:t xml:space="preserve">Burr et al. (2020) – Seitenzahlen</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Angegeben war «26, 2441–2460».</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Korrigiert auf </w:t>
      </w:r>
      <w:r>
        <w:rPr>
          <w:rFonts w:ascii="Arial" w:cs="Arial" w:eastAsia="Arial" w:hAnsi="Arial"/>
          <w:i/>
          <w:iCs/>
          <w:sz w:val="21"/>
          <w:szCs w:val="21"/>
        </w:rPr>
        <w:t xml:space="preserve">Science and Engineering Ethics, 26</w:t>
      </w:r>
      <w:r>
        <w:rPr>
          <w:rFonts w:ascii="Arial" w:cs="Arial" w:eastAsia="Arial" w:hAnsi="Arial"/>
          <w:sz w:val="21"/>
          <w:szCs w:val="21"/>
        </w:rPr>
        <w:t xml:space="preserve">(4), 2313–2343.</w:t>
      </w:r>
    </w:p>
    <w:p>
      <w:pPr>
        <w:spacing w:after="40" w:before="150"/>
      </w:pPr>
      <w:r>
        <w:rPr>
          <w:rFonts w:ascii="Arial" w:cs="Arial" w:eastAsia="Arial" w:hAnsi="Arial"/>
          <w:b/>
          <w:bCs/>
          <w:color w:val="1F4E79"/>
          <w:sz w:val="22"/>
          <w:szCs w:val="22"/>
        </w:rPr>
        <w:t xml:space="preserve">A2  </w:t>
      </w:r>
      <w:r>
        <w:rPr>
          <w:rFonts w:ascii="Arial" w:cs="Arial" w:eastAsia="Arial" w:hAnsi="Arial"/>
          <w:b/>
          <w:bCs/>
          <w:sz w:val="22"/>
          <w:szCs w:val="22"/>
        </w:rPr>
        <w:t xml:space="preserve">Montag &amp; Elhai (2023) – Seitenzahlen</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Angegeben war «10(4), 384–395».</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Korrigiert auf </w:t>
      </w:r>
      <w:r>
        <w:rPr>
          <w:rFonts w:ascii="Arial" w:cs="Arial" w:eastAsia="Arial" w:hAnsi="Arial"/>
          <w:i/>
          <w:iCs/>
          <w:sz w:val="21"/>
          <w:szCs w:val="21"/>
        </w:rPr>
        <w:t xml:space="preserve">Current Addiction Reports, 10</w:t>
      </w:r>
      <w:r>
        <w:rPr>
          <w:rFonts w:ascii="Arial" w:cs="Arial" w:eastAsia="Arial" w:hAnsi="Arial"/>
          <w:sz w:val="21"/>
          <w:szCs w:val="21"/>
        </w:rPr>
        <w:t xml:space="preserve">, 610–616.</w:t>
      </w:r>
    </w:p>
    <w:p>
      <w:pPr>
        <w:spacing w:after="40" w:before="150"/>
      </w:pPr>
      <w:r>
        <w:rPr>
          <w:rFonts w:ascii="Arial" w:cs="Arial" w:eastAsia="Arial" w:hAnsi="Arial"/>
          <w:b/>
          <w:bCs/>
          <w:color w:val="1F4E79"/>
          <w:sz w:val="22"/>
          <w:szCs w:val="22"/>
        </w:rPr>
        <w:t xml:space="preserve">A3  </w:t>
      </w:r>
      <w:r>
        <w:rPr>
          <w:rFonts w:ascii="Arial" w:cs="Arial" w:eastAsia="Arial" w:hAnsi="Arial"/>
          <w:b/>
          <w:bCs/>
          <w:sz w:val="22"/>
          <w:szCs w:val="22"/>
        </w:rPr>
        <w:t xml:space="preserve">Weinmann et al. (2016) – DOI</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DOI endete falsch auf «…0453-3».</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Korrigiert auf «…0453-1».</w:t>
      </w:r>
    </w:p>
    <w:p>
      <w:pPr>
        <w:spacing w:after="40" w:before="150"/>
      </w:pPr>
      <w:r>
        <w:rPr>
          <w:rFonts w:ascii="Arial" w:cs="Arial" w:eastAsia="Arial" w:hAnsi="Arial"/>
          <w:b/>
          <w:bCs/>
          <w:color w:val="1F4E79"/>
          <w:sz w:val="22"/>
          <w:szCs w:val="22"/>
        </w:rPr>
        <w:t xml:space="preserve">A4  </w:t>
      </w:r>
      <w:r>
        <w:rPr>
          <w:rFonts w:ascii="Arial" w:cs="Arial" w:eastAsia="Arial" w:hAnsi="Arial"/>
          <w:b/>
          <w:bCs/>
          <w:sz w:val="22"/>
          <w:szCs w:val="22"/>
        </w:rPr>
        <w:t xml:space="preserve">Peffers et al. (2007) – Schlussseite</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Angegeben war «45–77».</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Korrigiert auf «45–78».</w:t>
      </w:r>
    </w:p>
    <w:p>
      <w:pPr>
        <w:pStyle w:val="Heading1"/>
      </w:pPr>
      <w:r>
        <w:t xml:space="preserve">B · Formale Zitierfehler im Text</w:t>
      </w:r>
    </w:p>
    <w:p>
      <w:pPr>
        <w:spacing w:after="40" w:before="150"/>
      </w:pPr>
      <w:r>
        <w:rPr>
          <w:rFonts w:ascii="Arial" w:cs="Arial" w:eastAsia="Arial" w:hAnsi="Arial"/>
          <w:b/>
          <w:bCs/>
          <w:color w:val="1F4E79"/>
          <w:sz w:val="22"/>
          <w:szCs w:val="22"/>
        </w:rPr>
        <w:t xml:space="preserve">B1  </w:t>
      </w:r>
      <w:r>
        <w:rPr>
          <w:rFonts w:ascii="Arial" w:cs="Arial" w:eastAsia="Arial" w:hAnsi="Arial"/>
          <w:b/>
          <w:bCs/>
          <w:sz w:val="22"/>
          <w:szCs w:val="22"/>
        </w:rPr>
        <w:t xml:space="preserve">Autorenname «Vanden Abeele»</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Im ersten Bericht als mögliche Verkürzung «Abeele» markiert.</w:t>
      </w:r>
    </w:p>
    <w:p>
      <w:pPr>
        <w:spacing w:after="120"/>
      </w:pPr>
      <w:r>
        <w:rPr>
          <w:rFonts w:ascii="Arial" w:cs="Arial" w:eastAsia="Arial" w:hAnsi="Arial"/>
          <w:b/>
          <w:bCs/>
          <w:sz w:val="21"/>
          <w:szCs w:val="21"/>
        </w:rPr>
        <w:t xml:space="preserve">Umgesetzt: </w:t>
      </w:r>
      <w:r>
        <w:rPr>
          <w:rFonts w:ascii="Arial" w:cs="Arial" w:eastAsia="Arial" w:hAnsi="Arial"/>
          <w:i/>
          <w:iCs/>
          <w:sz w:val="21"/>
          <w:szCs w:val="21"/>
        </w:rPr>
        <w:t xml:space="preserve">Fehlalarm der Textsuche – das Dokument schreibt durchgängig korrekt «Vanden Abeele». Keine Änderung nötig.</w:t>
      </w:r>
    </w:p>
    <w:p>
      <w:pPr>
        <w:spacing w:after="40" w:before="150"/>
      </w:pPr>
      <w:r>
        <w:rPr>
          <w:rFonts w:ascii="Arial" w:cs="Arial" w:eastAsia="Arial" w:hAnsi="Arial"/>
          <w:b/>
          <w:bCs/>
          <w:color w:val="1F4E79"/>
          <w:sz w:val="22"/>
          <w:szCs w:val="22"/>
        </w:rPr>
        <w:t xml:space="preserve">B2  </w:t>
      </w:r>
      <w:r>
        <w:rPr>
          <w:rFonts w:ascii="Arial" w:cs="Arial" w:eastAsia="Arial" w:hAnsi="Arial"/>
          <w:b/>
          <w:bCs/>
          <w:sz w:val="22"/>
          <w:szCs w:val="22"/>
        </w:rPr>
        <w:t xml:space="preserve">Mehrfachbelege alphabetisch</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Mehrere Klammern waren nicht alphabetisch geordnet (u. a. «Zuboff; Montag &amp; Elhai», 1.7, 2.5, 4.2, 4.4, 5).</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14 Klammern alphabetisch umsortiert (Semikolon-getrennt), inkl. zwei zusätzlich gefundener Fälle in 2.3.5 und 4.2.</w:t>
      </w:r>
    </w:p>
    <w:p>
      <w:pPr>
        <w:spacing w:after="40" w:before="150"/>
      </w:pPr>
      <w:r>
        <w:rPr>
          <w:rFonts w:ascii="Arial" w:cs="Arial" w:eastAsia="Arial" w:hAnsi="Arial"/>
          <w:b/>
          <w:bCs/>
          <w:color w:val="1F4E79"/>
          <w:sz w:val="22"/>
          <w:szCs w:val="22"/>
        </w:rPr>
        <w:t xml:space="preserve">B3  </w:t>
      </w:r>
      <w:r>
        <w:rPr>
          <w:rFonts w:ascii="Arial" w:cs="Arial" w:eastAsia="Arial" w:hAnsi="Arial"/>
          <w:b/>
          <w:bCs/>
          <w:sz w:val="22"/>
          <w:szCs w:val="22"/>
        </w:rPr>
        <w:t xml:space="preserve">Direktzitate (« ») ohne Seitenzahl</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Fachbegriffe in «» waren einer Quelle zugeschrieben, ohne Seitenangabe (Verhaltensüberschuss, Positive Computing, Algorithmic Sovereignty, Persuasive Technology, Digital Nudging).</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Anführungszeichen entfernt – die Begriffe laufen jetzt als Konzeptnennung (keine Seitenzahl nötig). UI-Labels, Fragebogen-Items und Werktitel-Bestandteile in «» blieben unangetastet.</w:t>
      </w:r>
    </w:p>
    <w:p>
      <w:pPr>
        <w:spacing w:after="40" w:before="150"/>
      </w:pPr>
      <w:r>
        <w:rPr>
          <w:rFonts w:ascii="Arial" w:cs="Arial" w:eastAsia="Arial" w:hAnsi="Arial"/>
          <w:b/>
          <w:bCs/>
          <w:color w:val="1F4E79"/>
          <w:sz w:val="22"/>
          <w:szCs w:val="22"/>
        </w:rPr>
        <w:t xml:space="preserve">B4  </w:t>
      </w:r>
      <w:r>
        <w:rPr>
          <w:rFonts w:ascii="Arial" w:cs="Arial" w:eastAsia="Arial" w:hAnsi="Arial"/>
          <w:b/>
          <w:bCs/>
          <w:sz w:val="22"/>
          <w:szCs w:val="22"/>
        </w:rPr>
        <w:t xml:space="preserve">Spartechnik in 1.3</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Die Liste der Designmuster trug den Beleg erst nach der Aufzählung.</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Beleg direkt an die Aussage gesetzt; zusätzlich mit Gray et al. (2018) und Mathur et al. (2019) untermauert.</w:t>
      </w:r>
    </w:p>
    <w:p>
      <w:pPr>
        <w:pStyle w:val="Heading1"/>
      </w:pPr>
      <w:r>
        <w:t xml:space="preserve">C · Literaturverzeichnis</w:t>
      </w:r>
    </w:p>
    <w:p>
      <w:pPr>
        <w:spacing w:after="40" w:before="150"/>
      </w:pPr>
      <w:r>
        <w:rPr>
          <w:rFonts w:ascii="Arial" w:cs="Arial" w:eastAsia="Arial" w:hAnsi="Arial"/>
          <w:b/>
          <w:bCs/>
          <w:color w:val="1F4E79"/>
          <w:sz w:val="22"/>
          <w:szCs w:val="22"/>
        </w:rPr>
        <w:t xml:space="preserve">C1  </w:t>
      </w:r>
      <w:r>
        <w:rPr>
          <w:rFonts w:ascii="Arial" w:cs="Arial" w:eastAsia="Arial" w:hAnsi="Arial"/>
          <w:b/>
          <w:bCs/>
          <w:sz w:val="22"/>
          <w:szCs w:val="22"/>
        </w:rPr>
        <w:t xml:space="preserve">Kursivsetzung</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Kein Eintrag war kursiv gesetzt (Leitfaden-Pflicht).</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Alle 38 Einträge kursiviert: Zeitschriftenname+Jahrgang bzw. Buch-/Sammelbandtitel.</w:t>
      </w:r>
    </w:p>
    <w:p>
      <w:pPr>
        <w:spacing w:after="40" w:before="150"/>
      </w:pPr>
      <w:r>
        <w:rPr>
          <w:rFonts w:ascii="Arial" w:cs="Arial" w:eastAsia="Arial" w:hAnsi="Arial"/>
          <w:b/>
          <w:bCs/>
          <w:color w:val="1F4E79"/>
          <w:sz w:val="22"/>
          <w:szCs w:val="22"/>
        </w:rPr>
        <w:t xml:space="preserve">C2  </w:t>
      </w:r>
      <w:r>
        <w:rPr>
          <w:rFonts w:ascii="Arial" w:cs="Arial" w:eastAsia="Arial" w:hAnsi="Arial"/>
          <w:b/>
          <w:bCs/>
          <w:sz w:val="22"/>
          <w:szCs w:val="22"/>
        </w:rPr>
        <w:t xml:space="preserve">Einzelautoren-Bücher im Sammelband-Format</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Fogg (2003), Sunstein (2017), Zuboff (2019) waren als Kapitel «In …» ohne (Hrsg.) geführt.</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Als Monografien umformatiert (Titel kursiv, Kapitel-Rahmen entfernt).</w:t>
      </w:r>
    </w:p>
    <w:p>
      <w:pPr>
        <w:spacing w:after="40" w:before="150"/>
      </w:pPr>
      <w:r>
        <w:rPr>
          <w:rFonts w:ascii="Arial" w:cs="Arial" w:eastAsia="Arial" w:hAnsi="Arial"/>
          <w:b/>
          <w:bCs/>
          <w:color w:val="1F4E79"/>
          <w:sz w:val="22"/>
          <w:szCs w:val="22"/>
        </w:rPr>
        <w:t xml:space="preserve">C3  </w:t>
      </w:r>
      <w:r>
        <w:rPr>
          <w:rFonts w:ascii="Arial" w:cs="Arial" w:eastAsia="Arial" w:hAnsi="Arial"/>
          <w:b/>
          <w:bCs/>
          <w:sz w:val="22"/>
          <w:szCs w:val="22"/>
        </w:rPr>
        <w:t xml:space="preserve">«2. Aufl.» → «2. Auflage»</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Ricci et al. (2015) verwendete die Kurzform.</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Auf «(2. Auflage)» gesetzt.</w:t>
      </w:r>
    </w:p>
    <w:p>
      <w:pPr>
        <w:spacing w:after="120"/>
      </w:pPr>
      <w:r>
        <w:rPr>
          <w:rFonts w:ascii="Arial" w:cs="Arial" w:eastAsia="Arial" w:hAnsi="Arial"/>
          <w:b/>
          <w:bCs/>
          <w:color w:val="2E7D32"/>
          <w:sz w:val="21"/>
          <w:szCs w:val="21"/>
        </w:rPr>
        <w:t xml:space="preserve">Unverändert korrekt: </w:t>
      </w:r>
      <w:r>
        <w:rPr>
          <w:rFonts w:ascii="Arial" w:cs="Arial" w:eastAsia="Arial" w:hAnsi="Arial"/>
          <w:sz w:val="21"/>
          <w:szCs w:val="21"/>
        </w:rPr>
        <w:t xml:space="preserve">alphabetische Sortierung (inkl. Feinregeln), Initialen statt Vornamen, keine akademischen Titel, DOI als URL, keine Abrufdaten.</w:t>
      </w:r>
    </w:p>
    <w:p>
      <w:pPr>
        <w:pStyle w:val="Heading1"/>
      </w:pPr>
      <w:r>
        <w:t xml:space="preserve">D · Abgleich Text ↔ Verzeichnis</w:t>
      </w:r>
    </w:p>
    <w:p>
      <w:pPr>
        <w:spacing w:after="120"/>
      </w:pPr>
      <w:r>
        <w:rPr>
          <w:rFonts w:ascii="Arial" w:cs="Arial" w:eastAsia="Arial" w:hAnsi="Arial"/>
          <w:b/>
          <w:bCs/>
          <w:color w:val="2E7D32"/>
          <w:sz w:val="21"/>
          <w:szCs w:val="21"/>
        </w:rPr>
        <w:t xml:space="preserve">Lückenlos. </w:t>
      </w:r>
      <w:r>
        <w:rPr>
          <w:rFonts w:ascii="Arial" w:cs="Arial" w:eastAsia="Arial" w:hAnsi="Arial"/>
          <w:sz w:val="21"/>
          <w:szCs w:val="21"/>
        </w:rPr>
        <w:t xml:space="preserve">Alle 38 Verzeichniseinträge sind im Text zitiert und umgekehrt – keine verwaisten Einträge, keine fehlenden Belege.</w:t>
      </w:r>
    </w:p>
    <w:p>
      <w:pPr>
        <w:pStyle w:val="Heading1"/>
      </w:pPr>
      <w:r>
        <w:t xml:space="preserve">E · Belegpflicht / Vollständigkeit</w:t>
      </w:r>
    </w:p>
    <w:p>
      <w:pPr>
        <w:spacing w:after="120"/>
      </w:pPr>
      <w:r>
        <w:rPr>
          <w:rFonts w:ascii="Arial" w:cs="Arial" w:eastAsia="Arial" w:hAnsi="Arial"/>
          <w:sz w:val="21"/>
          <w:szCs w:val="21"/>
        </w:rPr>
        <w:t xml:space="preserve">Das gesamte Dokument wurde absatzweise auf belegpflichtige fremde Aussagen ohne Beleg geprüft. Ergebnis: vollständig belegt. Geschlossene Lücken:</w:t>
      </w:r>
    </w:p>
    <w:p>
      <w:pPr>
        <w:spacing w:after="40" w:before="150"/>
      </w:pPr>
      <w:r>
        <w:rPr>
          <w:rFonts w:ascii="Arial" w:cs="Arial" w:eastAsia="Arial" w:hAnsi="Arial"/>
          <w:b/>
          <w:bCs/>
          <w:color w:val="1F4E79"/>
          <w:sz w:val="22"/>
          <w:szCs w:val="22"/>
        </w:rPr>
        <w:t xml:space="preserve">E1  </w:t>
      </w:r>
      <w:r>
        <w:rPr>
          <w:rFonts w:ascii="Arial" w:cs="Arial" w:eastAsia="Arial" w:hAnsi="Arial"/>
          <w:b/>
          <w:bCs/>
          <w:sz w:val="22"/>
          <w:szCs w:val="22"/>
        </w:rPr>
        <w:t xml:space="preserve">Manipulative Designmuster (1.3)</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Die als etabliert dargestellte Musterliste war ohne Beleg an der Aussage.</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Mit Gray et al. (2018), Mathur et al. (2019), Montag et al. (2019) und Weinmann et al. (2016) belegt.</w:t>
      </w:r>
    </w:p>
    <w:p>
      <w:pPr>
        <w:spacing w:after="40" w:before="150"/>
      </w:pPr>
      <w:r>
        <w:rPr>
          <w:rFonts w:ascii="Arial" w:cs="Arial" w:eastAsia="Arial" w:hAnsi="Arial"/>
          <w:b/>
          <w:bCs/>
          <w:color w:val="1F4E79"/>
          <w:sz w:val="22"/>
          <w:szCs w:val="22"/>
        </w:rPr>
        <w:t xml:space="preserve">E2  </w:t>
      </w:r>
      <w:r>
        <w:rPr>
          <w:rFonts w:ascii="Arial" w:cs="Arial" w:eastAsia="Arial" w:hAnsi="Arial"/>
          <w:b/>
          <w:bCs/>
          <w:sz w:val="22"/>
          <w:szCs w:val="22"/>
        </w:rPr>
        <w:t xml:space="preserve">TAM und UTAUT (5.4)</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Beide Theorien wurden namentlich zur Item-Konstruktion verwendet, standen aber nicht im Verzeichnis.</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Davis (1989) für TAM und Venkatesh et al. (2003) für UTAUT ergänzt.</w:t>
      </w:r>
    </w:p>
    <w:p>
      <w:pPr>
        <w:spacing w:after="40" w:before="150"/>
      </w:pPr>
      <w:r>
        <w:rPr>
          <w:rFonts w:ascii="Arial" w:cs="Arial" w:eastAsia="Arial" w:hAnsi="Arial"/>
          <w:b/>
          <w:bCs/>
          <w:color w:val="1F4E79"/>
          <w:sz w:val="22"/>
          <w:szCs w:val="22"/>
        </w:rPr>
        <w:t xml:space="preserve">E3  </w:t>
      </w:r>
      <w:r>
        <w:rPr>
          <w:rFonts w:ascii="Arial" w:cs="Arial" w:eastAsia="Arial" w:hAnsi="Arial"/>
          <w:b/>
          <w:bCs/>
          <w:sz w:val="22"/>
          <w:szCs w:val="22"/>
        </w:rPr>
        <w:t xml:space="preserve">Klassifikation/Ontologien (2.2.1) &amp; Suche (2.2.2)</w:t>
      </w:r>
      <w:r>
        <w:rPr>
          <w:rFonts w:ascii="Arial" w:cs="Arial" w:eastAsia="Arial" w:hAnsi="Arial"/>
          <w:sz w:val="22"/>
          <w:szCs w:val="22"/>
        </w:rPr>
        <w:t xml:space="preserve">  </w:t>
      </w:r>
      <w:r>
        <w:rPr>
          <w:rFonts w:ascii="Arial" w:cs="Arial" w:eastAsia="Arial" w:hAnsi="Arial"/>
          <w:b/>
          <w:bCs/>
          <w:color w:val="FFFFFF"/>
          <w:sz w:val="17"/>
          <w:szCs w:val="17"/>
          <w:shd w:fill="2E7D32" w:val="clear"/>
        </w:rPr>
        <w:t xml:space="preserve"> BEHOBEN </w:t>
      </w:r>
    </w:p>
    <w:p>
      <w:pPr>
        <w:spacing w:after="30"/>
      </w:pPr>
      <w:r>
        <w:rPr>
          <w:rFonts w:ascii="Arial" w:cs="Arial" w:eastAsia="Arial" w:hAnsi="Arial"/>
          <w:b/>
          <w:bCs/>
          <w:sz w:val="21"/>
          <w:szCs w:val="21"/>
        </w:rPr>
        <w:t xml:space="preserve">Befund: </w:t>
      </w:r>
      <w:r>
        <w:rPr>
          <w:rFonts w:ascii="Arial" w:cs="Arial" w:eastAsia="Arial" w:hAnsi="Arial"/>
          <w:sz w:val="21"/>
          <w:szCs w:val="21"/>
        </w:rPr>
        <w:t xml:space="preserve">Beide Unterkapitel stellten Fachwissen ohne Beleg dar.</w:t>
      </w:r>
    </w:p>
    <w:p>
      <w:pPr>
        <w:spacing w:after="120"/>
      </w:pPr>
      <w:r>
        <w:rPr>
          <w:rFonts w:ascii="Arial" w:cs="Arial" w:eastAsia="Arial" w:hAnsi="Arial"/>
          <w:b/>
          <w:bCs/>
          <w:sz w:val="21"/>
          <w:szCs w:val="21"/>
        </w:rPr>
        <w:t xml:space="preserve">Umgesetzt: </w:t>
      </w:r>
      <w:r>
        <w:rPr>
          <w:rFonts w:ascii="Arial" w:cs="Arial" w:eastAsia="Arial" w:hAnsi="Arial"/>
          <w:sz w:val="21"/>
          <w:szCs w:val="21"/>
        </w:rPr>
        <w:t xml:space="preserve">Gruber (1995) für Ontologien und Manning et al. (2008) für Information Retrieval ergänzt.</w:t>
      </w:r>
    </w:p>
    <w:p>
      <w:pPr>
        <w:spacing w:after="120"/>
      </w:pPr>
      <w:r>
        <w:rPr>
          <w:rFonts w:ascii="Arial" w:cs="Arial" w:eastAsia="Arial" w:hAnsi="Arial"/>
          <w:b/>
          <w:bCs/>
          <w:sz w:val="21"/>
          <w:szCs w:val="21"/>
        </w:rPr>
        <w:t xml:space="preserve">Vertretbar ohne Beleg: </w:t>
      </w:r>
      <w:r>
        <w:rPr>
          <w:rFonts w:ascii="Arial" w:cs="Arial" w:eastAsia="Arial" w:hAnsi="Arial"/>
          <w:sz w:val="21"/>
          <w:szCs w:val="21"/>
        </w:rPr>
        <w:t xml:space="preserve">Eigenleistung (Forschungsfrage, Ziele, Abgrenzung, Medienmodell-Vergleich «eigene Darstellung»), Listen mit belegtem Einleitungssatz, Kapitel-Überleitungen sowie die eigenen Pilotdaten in Kap. 8–9.</w:t>
      </w:r>
    </w:p>
    <w:p>
      <w:pPr>
        <w:pStyle w:val="Heading1"/>
      </w:pPr>
      <w:r>
        <w:t xml:space="preserve">Quellen-Erweiterung (28 → 38)</w:t>
      </w:r>
    </w:p>
    <w:p>
      <w:pPr>
        <w:spacing w:after="120"/>
      </w:pPr>
      <w:r>
        <w:rPr>
          <w:rFonts w:ascii="Arial" w:cs="Arial" w:eastAsia="Arial" w:hAnsi="Arial"/>
          <w:sz w:val="21"/>
          <w:szCs w:val="21"/>
        </w:rPr>
        <w:t xml:space="preserve">Zehn verifizierte Primärquellen wurden ergänzt, gezielt an den zuvor dünnen Stellen: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1F4E79" w:val="clear"/>
            <w:tcMar>
              <w:top w:type="dxa" w:w="50"/>
              <w:left w:type="dxa" w:w="110"/>
              <w:bottom w:type="dxa" w:w="50"/>
              <w:right w:type="dxa" w:w="110"/>
            </w:tcMar>
          </w:tcPr>
          <w:p>
            <w:r>
              <w:rPr>
                <w:rFonts w:ascii="Arial" w:cs="Arial" w:eastAsia="Arial" w:hAnsi="Arial"/>
                <w:b/>
                <w:bCs/>
                <w:color w:val="FFFFFF"/>
                <w:sz w:val="20"/>
                <w:szCs w:val="20"/>
              </w:rPr>
              <w:t xml:space="preserve">Bereich</w:t>
            </w:r>
          </w:p>
        </w:tc>
        <w:tc>
          <w:tcPr>
            <w:tcW w:type="dxa" w:w="5960"/>
            <w:tcBorders>
              <w:top w:val="single" w:color="BFBFBF" w:sz="1"/>
              <w:left w:val="single" w:color="BFBFBF" w:sz="1"/>
              <w:bottom w:val="single" w:color="BFBFBF" w:sz="1"/>
              <w:right w:val="single" w:color="BFBFBF" w:sz="1"/>
            </w:tcBorders>
            <w:shd w:fill="1F4E79" w:val="clear"/>
            <w:tcMar>
              <w:top w:type="dxa" w:w="50"/>
              <w:left w:type="dxa" w:w="110"/>
              <w:bottom w:type="dxa" w:w="50"/>
              <w:right w:type="dxa" w:w="110"/>
            </w:tcMar>
          </w:tcPr>
          <w:p>
            <w:r>
              <w:rPr>
                <w:rFonts w:ascii="Arial" w:cs="Arial" w:eastAsia="Arial" w:hAnsi="Arial"/>
                <w:b/>
                <w:bCs/>
                <w:color w:val="FFFFFF"/>
                <w:sz w:val="20"/>
                <w:szCs w:val="20"/>
              </w:rPr>
              <w:t xml:space="preserve">Ergänzte Quelle(n)</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Dark Patterns (1.3)</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Gray et al. (2018) · Mathur et al. (2019)</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Akzeptanz/Usability (5.4)</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Davis (1989, TAM) · Venkatesh et al. (2003, UTAUT) · Lewis (2018, SUS)</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Personalisierung (2.2.4)</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Bakshy et al. (2015)</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Sharing/Viralität (2.2.5)</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Berger &amp; Milkman (2012)</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Nudging (2.2.6)</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Caraban et al. (2019)</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Klassifikation/Ontologien (2.2.1)</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Gruber (1995)</w:t>
            </w:r>
          </w:p>
        </w:tc>
      </w:tr>
      <w:tr>
        <w:tc>
          <w:tcPr>
            <w:tcW w:type="dxa" w:w="340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Suche / Information Retrieval (2.2.2)</w:t>
            </w:r>
          </w:p>
        </w:tc>
        <w:tc>
          <w:tcPr>
            <w:tcW w:type="dxa" w:w="5960"/>
            <w:tcBorders>
              <w:top w:val="single" w:color="BFBFBF" w:sz="1"/>
              <w:left w:val="single" w:color="BFBFBF" w:sz="1"/>
              <w:bottom w:val="single" w:color="BFBFBF" w:sz="1"/>
              <w:right w:val="single" w:color="BFBFBF" w:sz="1"/>
            </w:tcBorders>
            <w:tcMar>
              <w:top w:type="dxa" w:w="50"/>
              <w:left w:type="dxa" w:w="110"/>
              <w:bottom w:type="dxa" w:w="50"/>
              <w:right w:type="dxa" w:w="110"/>
            </w:tcMar>
          </w:tcPr>
          <w:p>
            <w:r>
              <w:rPr>
                <w:rFonts w:ascii="Arial" w:cs="Arial" w:eastAsia="Arial" w:hAnsi="Arial"/>
                <w:sz w:val="20"/>
                <w:szCs w:val="20"/>
              </w:rPr>
              <w:t xml:space="preserve">Manning et al. (2008)</w:t>
            </w:r>
          </w:p>
        </w:tc>
      </w:tr>
    </w:tbl>
    <w:p>
      <w:pPr>
        <w:pStyle w:val="Heading1"/>
      </w:pPr>
      <w:r>
        <w:t xml:space="preserve">Verbleibende Empfehlung</w:t>
      </w:r>
    </w:p>
    <w:p>
      <w:pPr>
        <w:spacing w:after="120"/>
      </w:pPr>
      <w:r>
        <w:rPr>
          <w:rFonts w:ascii="Arial" w:cs="Arial" w:eastAsia="Arial" w:hAnsi="Arial"/>
          <w:sz w:val="21"/>
          <w:szCs w:val="21"/>
        </w:rPr>
        <w:t xml:space="preserve">Aus Sicht der formalen und vollständigkeitsbezogenen Quellenarbeit ist nichts mehr offen. Ein letzter Schritt bleibt sinnvollerweise beim Autor: die </w:t>
      </w:r>
      <w:r>
        <w:rPr>
          <w:rFonts w:ascii="Arial" w:cs="Arial" w:eastAsia="Arial" w:hAnsi="Arial"/>
          <w:b/>
          <w:bCs/>
          <w:sz w:val="21"/>
          <w:szCs w:val="21"/>
        </w:rPr>
        <w:t xml:space="preserve">inhaltliche Treue</w:t>
      </w:r>
      <w:r>
        <w:rPr>
          <w:rFonts w:ascii="Arial" w:cs="Arial" w:eastAsia="Arial" w:hAnsi="Arial"/>
          <w:sz w:val="21"/>
          <w:szCs w:val="21"/>
        </w:rPr>
        <w:t xml:space="preserve"> einzelner eng paraphrasierter Stellen am Originaltext gegenprüfen (geprüft wurden Titel, Abstracts und Stichproben, nicht jede Quelle in voller Länge). Empfohlen wird ausserdem ein kurzer visueller Blick auf das Literaturverzeichnis in Word (Kursivsetzung, Einzug).</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Prüfbericht Quellenarbeit «Attune» — Abschlussfassung · Seite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2026-06-14T10:15:05.399Z</dcterms:created>
  <dcterms:modified xsi:type="dcterms:W3CDTF">2026-06-14T10:15:05.399Z</dcterms:modified>
</cp:coreProperties>
</file>

<file path=docProps/custom.xml><?xml version="1.0" encoding="utf-8"?>
<Properties xmlns="http://schemas.openxmlformats.org/officeDocument/2006/custom-properties" xmlns:vt="http://schemas.openxmlformats.org/officeDocument/2006/docPropsVTypes"/>
</file>