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w:t>
      </w:r>
      <w:r>
        <w:rPr/>
        <w:t xml:space="preserve">Montag &amp; Elhai, 2023; Zuboff, 2019</w:t>
      </w:r>
      <w:r>
        <w:rPr/>
        <w:t xml:space="preserve">).</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rPr/>
        <w:t xml:space="preserve">Die ökonomische Logik manifestiert sich in konkreten Designmustern, die gezielt auf Schwachstellen der menschlichen Psyche zielen. Zu den am besten dokumentierten Mustern gehören</w:t>
      </w:r>
      <w:r>
        <w:rPr/>
        <w:t xml:space="preserve"> (Montag et al., 2019; Weinmann et al., 2016)</w:t>
      </w:r>
      <w:r>
        <w:rPr/>
        <w:t xml:space="preserve">:</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rPr/>
        <w:t xml:space="preserve">Die Forschungslage zeigt drei miteinander verwobene Aspekte dieses Ungleichgewichts. Erstens ist es kein Zufall, sondern strukturell im werbefinanzierten Geschäftsmodell angelegt (</w:t>
      </w:r>
      <w:r>
        <w:rPr/>
        <w:t xml:space="preserve">Montag &amp; Elhai, 2023; Zuboff, 2019</w:t>
      </w:r>
      <w:r>
        <w:rPr/>
        <w:t xml:space="preserve">). Zweitens hat es messbare negative Folgen auf Informationsvielfalt, soziale Kohäsion und individuelles Wohlbefinden (</w:t>
      </w:r>
      <w:r>
        <w:rPr/>
        <w:t xml:space="preserve">Geschke et al., 2019; Nguyen et al., 2014; Orben, 2020; Verduyn et al., 2015</w:t>
      </w:r>
      <w:r>
        <w:rPr/>
        <w:t xml:space="preserve">). Drittens verfügen Nutzende in den aktuellen Systemen kaum über die Möglichkeit, dieses Ungleichgewicht selbst zu korrigieren (</w:t>
      </w:r>
      <w:r>
        <w:rPr/>
        <w:t xml:space="preserve">Milano et al., 2020; Reviglio &amp; Agosti, 2020</w:t>
      </w:r>
      <w:r>
        <w:rPr/>
        <w:t xml:space="preserve">).</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w:t>
      </w:r>
      <w:r>
        <w:rPr/>
        <w:t xml:space="preserve">Montag &amp; Elhai, 2023; Zuboff, 2019</w:t>
      </w:r>
      <w:r>
        <w:rPr/>
        <w:t xml:space="preserve">).</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rPr/>
        <w:t xml:space="preserve">Neben den normativen Kriterien spielt die klassische Gebrauchstauglichkeit eine Rolle. Der System Usability Scale (</w:t>
      </w:r>
      <w:r>
        <w:rPr/>
        <w:t xml:space="preserve">Bangor et al., 2008; Brooke, 1996)</w:t>
      </w:r>
      <w:r>
        <w:rPr/>
        <w:t xml:space="preserve">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rPr/>
        <w:t xml:space="preserve">Gleichzeitig fehlen konkrete, lauffähige Artefakte, die diese Prinzipien in einem integrierten System zeigen. Bestehende Ansätze bleiben entweder auf konzeptioneller Ebene (</w:t>
      </w:r>
      <w:r>
        <w:rPr/>
        <w:t xml:space="preserve">Hendry et al., 2021; Peters et al., 2020</w:t>
      </w:r>
      <w:r>
        <w:rPr/>
        <w:t xml:space="preserve">)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w:t>
      </w:r>
      <w:r>
        <w:rPr/>
        <w:t xml:space="preserve">Peters et al., 2018; Vanden Abeele, 2021</w:t>
      </w:r>
      <w:r>
        <w:rPr/>
        <w:t xml:space="preserve">).</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rPr/>
        <w:t xml:space="preserve">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w:t>
      </w:r>
      <w:r>
        <w:rPr/>
        <w:t xml:space="preserve">Peters et al., 2018; Vanden Abeele, 2021</w:t>
      </w:r>
      <w:r>
        <w:rPr/>
        <w:t xml:space="preserve">)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rPr/>
        <w:t xml:space="preserve">T2 – Inhaltsdiversität und Bedürfnisgerechtigkeit: In welchem Mass werden eine bewusst diversifizierte Inhaltsauswahl und eine am Tageskontext orientierte Reihenfolge gegenüber einer engagement-optimierten Logik als bedürfnisgerecht und qualitativ angemessen erlebt (</w:t>
      </w:r>
      <w:r>
        <w:rPr/>
        <w:t xml:space="preserve">Milano et al., 2020; Nguyen et al., 2014</w:t>
      </w:r>
      <w:r>
        <w:rPr/>
        <w:t xml:space="preserve">)?</w:t>
      </w:r>
    </w:p>
    <w:p w14:paraId="5439B0E4" w14:textId="77777777" w:rsidR="001666F9" w:rsidRDefault="00000000">
      <w:pPr>
        <w:pStyle w:val="Listenabsatz"/>
        <w:numPr>
          <w:ilvl w:val="0"/>
          <w:numId w:val="2"/>
        </w:numPr>
        <w:spacing w:after="80" w:line="360" w:lineRule="auto"/>
      </w:pPr>
      <w:r>
        <w:rPr/>
        <w:t xml:space="preserve">T3 – Sessiongestaltung und Nutzungskontrolle: Wie wirken eine definierte Sendungslänge und ein bewusst gesetzter Sendungsabschluss auf die subjektive Zufriedenheit, das Zeitempfinden und die wahrgenommene Kontrolle über die eigene Mediennutzung (</w:t>
      </w:r>
      <w:r>
        <w:rPr/>
        <w:t xml:space="preserve">Montag et al., 2019; Vanden Abeele, 2021</w:t>
      </w:r>
      <w:r>
        <w:rPr/>
        <w:t xml:space="preserve">)?</w:t>
      </w:r>
    </w:p>
    <w:p w14:paraId="4443F305" w14:textId="77777777" w:rsidR="001666F9" w:rsidRDefault="00000000">
      <w:pPr>
        <w:pStyle w:val="Listenabsatz"/>
        <w:numPr>
          <w:ilvl w:val="0"/>
          <w:numId w:val="2"/>
        </w:numPr>
        <w:spacing w:after="80" w:line="360" w:lineRule="auto"/>
      </w:pPr>
      <w:r>
        <w:rPr/>
        <w:t xml:space="preserve">T4 – Transparenz und Akzeptanz: Wie verändert eine offengelegte Personalisierungslogik die wahrgenommene Fairness, das Vertrauen und die Gebrauchstauglichkeit, gemessen unter anderem über den System Usability Scale (</w:t>
      </w:r>
      <w:r>
        <w:rPr/>
        <w:t xml:space="preserve">Bangor et al., 2008; Brooke, 1996; Reviglio &amp; Agosti, 2020</w:t>
      </w:r>
      <w:r>
        <w:rPr/>
        <w:t xml:space="preserve">)?</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rP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w:t>
      </w:r>
      <w:r>
        <w:rPr/>
        <w:t xml:space="preserve">Burr et al., 2020; Peters et al., 2020; Vanden Abeele, 2021</w:t>
      </w:r>
      <w:r>
        <w:rPr/>
        <w:t xml:space="preserve">)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rP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w:t>
      </w:r>
      <w:r>
        <w:rPr/>
        <w:t xml:space="preserve">Hevner, 2007; Hevner et al., 2004; Peffers et al., 2007</w:t>
      </w:r>
      <w:r>
        <w:rPr/>
        <w:t xml:space="preserve">)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of Acceptance and Use of Technology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r>
        <w:t>Die Auswertung folgt dem in Abschnitt 5.5 beschriebenen deskriptiv-qualitativen Vorgehen.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r>
        <w:t>Usability und Akzeptanz bilden den stärksten Validierungsstrang. Der adaptierte Bedienbarkeits-Index von 82.5 liegt – mit dem Vorbehalt der Adaption –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 erlebte Kontrolle ist demnach kein Zusatzmerkmal, sondern ein Kern der Akzeptanz.</w:t>
      </w:r>
    </w:p>
    <w:p w14:paraId="61217C66" w14:textId="77777777" w:rsidR="00AA7473" w:rsidRDefault="00000000" w:rsidP="00C74BBD">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rPr/>
        <w:t xml:space="preserve">Bangor, A., Kortum, P. T., &amp; Miller, J. T. (2008). An empirical evaluation of the System Usability Scale. </w:t>
      </w:r>
      <w:r>
        <w:rPr>
          <w:i/>
          <w:iCs/>
        </w:rPr>
        <w:t xml:space="preserve">International Journal of Human-Computer Interaction, 24</w:t>
      </w:r>
      <w:r>
        <w:rPr/>
        <w:t xml:space="preserve">(6), 574–594. https://doi.org/10.1080/10447310802205776</w:t>
      </w:r>
    </w:p>
    <w:p w14:paraId="40AC3707" w14:textId="77777777" w:rsidR="001666F9" w:rsidRPr="000C4A8B"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 xml:space="preserve">Usability evaluation in industry</w:t>
      </w:r>
      <w:r>
        <w:rPr>
          <w:lang w:val="en-US"/>
        </w:rPr>
        <w:t xml:space="preserve"> (S. 189–194). Taylor &amp; Francis.</w:t>
      </w:r>
    </w:p>
    <w:p w14:paraId="29C7EC66" w14:textId="77777777" w:rsidR="001666F9" w:rsidRPr="000C4A8B"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 xml:space="preserve">Science and Engineering Ethics, 26</w:t>
      </w:r>
      <w:r>
        <w:rPr>
          <w:lang w:val="en-US"/>
        </w:rPr>
        <w:t xml:space="preserve">(4), 2313–2343</w:t>
      </w:r>
      <w:r>
        <w:rPr>
          <w:lang w:val="en-US"/>
        </w:rPr>
        <w:t xml:space="preserve">. https://doi.org/10.1007/s11948-020-00175-8</w:t>
      </w:r>
    </w:p>
    <w:p w14:paraId="75C4CB42" w14:textId="77777777" w:rsidR="001666F9" w:rsidRPr="000C4A8B" w:rsidRDefault="00000000">
      <w:pPr>
        <w:spacing w:after="120" w:line="360" w:lineRule="auto"/>
        <w:ind w:left="720" w:hanging="720"/>
        <w:rPr>
          <w:lang w:val="en-US"/>
        </w:rPr>
      </w:pPr>
      <w:r>
        <w:rPr>
          <w:lang w:val="en-US"/>
        </w:rPr>
        <w:t xml:space="preserve">Calvo, R. A., &amp; Peters, D. (2014). </w:t>
      </w:r>
      <w:r>
        <w:rPr>
          <w:i/>
          <w:iCs/>
          <w:lang w:val="en-US"/>
        </w:rPr>
        <w:t xml:space="preserve">Positive computing: Technology for wellbeing and human potential</w:t>
      </w:r>
      <w:r>
        <w:rPr>
          <w:lang w:val="en-US"/>
        </w:rPr>
        <w:t xml:space="preserve">. MIT Press.</w:t>
      </w:r>
    </w:p>
    <w:p w14:paraId="19B6AAC0" w14:textId="77777777" w:rsidR="001666F9" w:rsidRDefault="00000000">
      <w:pPr>
        <w:spacing w:after="120" w:line="360" w:lineRule="auto"/>
        <w:ind w:left="720" w:hanging="720"/>
      </w:pPr>
      <w:r>
        <w:rPr>
          <w:lang w:val="en-US"/>
        </w:rPr>
        <w:t xml:space="preserve">Fogg, B. J. (2003). </w:t>
      </w:r>
      <w:r>
        <w:rPr>
          <w:i/>
          <w:iCs/>
          <w:lang w:val="en-US"/>
        </w:rPr>
        <w:t xml:space="preserve">Persuasive technology: Using computers to change what we think and do</w:t>
      </w:r>
      <w:r>
        <w:rPr>
          <w:lang w:val="en-US"/>
        </w:rPr>
        <w:t xml:space="preserve">. Morgan Kaufmann. https://doi.org/10.1016/B978-1-55860-643-2.X5000-8</w:t>
      </w:r>
    </w:p>
    <w:p w14:paraId="0FC14053" w14:textId="77777777" w:rsidR="001666F9" w:rsidRPr="000C4A8B" w:rsidRDefault="00000000">
      <w:pPr>
        <w:spacing w:after="120" w:line="360" w:lineRule="auto"/>
        <w:ind w:left="720" w:hanging="720"/>
        <w:rPr>
          <w:lang w:val="en-US"/>
        </w:rPr>
      </w:pPr>
      <w:r>
        <w:rPr/>
        <w:t xml:space="preserve">Geschke, D., Lorenz, J., &amp; Holtz, P. (2019). The triple-filter bubble: Using agent-based modelling to test a meta-theoretical framework for the emergence of filter bubbles and echo chambers. </w:t>
      </w:r>
      <w:r>
        <w:rPr>
          <w:i/>
          <w:iCs/>
        </w:rPr>
        <w:t xml:space="preserve">British Journal of Social Psychology, 58</w:t>
      </w:r>
      <w:r>
        <w:rPr/>
        <w:t xml:space="preserve">(1), 129–149. https://doi.org/10.1111/bjso.12286</w:t>
      </w:r>
    </w:p>
    <w:p w14:paraId="03CD68F4" w14:textId="77777777" w:rsidR="001666F9" w:rsidRPr="000C4A8B"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 xml:space="preserve">Ethics and Information Technology, 23</w:t>
      </w:r>
      <w:r>
        <w:rPr>
          <w:lang w:val="en-US"/>
        </w:rPr>
        <w:t xml:space="preserve">(1), 39–44. https://doi.org/10.1007/s10676-021-09579-x</w:t>
      </w:r>
    </w:p>
    <w:p w14:paraId="7A3FFFFA" w14:textId="77777777" w:rsidR="001666F9" w:rsidRPr="000C4A8B" w:rsidRDefault="00000000">
      <w:pPr>
        <w:spacing w:after="120" w:line="360" w:lineRule="auto"/>
        <w:ind w:left="720" w:hanging="720"/>
        <w:rPr>
          <w:lang w:val="en-US"/>
        </w:rPr>
      </w:pPr>
      <w:r>
        <w:rPr>
          <w:lang w:val="en-US"/>
        </w:rPr>
        <w:t xml:space="preserve">Hevner, A. R. (2007). A three cycle view of design science research. </w:t>
      </w:r>
      <w:r>
        <w:rPr>
          <w:i/>
          <w:iCs/>
          <w:lang w:val="en-US"/>
        </w:rPr>
        <w:t xml:space="preserve">Scandinavian Journal of Information Systems, 19</w:t>
      </w:r>
      <w:r>
        <w:rPr>
          <w:lang w:val="en-US"/>
        </w:rPr>
        <w:t xml:space="preserve">(2), 87–92.</w:t>
      </w:r>
    </w:p>
    <w:p w14:paraId="044C0186" w14:textId="77777777" w:rsidR="001666F9" w:rsidRPr="000C4A8B"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 xml:space="preserve">MIS Quarterly, 28</w:t>
      </w:r>
      <w:r>
        <w:rPr>
          <w:lang w:val="en-US"/>
        </w:rPr>
        <w:t xml:space="preserve">(1), 75–105. https://doi.org/10.2307/25148625</w:t>
      </w:r>
    </w:p>
    <w:p w14:paraId="72E33423" w14:textId="77777777" w:rsidR="001666F9" w:rsidRPr="000C4A8B"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 xml:space="preserve">Public Opinion Quarterly, 37</w:t>
      </w:r>
      <w:r>
        <w:rPr>
          <w:lang w:val="en-US"/>
        </w:rPr>
        <w:t xml:space="preserve">(4), 509–523. https://doi.org/10.1086/268109</w:t>
      </w:r>
    </w:p>
    <w:p w14:paraId="11542757" w14:textId="77777777" w:rsidR="001666F9" w:rsidRPr="000C4A8B"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 xml:space="preserve">AI &amp; Society, 35</w:t>
      </w:r>
      <w:r>
        <w:rPr>
          <w:lang w:val="en-US"/>
        </w:rPr>
        <w:t xml:space="preserve">, 957–967. https://doi.org/10.1007/s00146-020-00950-y</w:t>
      </w:r>
    </w:p>
    <w:p w14:paraId="6475FB90" w14:textId="77777777" w:rsidR="001666F9" w:rsidRPr="000C4A8B"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 xml:space="preserve">Current Addiction Reports, 10</w:t>
      </w:r>
      <w:r>
        <w:rPr>
          <w:lang w:val="en-US"/>
        </w:rPr>
        <w:t xml:space="preserve">, 610–616</w:t>
      </w:r>
      <w:r>
        <w:rPr>
          <w:lang w:val="en-US"/>
        </w:rPr>
        <w:t xml:space="preserve">. https://doi.org/10.1007/s40429-023-00494-3</w:t>
      </w:r>
    </w:p>
    <w:p w14:paraId="1D409DAE" w14:textId="77777777" w:rsidR="001666F9" w:rsidRPr="000C4A8B"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 xml:space="preserve">International Journal of Environmental Research and Public Health, 16</w:t>
      </w:r>
      <w:r>
        <w:rPr>
          <w:lang w:val="en-US"/>
        </w:rPr>
        <w:t xml:space="preserve">(14), 2612. https://doi.org/10.3390/ijerph16142612</w:t>
      </w:r>
    </w:p>
    <w:p w14:paraId="52EDD1EF" w14:textId="77777777" w:rsidR="001666F9" w:rsidRPr="000C4A8B" w:rsidRDefault="00000000">
      <w:pPr>
        <w:spacing w:after="120" w:line="360" w:lineRule="auto"/>
        <w:ind w:left="720" w:hanging="720"/>
        <w:rPr>
          <w:lang w:val="en-US"/>
        </w:rPr>
      </w:pPr>
      <w:r>
        <w:rPr/>
        <w:t xml:space="preserve">Nguyen, T. T., Hui, P.-M., Harper, F. M., Terveen, L., &amp; Konstan, J. A. (2014). Exploring the filter bubble: The effect of using recommender systems on content diversity. In </w:t>
      </w:r>
      <w:r>
        <w:rPr>
          <w:i/>
          <w:iCs/>
        </w:rPr>
        <w:t xml:space="preserve">Proceedings of the 23rd International Conference on World Wide Web</w:t>
      </w:r>
      <w:r>
        <w:rPr/>
        <w:t xml:space="preserve">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 xml:space="preserve">Social Psychiatry and Psychiatric Epidemiology, 55</w:t>
      </w:r>
      <w:r>
        <w:rPr>
          <w:lang w:val="en-US"/>
        </w:rPr>
        <w:t xml:space="preserve">(4), 407–414. https://doi.org/10.1007/s00127-019-01825-4</w:t>
      </w:r>
    </w:p>
    <w:p w14:paraId="5571F6C8" w14:textId="77777777" w:rsidR="001666F9" w:rsidRPr="000C4A8B" w:rsidRDefault="00000000">
      <w:pPr>
        <w:spacing w:after="120" w:line="360" w:lineRule="auto"/>
        <w:ind w:left="720" w:hanging="720"/>
        <w:rPr>
          <w:lang w:val="en-US"/>
        </w:rPr>
      </w:pPr>
      <w:r>
        <w:rPr>
          <w:lang w:val="en-US"/>
        </w:rPr>
        <w:t xml:space="preserve">Pariser, E. (2011). </w:t>
      </w:r>
      <w:r>
        <w:rPr>
          <w:i/>
          <w:iCs/>
          <w:lang w:val="en-US"/>
        </w:rPr>
        <w:t xml:space="preserve">The filter bubble: What the internet is hiding from you</w:t>
      </w:r>
      <w:r>
        <w:rPr>
          <w:lang w:val="en-US"/>
        </w:rPr>
        <w:t xml:space="preserve">. Penguin Press.</w:t>
      </w:r>
    </w:p>
    <w:p w14:paraId="10153020" w14:textId="77777777" w:rsidR="001666F9" w:rsidRPr="000C4A8B"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 xml:space="preserve">Journal of Management Information Systems, 24</w:t>
      </w:r>
      <w:r>
        <w:rPr>
          <w:lang w:val="en-US"/>
        </w:rPr>
        <w:t xml:space="preserve">(3), 45–</w:t>
      </w:r>
      <w:r>
        <w:rPr>
          <w:lang w:val="en-US"/>
        </w:rPr>
        <w:t xml:space="preserve">78</w:t>
      </w:r>
      <w:r>
        <w:rPr>
          <w:lang w:val="en-US"/>
        </w:rPr>
        <w:t xml:space="preserve">. https://doi.org/10.2753/MIS0742-1222240302</w:t>
      </w:r>
    </w:p>
    <w:p w14:paraId="17E3EA75" w14:textId="77777777" w:rsidR="001666F9" w:rsidRPr="000C4A8B"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 xml:space="preserve">Multimodal Technologies and Interaction, 4</w:t>
      </w:r>
      <w:r>
        <w:rPr>
          <w:lang w:val="en-US"/>
        </w:rPr>
        <w:t xml:space="preserve">(3), 40. https://doi.org/10.3390/mti4030040</w:t>
      </w:r>
    </w:p>
    <w:p w14:paraId="1DA65223" w14:textId="77777777" w:rsidR="001666F9" w:rsidRPr="000C4A8B" w:rsidRDefault="00000000">
      <w:pPr>
        <w:spacing w:after="120" w:line="360" w:lineRule="auto"/>
        <w:ind w:left="720" w:hanging="720"/>
        <w:rPr>
          <w:lang w:val="en-US"/>
        </w:rPr>
      </w:pPr>
      <w:r>
        <w:rPr>
          <w:lang w:val="en-US"/>
        </w:rPr>
        <w:t xml:space="preserve">Peters, D., Calvo, R. A., &amp; Ryan, R. M. (2018). Designing for motivation, engagement and wellbeing in digital experience. </w:t>
      </w:r>
      <w:r>
        <w:rPr>
          <w:i/>
          <w:iCs/>
          <w:lang w:val="en-US"/>
        </w:rPr>
        <w:t xml:space="preserve">Frontiers in Psychology, 9</w:t>
      </w:r>
      <w:r>
        <w:rPr>
          <w:lang w:val="en-US"/>
        </w:rPr>
        <w:t xml:space="preserve">, 797. https://doi.org/10.3389/fpsyg.2018.00797</w:t>
      </w:r>
    </w:p>
    <w:p w14:paraId="10A9D512" w14:textId="77777777" w:rsidR="001666F9" w:rsidRPr="000C4A8B"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 xml:space="preserve">Social Media + Society, 6</w:t>
      </w:r>
      <w:r>
        <w:rPr>
          <w:lang w:val="en-US"/>
        </w:rPr>
        <w:t xml:space="preserve">(2),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(2015). </w:t>
      </w:r>
      <w:r>
        <w:rPr>
          <w:i/>
          <w:iCs/>
          <w:lang w:val="en-US"/>
        </w:rPr>
        <w:t xml:space="preserve">Recommender systems handbook</w:t>
      </w:r>
      <w:r>
        <w:rPr>
          <w:lang w:val="en-US"/>
        </w:rPr>
        <w:t xml:space="preserve"> (</w:t>
      </w:r>
      <w:r>
        <w:rPr>
          <w:lang w:val="en-US"/>
        </w:rPr>
        <w:t xml:space="preserve">2. Auflage</w:t>
      </w:r>
      <w:r>
        <w:rPr>
          <w:lang w:val="en-US"/>
        </w:rPr>
        <w:t xml:space="preserve">). Springer. https://doi.org/10.1007/978-1-4899-7637-6</w:t>
      </w:r>
    </w:p>
    <w:p w14:paraId="1BE9D00D" w14:textId="77777777" w:rsidR="001666F9" w:rsidRPr="000C4A8B"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 xml:space="preserve">American Psychologist, 55</w:t>
      </w:r>
      <w:r>
        <w:rPr>
          <w:lang w:val="en-US"/>
        </w:rPr>
        <w:t xml:space="preserve">(1), 68–78. https://doi.org/10.1037/0003-066X.55.1.68</w:t>
      </w:r>
    </w:p>
    <w:p w14:paraId="73DF33DF" w14:textId="77777777" w:rsidR="001666F9" w:rsidRPr="000C4A8B" w:rsidRDefault="00000000">
      <w:pPr>
        <w:spacing w:after="120" w:line="360" w:lineRule="auto"/>
        <w:ind w:left="720" w:hanging="720"/>
        <w:rPr>
          <w:lang w:val="en-US"/>
        </w:rPr>
      </w:pPr>
      <w:r>
        <w:rPr>
          <w:lang w:val="en-US"/>
        </w:rPr>
        <w:t xml:space="preserve">Sunstein, C. R. (2017). </w:t>
      </w:r>
      <w:r>
        <w:rPr>
          <w:i/>
          <w:iCs/>
          <w:lang w:val="en-US"/>
        </w:rPr>
        <w:t xml:space="preserve">#Republic: Divided democracy in the age of social media</w:t>
      </w:r>
      <w:r>
        <w:rPr>
          <w:lang w:val="en-US"/>
        </w:rPr>
        <w:t xml:space="preserve">. Princeton University Press.</w:t>
      </w:r>
    </w:p>
    <w:p w14:paraId="54D5F835" w14:textId="77777777" w:rsidR="001666F9" w:rsidRPr="000C4A8B"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 xml:space="preserve">Communication Theory, 31</w:t>
      </w:r>
      <w:r>
        <w:rPr>
          <w:lang w:val="en-US"/>
        </w:rPr>
        <w:t xml:space="preserve">(4), 932–955. https://doi.org/10.1093/ct/qtaa024</w:t>
      </w:r>
    </w:p>
    <w:p w14:paraId="2F9FEF62" w14:textId="77777777" w:rsidR="001666F9" w:rsidRPr="000C4A8B"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 xml:space="preserve">Journal of Experimental Psychology: General, 144</w:t>
      </w:r>
      <w:r>
        <w:rPr>
          <w:lang w:val="en-US"/>
        </w:rPr>
        <w:t xml:space="preserve">(2),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rPr>
          <w:i/>
          <w:iCs/>
          <w:lang w:val="en-US"/>
        </w:rPr>
        <w:t xml:space="preserve">Science, 359</w:t>
      </w:r>
      <w:r>
        <w:rPr>
          <w:lang w:val="en-US"/>
        </w:rPr>
        <w:t xml:space="preserve">(6380), 1146–1151. https://doi.org/10.1126/science.aap9559</w:t>
      </w:r>
    </w:p>
    <w:p w14:paraId="510A68C9" w14:textId="77777777" w:rsidR="001666F9" w:rsidRPr="000C4A8B" w:rsidRDefault="00000000">
      <w:pPr>
        <w:spacing w:after="120" w:line="360" w:lineRule="auto"/>
        <w:ind w:left="720" w:hanging="720"/>
        <w:rPr>
          <w:lang w:val="en-US"/>
        </w:rPr>
      </w:pPr>
      <w:r>
        <w:rPr/>
        <w:t xml:space="preserve">Weinmann, M., Schneider, C., &amp; vom Brocke, J. (2016). Digital nudging. </w:t>
      </w:r>
      <w:r>
        <w:rPr>
          <w:i/>
          <w:iCs/>
        </w:rPr>
        <w:t xml:space="preserve">Business &amp; Information Systems Engineering, 58</w:t>
      </w:r>
      <w:r>
        <w:rPr/>
        <w:t xml:space="preserve">(6), 433–436. https://doi.org/10.1007/s12599-016-0453-</w:t>
      </w:r>
      <w:r>
        <w:rPr/>
        <w:t xml:space="preserve">1</w:t>
      </w:r>
    </w:p>
    <w:p w14:paraId="1762CC53" w14:textId="77777777" w:rsidR="001666F9" w:rsidRDefault="00000000">
      <w:pPr>
        <w:spacing w:after="120" w:line="360" w:lineRule="auto"/>
        <w:ind w:left="720" w:hanging="720"/>
      </w:pPr>
      <w:r>
        <w:rPr>
          <w:lang w:val="en-US"/>
        </w:rPr>
        <w:t xml:space="preserve">Zuboff, S. (2019). </w:t>
      </w:r>
      <w:r>
        <w:rPr>
          <w:i/>
          <w:iCs/>
          <w:lang w:val="en-US"/>
        </w:rPr>
        <w:t xml:space="preserve">The age of surveillance capitalism: The fight for a human future at the new frontier of power</w:t>
      </w:r>
      <w:r>
        <w:rPr>
          <w:lang w:val="en-US"/>
        </w:rPr>
        <w:t xml:space="preserve">. 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