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4E79"/>
          <w:sz w:val="40"/>
          <w:szCs w:val="40"/>
        </w:rPr>
        <w:t xml:space="preserve">Prüfbericht Quellenarbeit</w:t>
      </w:r>
    </w:p>
    <w:p>
      <w:pPr>
        <w:spacing w:after="40"/>
      </w:pPr>
      <w:r>
        <w:rPr>
          <w:rFonts w:ascii="Arial" w:cs="Arial" w:eastAsia="Arial" w:hAnsi="Arial"/>
          <w:color w:val="595959"/>
          <w:sz w:val="24"/>
          <w:szCs w:val="24"/>
        </w:rPr>
        <w:t xml:space="preserve">Bachelorarbeit «Attune» – Vollständige Prüfung der Zitation und Belegführung</w:t>
      </w:r>
    </w:p>
    <w:p>
      <w:pPr>
        <w:spacing w:after="30"/>
      </w:pPr>
      <w:r>
        <w:rPr>
          <w:rFonts w:ascii="Arial" w:cs="Arial" w:eastAsia="Arial" w:hAnsi="Arial"/>
          <w:sz w:val="21"/>
          <w:szCs w:val="21"/>
        </w:rPr>
        <w:t xml:space="preserve">Prüfgegenstand: Hauptdokument.docx (Kap. 1–11, Literaturverzeichnis, 28 Quellen)  ·  </w:t>
      </w:r>
      <w:r>
        <w:rPr>
          <w:rFonts w:ascii="Arial" w:cs="Arial" w:eastAsia="Arial" w:hAnsi="Arial"/>
          <w:sz w:val="21"/>
          <w:szCs w:val="21"/>
        </w:rPr>
        <w:t xml:space="preserve">Massstab: ZHAW-Zitierleitfaden SML (APA 7, Stand Dez. 2023), bei Sonderfällen APA 7  ·  </w:t>
      </w:r>
      <w:r>
        <w:rPr>
          <w:rFonts w:ascii="Arial" w:cs="Arial" w:eastAsia="Arial" w:hAnsi="Arial"/>
          <w:sz w:val="21"/>
          <w:szCs w:val="21"/>
        </w:rPr>
        <w:t xml:space="preserve">Datum: 14. Juni 2026</w:t>
      </w:r>
    </w:p>
    <w:p>
      <w:pPr>
        <w:pBdr>
          <w:bottom w:val="single" w:color="1F4E79" w:sz="6" w:space="1"/>
        </w:pBdr>
      </w:pPr>
    </w:p>
    <w:p>
      <w:pPr>
        <w:pStyle w:val="Heading1"/>
      </w:pPr>
      <w:r>
        <w:t xml:space="preserve">Gesamtbild</w:t>
      </w:r>
    </w:p>
    <w:p>
      <w:pPr>
        <w:spacing w:after="120"/>
      </w:pPr>
      <w:r>
        <w:rPr>
          <w:rFonts w:ascii="Arial" w:cs="Arial" w:eastAsia="Arial" w:hAnsi="Arial"/>
          <w:sz w:val="21"/>
          <w:szCs w:val="21"/>
        </w:rPr>
        <w:t xml:space="preserve">Das Quellengerüst der Arbeit ist insgesamt solide und ehrlich geführt. </w:t>
      </w:r>
      <w:r>
        <w:rPr>
          <w:rFonts w:ascii="Arial" w:cs="Arial" w:eastAsia="Arial" w:hAnsi="Arial"/>
          <w:sz w:val="21"/>
          <w:szCs w:val="21"/>
        </w:rPr>
        <w:t xml:space="preserve">Alle 28 Quellen wurden im Web verifiziert und existieren tatsächlich – es wurde keine erfundene, falsch zugeschriebene oder nicht-zitierfähige Quelle gefunden, </w:t>
      </w:r>
      <w:r>
        <w:rPr>
          <w:rFonts w:ascii="Arial" w:cs="Arial" w:eastAsia="Arial" w:hAnsi="Arial"/>
          <w:b/>
          <w:bCs/>
          <w:sz w:val="21"/>
          <w:szCs w:val="21"/>
        </w:rPr>
        <w:t xml:space="preserve">und der Abgleich zwischen Text und Verzeichnis ist in beide Richtungen vollständig (keine Waisen, keine fehlenden Einträge). </w:t>
      </w:r>
      <w:r>
        <w:rPr>
          <w:rFonts w:ascii="Arial" w:cs="Arial" w:eastAsia="Arial" w:hAnsi="Arial"/>
          <w:sz w:val="21"/>
          <w:szCs w:val="21"/>
        </w:rPr>
        <w:t xml:space="preserve">Die Deklaration der KI-Nutzung erfüllt die Vorgaben des Leitfadens vorbildlich.</w:t>
      </w:r>
    </w:p>
    <w:p>
      <w:pPr>
        <w:spacing w:after="120"/>
      </w:pPr>
      <w:r>
        <w:rPr>
          <w:rFonts w:ascii="Arial" w:cs="Arial" w:eastAsia="Arial" w:hAnsi="Arial"/>
          <w:sz w:val="21"/>
          <w:szCs w:val="21"/>
        </w:rPr>
        <w:t xml:space="preserve">Es bestehen jedoch zwei systematische Formfehler und einige punktuelle Sachfehler, die vor der Abgabe behoben werden sollten: </w:t>
      </w:r>
      <w:r>
        <w:rPr>
          <w:rFonts w:ascii="Arial" w:cs="Arial" w:eastAsia="Arial" w:hAnsi="Arial"/>
          <w:b/>
          <w:bCs/>
          <w:sz w:val="21"/>
          <w:szCs w:val="21"/>
        </w:rPr>
        <w:t xml:space="preserve">(1) das Literaturverzeichnis enthält durchgängig keine Kursivsetzung</w:t>
      </w:r>
      <w:r>
        <w:rPr>
          <w:rFonts w:ascii="Arial" w:cs="Arial" w:eastAsia="Arial" w:hAnsi="Arial"/>
          <w:sz w:val="21"/>
          <w:szCs w:val="21"/>
        </w:rPr>
        <w:t xml:space="preserve"> (vom Leitfaden zwingend gefordert), und </w:t>
      </w:r>
      <w:r>
        <w:rPr>
          <w:rFonts w:ascii="Arial" w:cs="Arial" w:eastAsia="Arial" w:hAnsi="Arial"/>
          <w:b/>
          <w:bCs/>
          <w:sz w:val="21"/>
          <w:szCs w:val="21"/>
        </w:rPr>
        <w:t xml:space="preserve">(2) zwei Literaturangaben tragen falsche Seitenzahlen</w:t>
      </w:r>
      <w:r>
        <w:rPr>
          <w:rFonts w:ascii="Arial" w:cs="Arial" w:eastAsia="Arial" w:hAnsi="Arial"/>
          <w:sz w:val="21"/>
          <w:szCs w:val="21"/>
        </w:rPr>
        <w:t xml:space="preserve"> (Burr et al.; Montag &amp; Elhai). Hinzu kommen ein fehlerhafter DOI, ein falsch geschriebener Autorenname im Fliesstext, nicht-alphabetische Mehrfachbelege und vereinzelt Direktzitate ohne Seitenangabe.</w:t>
      </w:r>
    </w:p>
    <w:p>
      <w:pPr>
        <w:pStyle w:val="Heading2"/>
      </w:pPr>
      <w:r>
        <w:t xml:space="preserve">Befundübersicht nach Schweregrad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200"/>
        <w:gridCol w:w="3060"/>
      </w:tblGrid>
      <w:tr>
        <w:tc>
          <w:tcPr>
            <w:tcW w:type="dxa" w:w="1100"/>
            <w:tcBorders>
              <w:top w:val="single" w:color="BFBFBF" w:sz="1"/>
              <w:left w:val="single" w:color="BFBFBF" w:sz="1"/>
              <w:bottom w:val="single" w:color="BFBFBF" w:sz="1"/>
              <w:right w:val="single" w:color="BFBFBF" w:sz="1"/>
            </w:tcBorders>
            <w:shd w:fill="1F4E79" w:val="clear"/>
            <w:tcMar>
              <w:top w:type="dxa" w:w="60"/>
              <w:left w:type="dxa" w:w="110"/>
              <w:bottom w:type="dxa" w:w="60"/>
              <w:right w:type="dxa" w:w="110"/>
            </w:tcMar>
          </w:tcPr>
          <w:p>
            <w:r>
              <w:rPr>
                <w:rFonts w:ascii="Arial" w:cs="Arial" w:eastAsia="Arial" w:hAnsi="Arial"/>
                <w:b/>
                <w:bCs/>
                <w:color w:val="FFFFFF"/>
                <w:sz w:val="20"/>
                <w:szCs w:val="20"/>
              </w:rPr>
              <w:t xml:space="preserve">Grad</w:t>
            </w:r>
          </w:p>
        </w:tc>
        <w:tc>
          <w:tcPr>
            <w:tcW w:type="dxa" w:w="5200"/>
            <w:tcBorders>
              <w:top w:val="single" w:color="BFBFBF" w:sz="1"/>
              <w:left w:val="single" w:color="BFBFBF" w:sz="1"/>
              <w:bottom w:val="single" w:color="BFBFBF" w:sz="1"/>
              <w:right w:val="single" w:color="BFBFBF" w:sz="1"/>
            </w:tcBorders>
            <w:shd w:fill="1F4E79" w:val="clear"/>
            <w:tcMar>
              <w:top w:type="dxa" w:w="60"/>
              <w:left w:type="dxa" w:w="110"/>
              <w:bottom w:type="dxa" w:w="60"/>
              <w:right w:type="dxa" w:w="110"/>
            </w:tcMar>
          </w:tcPr>
          <w:p>
            <w:r>
              <w:rPr>
                <w:rFonts w:ascii="Arial" w:cs="Arial" w:eastAsia="Arial" w:hAnsi="Arial"/>
                <w:b/>
                <w:bCs/>
                <w:color w:val="FFFFFF"/>
                <w:sz w:val="20"/>
                <w:szCs w:val="20"/>
              </w:rPr>
              <w:t xml:space="preserve">Befund</w:t>
            </w:r>
          </w:p>
        </w:tc>
        <w:tc>
          <w:tcPr>
            <w:tcW w:type="dxa" w:w="3060"/>
            <w:tcBorders>
              <w:top w:val="single" w:color="BFBFBF" w:sz="1"/>
              <w:left w:val="single" w:color="BFBFBF" w:sz="1"/>
              <w:bottom w:val="single" w:color="BFBFBF" w:sz="1"/>
              <w:right w:val="single" w:color="BFBFBF" w:sz="1"/>
            </w:tcBorders>
            <w:shd w:fill="1F4E79" w:val="clear"/>
            <w:tcMar>
              <w:top w:type="dxa" w:w="60"/>
              <w:left w:type="dxa" w:w="110"/>
              <w:bottom w:type="dxa" w:w="60"/>
              <w:right w:type="dxa" w:w="110"/>
            </w:tcMar>
          </w:tcPr>
          <w:p>
            <w:r>
              <w:rPr>
                <w:rFonts w:ascii="Arial" w:cs="Arial" w:eastAsia="Arial" w:hAnsi="Arial"/>
                <w:b/>
                <w:bCs/>
                <w:color w:val="FFFFFF"/>
                <w:sz w:val="20"/>
                <w:szCs w:val="20"/>
              </w:rPr>
              <w:t xml:space="preserve">Verweis</w:t>
            </w:r>
          </w:p>
        </w:tc>
      </w:tr>
      <w:tr>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bCs/>
                <w:color w:val="B00020"/>
                <w:sz w:val="20"/>
                <w:szCs w:val="20"/>
              </w:rPr>
              <w:t xml:space="preserve">KRITISCH</w:t>
            </w:r>
          </w:p>
        </w:tc>
        <w:tc>
          <w:tcPr>
            <w:tcW w:type="dxa" w:w="5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Literaturverzeichnis ohne jede Kursivsetzung (alle 28 Einträge)</w:t>
            </w:r>
          </w:p>
        </w:tc>
        <w:tc>
          <w:tcPr>
            <w:tcW w:type="dxa" w:w="30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C1</w:t>
            </w:r>
          </w:p>
        </w:tc>
      </w:tr>
      <w:tr>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bCs/>
                <w:color w:val="B00020"/>
                <w:sz w:val="20"/>
                <w:szCs w:val="20"/>
              </w:rPr>
              <w:t xml:space="preserve">KRITISCH</w:t>
            </w:r>
          </w:p>
        </w:tc>
        <w:tc>
          <w:tcPr>
            <w:tcW w:type="dxa" w:w="5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Falsche Seitenzahlen: Burr et al. (2020) und Montag &amp; Elhai (2023)</w:t>
            </w:r>
          </w:p>
        </w:tc>
        <w:tc>
          <w:tcPr>
            <w:tcW w:type="dxa" w:w="30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A1, A2</w:t>
            </w:r>
          </w:p>
        </w:tc>
      </w:tr>
      <w:tr>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bCs/>
                <w:color w:val="B36A00"/>
                <w:sz w:val="20"/>
                <w:szCs w:val="20"/>
              </w:rPr>
              <w:t xml:space="preserve">MITTEL</w:t>
            </w:r>
          </w:p>
        </w:tc>
        <w:tc>
          <w:tcPr>
            <w:tcW w:type="dxa" w:w="5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Falscher DOI (Weinmann et al.), «Abeele» statt «Vanden Abeele», nicht-alphabetische Mehrfachbelege, Direktzitate ohne Seite, Kapitel-Format ohne (Hrsg.), Spartechnik in 1.3</w:t>
            </w:r>
          </w:p>
        </w:tc>
        <w:tc>
          <w:tcPr>
            <w:tcW w:type="dxa" w:w="30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A3, B1–B4, C2, E1</w:t>
            </w:r>
          </w:p>
        </w:tc>
      </w:tr>
      <w:tr>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bCs/>
                <w:color w:val="595959"/>
                <w:sz w:val="20"/>
                <w:szCs w:val="20"/>
              </w:rPr>
              <w:t xml:space="preserve">GERING</w:t>
            </w:r>
          </w:p>
        </w:tc>
        <w:tc>
          <w:tcPr>
            <w:tcW w:type="dxa" w:w="5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Schlussseite Peffers (45–77 → 45–78); «2. Aufl.» statt «2. Auflage»</w:t>
            </w:r>
          </w:p>
        </w:tc>
        <w:tc>
          <w:tcPr>
            <w:tcW w:type="dxa" w:w="30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A4, C3</w:t>
            </w:r>
          </w:p>
        </w:tc>
      </w:tr>
      <w:tr>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bCs/>
                <w:color w:val="2E7D32"/>
                <w:sz w:val="20"/>
                <w:szCs w:val="20"/>
              </w:rPr>
              <w:t xml:space="preserve">KONFORM</w:t>
            </w:r>
          </w:p>
        </w:tc>
        <w:tc>
          <w:tcPr>
            <w:tcW w:type="dxa" w:w="5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Quellenexistenz, Text↔Verzeichnis-Abgleich, et-al.-Regel, alphabetische Verzeichnis-Ordnung, KI-Deklaration</w:t>
            </w:r>
          </w:p>
        </w:tc>
        <w:tc>
          <w:tcPr>
            <w:tcW w:type="dxa" w:w="30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rFonts w:ascii="Arial" w:cs="Arial" w:eastAsia="Arial" w:hAnsi="Arial"/>
                <w:b w:val="false"/>
                <w:bCs w:val="false"/>
                <w:color w:val="000000"/>
                <w:sz w:val="20"/>
                <w:szCs w:val="20"/>
              </w:rPr>
              <w:t xml:space="preserve">—</w:t>
            </w:r>
          </w:p>
        </w:tc>
      </w:tr>
    </w:tbl>
    <w:p>
      <w:pPr>
        <w:spacing w:after="120"/>
      </w:pPr>
      <w:r>
        <w:rPr>
          <w:rFonts w:ascii="Arial" w:cs="Arial" w:eastAsia="Arial" w:hAnsi="Arial"/>
          <w:b/>
          <w:bCs/>
          <w:color w:val="595959"/>
          <w:sz w:val="20"/>
          <w:szCs w:val="20"/>
        </w:rPr>
        <w:t xml:space="preserve">Methodik: </w:t>
      </w:r>
      <w:r>
        <w:rPr>
          <w:rFonts w:ascii="Arial" w:cs="Arial" w:eastAsia="Arial" w:hAnsi="Arial"/>
          <w:i/>
          <w:iCs/>
          <w:color w:val="595959"/>
          <w:sz w:val="20"/>
          <w:szCs w:val="20"/>
        </w:rPr>
        <w:t xml:space="preserve">Jede der 28 Quellen wurde über Verlagsseite, DOI bzw. Datenbank gegengeprüft (Titel, Autor:innen, Jahr, Band, Seiten, DOI). Es trat kein Fall «NICHT VERIFIZIERBAR» auf; alle Sachfehler unten sind belegt.</w:t>
      </w:r>
    </w:p>
    <w:p>
      <w:pPr>
        <w:pStyle w:val="Heading1"/>
      </w:pPr>
      <w:r>
        <w:t xml:space="preserve">A · Inhaltliche Quellenprobleme</w:t>
      </w:r>
    </w:p>
    <w:p>
      <w:pPr>
        <w:spacing w:after="120"/>
      </w:pPr>
      <w:r>
        <w:rPr>
          <w:rFonts w:ascii="Arial" w:cs="Arial" w:eastAsia="Arial" w:hAnsi="Arial"/>
          <w:b/>
          <w:bCs/>
          <w:sz w:val="21"/>
          <w:szCs w:val="21"/>
        </w:rPr>
        <w:t xml:space="preserve">Ergebnis vorweg: </w:t>
      </w:r>
      <w:r>
        <w:rPr>
          <w:rFonts w:ascii="Arial" w:cs="Arial" w:eastAsia="Arial" w:hAnsi="Arial"/>
          <w:sz w:val="21"/>
          <w:szCs w:val="21"/>
        </w:rPr>
        <w:t xml:space="preserve">Alle 28 Quellen sind real und korrekt zugeschrieben. Keine ungekennzeichneten Sekundärzitate, keine nicht-zitierfähigen Quellen (kein Wikipedia o. Ä.). Es bestehen jedoch vier Genauigkeitsfehler in den bibliografischen Angaben:</w:t>
      </w:r>
    </w:p>
    <w:p>
      <w:pPr>
        <w:spacing w:after="40" w:before="160"/>
      </w:pPr>
      <w:r>
        <w:rPr>
          <w:rFonts w:ascii="Arial" w:cs="Arial" w:eastAsia="Arial" w:hAnsi="Arial"/>
          <w:b/>
          <w:bCs/>
          <w:color w:val="1F4E79"/>
          <w:sz w:val="22"/>
          <w:szCs w:val="22"/>
        </w:rPr>
        <w:t xml:space="preserve">A1  </w:t>
      </w:r>
      <w:r>
        <w:rPr>
          <w:rFonts w:ascii="Arial" w:cs="Arial" w:eastAsia="Arial" w:hAnsi="Arial"/>
          <w:b/>
          <w:bCs/>
          <w:sz w:val="22"/>
          <w:szCs w:val="22"/>
        </w:rPr>
        <w:t xml:space="preserve">Burr, Taddeo &amp; Floridi (2020) – falsche Seitenzahlen</w:t>
      </w:r>
      <w:r>
        <w:rPr>
          <w:rFonts w:ascii="Arial" w:cs="Arial" w:eastAsia="Arial" w:hAnsi="Arial"/>
          <w:sz w:val="22"/>
          <w:szCs w:val="22"/>
        </w:rPr>
        <w:t xml:space="preserve">    </w:t>
      </w:r>
      <w:r>
        <w:rPr>
          <w:rFonts w:ascii="Arial" w:cs="Arial" w:eastAsia="Arial" w:hAnsi="Arial"/>
          <w:b/>
          <w:bCs/>
          <w:color w:val="FFFFFF"/>
          <w:sz w:val="18"/>
          <w:szCs w:val="18"/>
          <w:shd w:fill="B00020" w:val="clear"/>
        </w:rPr>
        <w:t xml:space="preserve"> KRITISCH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Literaturverzeichnis; zitiert in 1.1, 1.7, 4.4</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Angegeben ist «Science and Engineering Ethics, 26, 2441–2460». Die tatsächliche Quelle ist </w:t>
      </w:r>
      <w:r>
        <w:rPr>
          <w:rFonts w:ascii="Arial" w:cs="Arial" w:eastAsia="Arial" w:hAnsi="Arial"/>
          <w:i/>
          <w:iCs/>
          <w:sz w:val="21"/>
          <w:szCs w:val="21"/>
        </w:rPr>
        <w:t xml:space="preserve">Science and Engineering Ethics, 26</w:t>
      </w:r>
      <w:r>
        <w:rPr>
          <w:rFonts w:ascii="Arial" w:cs="Arial" w:eastAsia="Arial" w:hAnsi="Arial"/>
          <w:sz w:val="21"/>
          <w:szCs w:val="21"/>
        </w:rPr>
        <w:t xml:space="preserve">(4), 2313–2343 (DOI 10.1007/s11948-020-00175-8). Die Seitenangabe ist falsch und die Heftnummer fehlt. Verstoss gegen die Überprüfbarkeit (Leitfaden S. 6) und das Format «Jahrgang(Heft-Nr.), X–Y» für Zeitschriftenartikel (S. 11).</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 </w:t>
      </w:r>
      <w:r>
        <w:rPr>
          <w:rFonts w:ascii="Arial" w:cs="Arial" w:eastAsia="Arial" w:hAnsi="Arial"/>
          <w:i/>
          <w:iCs/>
          <w:sz w:val="21"/>
          <w:szCs w:val="21"/>
        </w:rPr>
        <w:t xml:space="preserve">Science and Engineering Ethics, 26</w:t>
      </w:r>
      <w:r>
        <w:rPr>
          <w:rFonts w:ascii="Arial" w:cs="Arial" w:eastAsia="Arial" w:hAnsi="Arial"/>
          <w:sz w:val="21"/>
          <w:szCs w:val="21"/>
        </w:rPr>
        <w:t xml:space="preserve">(4), 2313–2343. https://doi.org/10.1007/s11948-020-00175-8»</w:t>
      </w:r>
    </w:p>
    <w:p>
      <w:pPr>
        <w:spacing w:after="40" w:before="160"/>
      </w:pPr>
      <w:r>
        <w:rPr>
          <w:rFonts w:ascii="Arial" w:cs="Arial" w:eastAsia="Arial" w:hAnsi="Arial"/>
          <w:b/>
          <w:bCs/>
          <w:color w:val="1F4E79"/>
          <w:sz w:val="22"/>
          <w:szCs w:val="22"/>
        </w:rPr>
        <w:t xml:space="preserve">A2  </w:t>
      </w:r>
      <w:r>
        <w:rPr>
          <w:rFonts w:ascii="Arial" w:cs="Arial" w:eastAsia="Arial" w:hAnsi="Arial"/>
          <w:b/>
          <w:bCs/>
          <w:sz w:val="22"/>
          <w:szCs w:val="22"/>
        </w:rPr>
        <w:t xml:space="preserve">Montag &amp; Elhai (2023) – falsche Seitenzahlen</w:t>
      </w:r>
      <w:r>
        <w:rPr>
          <w:rFonts w:ascii="Arial" w:cs="Arial" w:eastAsia="Arial" w:hAnsi="Arial"/>
          <w:sz w:val="22"/>
          <w:szCs w:val="22"/>
        </w:rPr>
        <w:t xml:space="preserve">    </w:t>
      </w:r>
      <w:r>
        <w:rPr>
          <w:rFonts w:ascii="Arial" w:cs="Arial" w:eastAsia="Arial" w:hAnsi="Arial"/>
          <w:b/>
          <w:bCs/>
          <w:color w:val="FFFFFF"/>
          <w:sz w:val="18"/>
          <w:szCs w:val="18"/>
          <w:shd w:fill="B00020" w:val="clear"/>
        </w:rPr>
        <w:t xml:space="preserve"> KRITISCH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Literaturverzeichnis; zitiert in 1 (Motivation), 1.7, 2.2.7</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Angegeben ist «Current Addiction Reports, 10(4), 384–395». Korrekt ist </w:t>
      </w:r>
      <w:r>
        <w:rPr>
          <w:rFonts w:ascii="Arial" w:cs="Arial" w:eastAsia="Arial" w:hAnsi="Arial"/>
          <w:i/>
          <w:iCs/>
          <w:sz w:val="21"/>
          <w:szCs w:val="21"/>
        </w:rPr>
        <w:t xml:space="preserve">Current Addiction Reports, 10</w:t>
      </w:r>
      <w:r>
        <w:rPr>
          <w:rFonts w:ascii="Arial" w:cs="Arial" w:eastAsia="Arial" w:hAnsi="Arial"/>
          <w:sz w:val="21"/>
          <w:szCs w:val="21"/>
        </w:rPr>
        <w:t xml:space="preserve">, 610–616 (DOI 10.1007/s40429-023-00494-3). Sowohl Heftnummer als auch Seitenbereich sind unzutreffend (S. 11).</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 </w:t>
      </w:r>
      <w:r>
        <w:rPr>
          <w:rFonts w:ascii="Arial" w:cs="Arial" w:eastAsia="Arial" w:hAnsi="Arial"/>
          <w:i/>
          <w:iCs/>
          <w:sz w:val="21"/>
          <w:szCs w:val="21"/>
        </w:rPr>
        <w:t xml:space="preserve">Current Addiction Reports, 10</w:t>
      </w:r>
      <w:r>
        <w:rPr>
          <w:rFonts w:ascii="Arial" w:cs="Arial" w:eastAsia="Arial" w:hAnsi="Arial"/>
          <w:sz w:val="21"/>
          <w:szCs w:val="21"/>
        </w:rPr>
        <w:t xml:space="preserve">, 610–616. https://doi.org/10.1007/s40429-023-00494-3»</w:t>
      </w:r>
    </w:p>
    <w:p>
      <w:pPr>
        <w:spacing w:after="40" w:before="160"/>
      </w:pPr>
      <w:r>
        <w:rPr>
          <w:rFonts w:ascii="Arial" w:cs="Arial" w:eastAsia="Arial" w:hAnsi="Arial"/>
          <w:b/>
          <w:bCs/>
          <w:color w:val="1F4E79"/>
          <w:sz w:val="22"/>
          <w:szCs w:val="22"/>
        </w:rPr>
        <w:t xml:space="preserve">A3  </w:t>
      </w:r>
      <w:r>
        <w:rPr>
          <w:rFonts w:ascii="Arial" w:cs="Arial" w:eastAsia="Arial" w:hAnsi="Arial"/>
          <w:b/>
          <w:bCs/>
          <w:sz w:val="22"/>
          <w:szCs w:val="22"/>
        </w:rPr>
        <w:t xml:space="preserve">Weinmann, Schneider &amp; vom Brocke (2016) – falscher DOI</w:t>
      </w:r>
      <w:r>
        <w:rPr>
          <w:rFonts w:ascii="Arial" w:cs="Arial" w:eastAsia="Arial" w:hAnsi="Arial"/>
          <w:sz w:val="22"/>
          <w:szCs w:val="22"/>
        </w:rPr>
        <w:t xml:space="preserve">    </w:t>
      </w:r>
      <w:r>
        <w:rPr>
          <w:rFonts w:ascii="Arial" w:cs="Arial" w:eastAsia="Arial" w:hAnsi="Arial"/>
          <w:b/>
          <w:bCs/>
          <w:color w:val="FFFFFF"/>
          <w:sz w:val="18"/>
          <w:szCs w:val="18"/>
          <w:shd w:fill="B36A00" w:val="clear"/>
        </w:rPr>
        <w:t xml:space="preserve"> MITTEL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Literaturverzeichnis; zitiert in 1.3, 2.2.6, 5.1</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Der angegebene DOI 10.1007/s12599-016-0453-3 ist falsch; korrekt ist 10.1007/s12599-016-0453-1. Ein falscher DOI führt die lesende Person ins Leere und verletzt die Überprüfbarkeit (S. 6, 9).</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 https://doi.org/10.1007/s12599-016-0453-1»  (Band/Seiten 58(6), 433–436 sind korrekt.)</w:t>
      </w:r>
    </w:p>
    <w:p>
      <w:pPr>
        <w:spacing w:after="40" w:before="160"/>
      </w:pPr>
      <w:r>
        <w:rPr>
          <w:rFonts w:ascii="Arial" w:cs="Arial" w:eastAsia="Arial" w:hAnsi="Arial"/>
          <w:b/>
          <w:bCs/>
          <w:color w:val="1F4E79"/>
          <w:sz w:val="22"/>
          <w:szCs w:val="22"/>
        </w:rPr>
        <w:t xml:space="preserve">A4  </w:t>
      </w:r>
      <w:r>
        <w:rPr>
          <w:rFonts w:ascii="Arial" w:cs="Arial" w:eastAsia="Arial" w:hAnsi="Arial"/>
          <w:b/>
          <w:bCs/>
          <w:sz w:val="22"/>
          <w:szCs w:val="22"/>
        </w:rPr>
        <w:t xml:space="preserve">Peffers et al. (2007) – Schlussseite</w:t>
      </w:r>
      <w:r>
        <w:rPr>
          <w:rFonts w:ascii="Arial" w:cs="Arial" w:eastAsia="Arial" w:hAnsi="Arial"/>
          <w:sz w:val="22"/>
          <w:szCs w:val="22"/>
        </w:rPr>
        <w:t xml:space="preserve">    </w:t>
      </w:r>
      <w:r>
        <w:rPr>
          <w:rFonts w:ascii="Arial" w:cs="Arial" w:eastAsia="Arial" w:hAnsi="Arial"/>
          <w:b/>
          <w:bCs/>
          <w:color w:val="FFFFFF"/>
          <w:sz w:val="18"/>
          <w:szCs w:val="18"/>
          <w:shd w:fill="595959" w:val="clear"/>
        </w:rPr>
        <w:t xml:space="preserve"> GERING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Literaturverzeichnis; zitiert in 4.3, 5, 5.2</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Angegeben «24(3), 45–77»; der Artikel reicht bis Seite 78 (45–78).</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 </w:t>
      </w:r>
      <w:r>
        <w:rPr>
          <w:rFonts w:ascii="Arial" w:cs="Arial" w:eastAsia="Arial" w:hAnsi="Arial"/>
          <w:i/>
          <w:iCs/>
          <w:sz w:val="21"/>
          <w:szCs w:val="21"/>
        </w:rPr>
        <w:t xml:space="preserve">Journal of Management Information Systems, 24</w:t>
      </w:r>
      <w:r>
        <w:rPr>
          <w:rFonts w:ascii="Arial" w:cs="Arial" w:eastAsia="Arial" w:hAnsi="Arial"/>
          <w:sz w:val="21"/>
          <w:szCs w:val="21"/>
        </w:rPr>
        <w:t xml:space="preserve">(3), 45–78. …»</w:t>
      </w:r>
    </w:p>
    <w:p>
      <w:pPr>
        <w:pStyle w:val="Heading1"/>
      </w:pPr>
      <w:r>
        <w:t xml:space="preserve">B · Formale Zitierfehler im Text</w:t>
      </w:r>
    </w:p>
    <w:p>
      <w:pPr>
        <w:spacing w:after="40" w:before="160"/>
      </w:pPr>
      <w:r>
        <w:rPr>
          <w:rFonts w:ascii="Arial" w:cs="Arial" w:eastAsia="Arial" w:hAnsi="Arial"/>
          <w:b/>
          <w:bCs/>
          <w:color w:val="1F4E79"/>
          <w:sz w:val="22"/>
          <w:szCs w:val="22"/>
        </w:rPr>
        <w:t xml:space="preserve">B1  </w:t>
      </w:r>
      <w:r>
        <w:rPr>
          <w:rFonts w:ascii="Arial" w:cs="Arial" w:eastAsia="Arial" w:hAnsi="Arial"/>
          <w:b/>
          <w:bCs/>
          <w:sz w:val="22"/>
          <w:szCs w:val="22"/>
        </w:rPr>
        <w:t xml:space="preserve">Autorenname «Abeele» statt «Vanden Abeele»</w:t>
      </w:r>
      <w:r>
        <w:rPr>
          <w:rFonts w:ascii="Arial" w:cs="Arial" w:eastAsia="Arial" w:hAnsi="Arial"/>
          <w:sz w:val="22"/>
          <w:szCs w:val="22"/>
        </w:rPr>
        <w:t xml:space="preserve">    </w:t>
      </w:r>
      <w:r>
        <w:rPr>
          <w:rFonts w:ascii="Arial" w:cs="Arial" w:eastAsia="Arial" w:hAnsi="Arial"/>
          <w:b/>
          <w:bCs/>
          <w:color w:val="FFFFFF"/>
          <w:sz w:val="18"/>
          <w:szCs w:val="18"/>
          <w:shd w:fill="B36A00" w:val="clear"/>
        </w:rPr>
        <w:t xml:space="preserve"> MITTEL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Abschnitte 2.1.2, 2.3.3, 3.2 und 5.4 (narrative Belege)</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Der Nachname der Autorin ist «Vanden Abeele» (so auch korrekt im Verzeichnis und in den Klammerbelegen «(Vanden Abeele, 2021)»). In den integralen Belegen steht jedoch verkürzt «Abeele (2021)». Der Kurzbeleg muss den vollständigen Nachnamen tragen (Leitfaden S. 8); die uneinheitliche Schreibweise erschwert zudem die Zuordnung zum Verzeichnis.</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Überall «Vanden Abeele (2021)» schreiben, z. B. «Nach Vanden Abeele (2021) …».</w:t>
      </w:r>
    </w:p>
    <w:p>
      <w:pPr>
        <w:spacing w:after="40" w:before="160"/>
      </w:pPr>
      <w:r>
        <w:rPr>
          <w:rFonts w:ascii="Arial" w:cs="Arial" w:eastAsia="Arial" w:hAnsi="Arial"/>
          <w:b/>
          <w:bCs/>
          <w:color w:val="1F4E79"/>
          <w:sz w:val="22"/>
          <w:szCs w:val="22"/>
        </w:rPr>
        <w:t xml:space="preserve">B2  </w:t>
      </w:r>
      <w:r>
        <w:rPr>
          <w:rFonts w:ascii="Arial" w:cs="Arial" w:eastAsia="Arial" w:hAnsi="Arial"/>
          <w:b/>
          <w:bCs/>
          <w:sz w:val="22"/>
          <w:szCs w:val="22"/>
        </w:rPr>
        <w:t xml:space="preserve">Mehrfachbelege nicht alphabetisch geordnet (systematisch)</w:t>
      </w:r>
      <w:r>
        <w:rPr>
          <w:rFonts w:ascii="Arial" w:cs="Arial" w:eastAsia="Arial" w:hAnsi="Arial"/>
          <w:sz w:val="22"/>
          <w:szCs w:val="22"/>
        </w:rPr>
        <w:t xml:space="preserve">    </w:t>
      </w:r>
      <w:r>
        <w:rPr>
          <w:rFonts w:ascii="Arial" w:cs="Arial" w:eastAsia="Arial" w:hAnsi="Arial"/>
          <w:b/>
          <w:bCs/>
          <w:color w:val="FFFFFF"/>
          <w:sz w:val="18"/>
          <w:szCs w:val="18"/>
          <w:shd w:fill="B36A00" w:val="clear"/>
        </w:rPr>
        <w:t xml:space="preserve"> MITTEL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u. a. 1, 1.7, 2.5, 3.1, 4.1, 4.2, 4.4, 5, 2.2.7</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Mehrere Werke in einer Klammer sind alphabetisch aufsteigend zu ordnen und mit Semikolon zu trennen (Leitfaden S. 7). Mehrere Klammern verstossen dagegen, u. a.: «(Zuboff, 2019; Montag &amp; Elhai, 2023)», «(Nguyen et al., 2014; Geschke et al., 2019; Verduyn et al., 2015; Orben, 2020)», «(Reviglio &amp; Agosti, 2020; Milano et al., 2020)», «(Vanden Abeele, 2021; Peters et al., 2018)», «(Peters et al., 2020; Hendry et al., 2021)», «(Hevner et al., 2004; Peffers et al., 2007; Hevner, 2007)».</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Alphabetisch sortieren, z. B. «(Montag &amp; Elhai, 2023; Zuboff, 2019)», «(Geschke et al., 2019; Nguyen et al., 2014; Orben, 2020; Verduyn et al., 2015)», «(Milano et al., 2020; Reviglio &amp; Agosti, 2020)», «(Peters et al., 2018; Vanden Abeele, 2021)», «(Hendry et al., 2021; Peters et al., 2020)», «(Hevner, 2007; Hevner et al., 2004; Peffers et al., 2007)».</w:t>
      </w:r>
    </w:p>
    <w:p>
      <w:pPr>
        <w:spacing w:after="40" w:before="160"/>
      </w:pPr>
      <w:r>
        <w:rPr>
          <w:rFonts w:ascii="Arial" w:cs="Arial" w:eastAsia="Arial" w:hAnsi="Arial"/>
          <w:b/>
          <w:bCs/>
          <w:color w:val="1F4E79"/>
          <w:sz w:val="22"/>
          <w:szCs w:val="22"/>
        </w:rPr>
        <w:t xml:space="preserve">B3  </w:t>
      </w:r>
      <w:r>
        <w:rPr>
          <w:rFonts w:ascii="Arial" w:cs="Arial" w:eastAsia="Arial" w:hAnsi="Arial"/>
          <w:b/>
          <w:bCs/>
          <w:sz w:val="22"/>
          <w:szCs w:val="22"/>
        </w:rPr>
        <w:t xml:space="preserve">Direktzitate (« ») ohne Seitenzahl</w:t>
      </w:r>
      <w:r>
        <w:rPr>
          <w:rFonts w:ascii="Arial" w:cs="Arial" w:eastAsia="Arial" w:hAnsi="Arial"/>
          <w:sz w:val="22"/>
          <w:szCs w:val="22"/>
        </w:rPr>
        <w:t xml:space="preserve">    </w:t>
      </w:r>
      <w:r>
        <w:rPr>
          <w:rFonts w:ascii="Arial" w:cs="Arial" w:eastAsia="Arial" w:hAnsi="Arial"/>
          <w:b/>
          <w:bCs/>
          <w:color w:val="FFFFFF"/>
          <w:sz w:val="18"/>
          <w:szCs w:val="18"/>
          <w:shd w:fill="B36A00" w:val="clear"/>
        </w:rPr>
        <w:t xml:space="preserve"> MITTEL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u. a. 1.2 «Verhaltensüberschuss», 2.3.3 «Positive Computing», 5.1 «Algorithmic Sovereignty» / «Persuasive Technology» / «Digital Nudging»</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Bei direkten (wörtlichen) Zitaten in «» verlangt der Leitfaden die Seitenangabe: (Autor:in, Jahr, S. X) (S. 7, 21). Im gesamten Text findet sich keine einzige Seitenzahl; mehrere in «» gesetzte Fachbegriffe sind dadurch formal unvollständige Direktzitate. (Reine Begriffsprägungen wie «Filterblase» bei Pariser (2011) sind als Konzeptnennung vertretbar.)</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Entweder Seitenzahl ergänzen – z. B. «Verhaltensüberschuss» (Zuboff, 2019, S. 8) – oder die Anführungszeichen entfernen und als Paraphrase führen, falls keine wörtliche Übernahme gemeint ist.</w:t>
      </w:r>
    </w:p>
    <w:p>
      <w:pPr>
        <w:spacing w:after="40" w:before="160"/>
      </w:pPr>
      <w:r>
        <w:rPr>
          <w:rFonts w:ascii="Arial" w:cs="Arial" w:eastAsia="Arial" w:hAnsi="Arial"/>
          <w:b/>
          <w:bCs/>
          <w:color w:val="1F4E79"/>
          <w:sz w:val="22"/>
          <w:szCs w:val="22"/>
        </w:rPr>
        <w:t xml:space="preserve">B4  </w:t>
      </w:r>
      <w:r>
        <w:rPr>
          <w:rFonts w:ascii="Arial" w:cs="Arial" w:eastAsia="Arial" w:hAnsi="Arial"/>
          <w:b/>
          <w:bCs/>
          <w:sz w:val="22"/>
          <w:szCs w:val="22"/>
        </w:rPr>
        <w:t xml:space="preserve">Spartechnik in Abschnitt 1.3</w:t>
      </w:r>
      <w:r>
        <w:rPr>
          <w:rFonts w:ascii="Arial" w:cs="Arial" w:eastAsia="Arial" w:hAnsi="Arial"/>
          <w:sz w:val="22"/>
          <w:szCs w:val="22"/>
        </w:rPr>
        <w:t xml:space="preserve">    </w:t>
      </w:r>
      <w:r>
        <w:rPr>
          <w:rFonts w:ascii="Arial" w:cs="Arial" w:eastAsia="Arial" w:hAnsi="Arial"/>
          <w:b/>
          <w:bCs/>
          <w:color w:val="FFFFFF"/>
          <w:sz w:val="18"/>
          <w:szCs w:val="18"/>
          <w:shd w:fill="B36A00" w:val="clear"/>
        </w:rPr>
        <w:t xml:space="preserve"> MITTEL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1.3 «Manipulative Designmuster», Aufzählung der fünf Muster</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Die als «am besten dokumentiert» bezeichnete Liste (Infinite Scroll, variable Belohnung, Push, Autoplay, Social Proof) trägt keinen Beleg an der Aussage selbst; der Quellenverweis (Montag et al., 2019) folgt erst nach der Aufzählung, teils als Vorwärtsverweis auf 2.2.6. Der Leitfaden untersagt Spartechniken: Der Beleg gehört dorthin, wo der Gedanke steht (S. 6).</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Direkt bei der Einleitung der Liste belegen, z. B. «Zu den am besten dokumentierten Mustern gehören (Montag et al., 2019; Weinmann et al., 2016): …».</w:t>
      </w:r>
    </w:p>
    <w:p>
      <w:pPr>
        <w:spacing w:after="120"/>
      </w:pPr>
      <w:r>
        <w:rPr>
          <w:rFonts w:ascii="Arial" w:cs="Arial" w:eastAsia="Arial" w:hAnsi="Arial"/>
          <w:b/>
          <w:bCs/>
          <w:color w:val="2E7D32"/>
          <w:sz w:val="21"/>
          <w:szCs w:val="21"/>
        </w:rPr>
        <w:t xml:space="preserve">Konform: </w:t>
      </w:r>
      <w:r>
        <w:rPr>
          <w:rFonts w:ascii="Arial" w:cs="Arial" w:eastAsia="Arial" w:hAnsi="Arial"/>
          <w:sz w:val="21"/>
          <w:szCs w:val="21"/>
        </w:rPr>
        <w:t xml:space="preserve">Die et-al.-Regel ist korrekt umgesetzt (ab drei Autor:innen bereits im Erstbeleg «et al.»; ein bzw. zwei Autor:innen ausgeschrieben). Integrale Belege («Zuboff (2019) beschreibt …») und nicht-integrale Belege sind sauber unterschieden, der Punkt steht nach der Klammer, und Abbildungen/Tabellen sind durchgängig mit «(eigene Darstellung)» bzw. «(Screenshot des Demonstrators)» als Eigenleistung gekennzeichnet (S. 8).</w:t>
      </w:r>
    </w:p>
    <w:p>
      <w:pPr>
        <w:pStyle w:val="Heading1"/>
      </w:pPr>
      <w:r>
        <w:t xml:space="preserve">C · Fehler im Literaturverzeichnis</w:t>
      </w:r>
    </w:p>
    <w:p>
      <w:pPr>
        <w:spacing w:after="40" w:before="160"/>
      </w:pPr>
      <w:r>
        <w:rPr>
          <w:rFonts w:ascii="Arial" w:cs="Arial" w:eastAsia="Arial" w:hAnsi="Arial"/>
          <w:b/>
          <w:bCs/>
          <w:color w:val="1F4E79"/>
          <w:sz w:val="22"/>
          <w:szCs w:val="22"/>
        </w:rPr>
        <w:t xml:space="preserve">C1  </w:t>
      </w:r>
      <w:r>
        <w:rPr>
          <w:rFonts w:ascii="Arial" w:cs="Arial" w:eastAsia="Arial" w:hAnsi="Arial"/>
          <w:b/>
          <w:bCs/>
          <w:sz w:val="22"/>
          <w:szCs w:val="22"/>
        </w:rPr>
        <w:t xml:space="preserve">Durchgängig keine Kursivsetzung</w:t>
      </w:r>
      <w:r>
        <w:rPr>
          <w:rFonts w:ascii="Arial" w:cs="Arial" w:eastAsia="Arial" w:hAnsi="Arial"/>
          <w:sz w:val="22"/>
          <w:szCs w:val="22"/>
        </w:rPr>
        <w:t xml:space="preserve">    </w:t>
      </w:r>
      <w:r>
        <w:rPr>
          <w:rFonts w:ascii="Arial" w:cs="Arial" w:eastAsia="Arial" w:hAnsi="Arial"/>
          <w:b/>
          <w:bCs/>
          <w:color w:val="FFFFFF"/>
          <w:sz w:val="18"/>
          <w:szCs w:val="18"/>
          <w:shd w:fill="B00020" w:val="clear"/>
        </w:rPr>
        <w:t xml:space="preserve"> KRITISCH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Gesamtes Literaturverzeichnis (alle 28 Einträge)</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Kein einziger Eintrag ist kursiv gesetzt. Der Leitfaden schreibt Kursivierung zwingend vor (S. 15, FAQ S. 24): bei Zeitschriftenartikeln der </w:t>
      </w:r>
      <w:r>
        <w:rPr>
          <w:rFonts w:ascii="Arial" w:cs="Arial" w:eastAsia="Arial" w:hAnsi="Arial"/>
          <w:i/>
          <w:iCs/>
          <w:sz w:val="21"/>
          <w:szCs w:val="21"/>
        </w:rPr>
        <w:t xml:space="preserve">Zeitschriftenname samt Jahrgang</w:t>
      </w:r>
      <w:r>
        <w:rPr>
          <w:rFonts w:ascii="Arial" w:cs="Arial" w:eastAsia="Arial" w:hAnsi="Arial"/>
          <w:sz w:val="21"/>
          <w:szCs w:val="21"/>
        </w:rPr>
        <w:t xml:space="preserve">, bei Monografien der </w:t>
      </w:r>
      <w:r>
        <w:rPr>
          <w:rFonts w:ascii="Arial" w:cs="Arial" w:eastAsia="Arial" w:hAnsi="Arial"/>
          <w:i/>
          <w:iCs/>
          <w:sz w:val="21"/>
          <w:szCs w:val="21"/>
        </w:rPr>
        <w:t xml:space="preserve">Buchtitel</w:t>
      </w:r>
      <w:r>
        <w:rPr>
          <w:rFonts w:ascii="Arial" w:cs="Arial" w:eastAsia="Arial" w:hAnsi="Arial"/>
          <w:sz w:val="21"/>
          <w:szCs w:val="21"/>
        </w:rPr>
        <w:t xml:space="preserve">, bei Beiträgen in Sammelbänden der </w:t>
      </w:r>
      <w:r>
        <w:rPr>
          <w:rFonts w:ascii="Arial" w:cs="Arial" w:eastAsia="Arial" w:hAnsi="Arial"/>
          <w:i/>
          <w:iCs/>
          <w:sz w:val="21"/>
          <w:szCs w:val="21"/>
        </w:rPr>
        <w:t xml:space="preserve">Sammelbandtitel</w:t>
      </w:r>
      <w:r>
        <w:rPr>
          <w:rFonts w:ascii="Arial" w:cs="Arial" w:eastAsia="Arial" w:hAnsi="Arial"/>
          <w:sz w:val="21"/>
          <w:szCs w:val="21"/>
        </w:rPr>
        <w:t xml:space="preserve">. Dies ist der gravierendste Formmangel, weil er alle Quellen betrifft.</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Pro Typ kursiv setzen, z. B. Artikel: «… </w:t>
      </w:r>
      <w:r>
        <w:rPr>
          <w:rFonts w:ascii="Arial" w:cs="Arial" w:eastAsia="Arial" w:hAnsi="Arial"/>
          <w:i/>
          <w:iCs/>
          <w:sz w:val="21"/>
          <w:szCs w:val="21"/>
        </w:rPr>
        <w:t xml:space="preserve">Communication Theory, 31</w:t>
      </w:r>
      <w:r>
        <w:rPr>
          <w:rFonts w:ascii="Arial" w:cs="Arial" w:eastAsia="Arial" w:hAnsi="Arial"/>
          <w:sz w:val="21"/>
          <w:szCs w:val="21"/>
        </w:rPr>
        <w:t xml:space="preserve">(4), 932–955.»; Monografie: «Pariser, E. (2011). </w:t>
      </w:r>
      <w:r>
        <w:rPr>
          <w:rFonts w:ascii="Arial" w:cs="Arial" w:eastAsia="Arial" w:hAnsi="Arial"/>
          <w:i/>
          <w:iCs/>
          <w:sz w:val="21"/>
          <w:szCs w:val="21"/>
        </w:rPr>
        <w:t xml:space="preserve">The filter bubble: What the internet is hiding from you</w:t>
      </w:r>
      <w:r>
        <w:rPr>
          <w:rFonts w:ascii="Arial" w:cs="Arial" w:eastAsia="Arial" w:hAnsi="Arial"/>
          <w:sz w:val="21"/>
          <w:szCs w:val="21"/>
        </w:rPr>
        <w:t xml:space="preserve">. Penguin Press.»; Sammelband-Kapitel: «… In P. W. Jordan et al. (Hrsg.), </w:t>
      </w:r>
      <w:r>
        <w:rPr>
          <w:rFonts w:ascii="Arial" w:cs="Arial" w:eastAsia="Arial" w:hAnsi="Arial"/>
          <w:i/>
          <w:iCs/>
          <w:sz w:val="21"/>
          <w:szCs w:val="21"/>
        </w:rPr>
        <w:t xml:space="preserve">Usability evaluation in industry</w:t>
      </w:r>
      <w:r>
        <w:rPr>
          <w:rFonts w:ascii="Arial" w:cs="Arial" w:eastAsia="Arial" w:hAnsi="Arial"/>
          <w:sz w:val="21"/>
          <w:szCs w:val="21"/>
        </w:rPr>
        <w:t xml:space="preserve"> (S. 189–194). Taylor &amp; Francis.»</w:t>
      </w:r>
    </w:p>
    <w:p>
      <w:pPr>
        <w:spacing w:after="40" w:before="160"/>
      </w:pPr>
      <w:r>
        <w:rPr>
          <w:rFonts w:ascii="Arial" w:cs="Arial" w:eastAsia="Arial" w:hAnsi="Arial"/>
          <w:b/>
          <w:bCs/>
          <w:color w:val="1F4E79"/>
          <w:sz w:val="22"/>
          <w:szCs w:val="22"/>
        </w:rPr>
        <w:t xml:space="preserve">C2  </w:t>
      </w:r>
      <w:r>
        <w:rPr>
          <w:rFonts w:ascii="Arial" w:cs="Arial" w:eastAsia="Arial" w:hAnsi="Arial"/>
          <w:b/>
          <w:bCs/>
          <w:sz w:val="22"/>
          <w:szCs w:val="22"/>
        </w:rPr>
        <w:t xml:space="preserve">Einzelautoren-Bücher im Sammelband-Format ohne (Hrsg.)</w:t>
      </w:r>
      <w:r>
        <w:rPr>
          <w:rFonts w:ascii="Arial" w:cs="Arial" w:eastAsia="Arial" w:hAnsi="Arial"/>
          <w:sz w:val="22"/>
          <w:szCs w:val="22"/>
        </w:rPr>
        <w:t xml:space="preserve">    </w:t>
      </w:r>
      <w:r>
        <w:rPr>
          <w:rFonts w:ascii="Arial" w:cs="Arial" w:eastAsia="Arial" w:hAnsi="Arial"/>
          <w:b/>
          <w:bCs/>
          <w:color w:val="FFFFFF"/>
          <w:sz w:val="18"/>
          <w:szCs w:val="18"/>
          <w:shd w:fill="B36A00" w:val="clear"/>
        </w:rPr>
        <w:t xml:space="preserve"> MITTEL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Einträge Fogg (2003), Sunstein (2017), Zuboff (2019)</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Diese drei Titel sind Monografien einzelner Autor:innen, werden aber im Kapitel-in-Sammelband-Format geführt («Kapiteltitel. In </w:t>
      </w:r>
      <w:r>
        <w:rPr>
          <w:rFonts w:ascii="Arial" w:cs="Arial" w:eastAsia="Arial" w:hAnsi="Arial"/>
          <w:i/>
          <w:iCs/>
          <w:sz w:val="21"/>
          <w:szCs w:val="21"/>
        </w:rPr>
        <w:t xml:space="preserve">Buchtitel</w:t>
      </w:r>
      <w:r>
        <w:rPr>
          <w:rFonts w:ascii="Arial" w:cs="Arial" w:eastAsia="Arial" w:hAnsi="Arial"/>
          <w:sz w:val="21"/>
          <w:szCs w:val="21"/>
        </w:rPr>
        <w:t xml:space="preserve"> (Kap. X, S. Y–Z). Verlag.»). Der Sammelband-Typ verlangt eine herausgebende Person «(Hrsg.)» (S. 12); diese fehlt, weil es keine gibt. Bei Fogg ist der angegebene DOI zudem der Gesamtband-DOI. Format daher inkonsistent mit dem Leitfaden.</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Als Monografie (Typ 2) führen und die Fundstelle in den Kurzbeleg verlagern, z. B. «Zuboff, S. (2019). </w:t>
      </w:r>
      <w:r>
        <w:rPr>
          <w:rFonts w:ascii="Arial" w:cs="Arial" w:eastAsia="Arial" w:hAnsi="Arial"/>
          <w:i/>
          <w:iCs/>
          <w:sz w:val="21"/>
          <w:szCs w:val="21"/>
        </w:rPr>
        <w:t xml:space="preserve">The age of surveillance capitalism: The fight for a human future at the new frontier of power</w:t>
      </w:r>
      <w:r>
        <w:rPr>
          <w:rFonts w:ascii="Arial" w:cs="Arial" w:eastAsia="Arial" w:hAnsi="Arial"/>
          <w:sz w:val="21"/>
          <w:szCs w:val="21"/>
        </w:rPr>
        <w:t xml:space="preserve">. PublicAffairs.» – im Text dann «(Zuboff, 2019, S. 63–97)».</w:t>
      </w:r>
    </w:p>
    <w:p>
      <w:pPr>
        <w:spacing w:after="40" w:before="160"/>
      </w:pPr>
      <w:r>
        <w:rPr>
          <w:rFonts w:ascii="Arial" w:cs="Arial" w:eastAsia="Arial" w:hAnsi="Arial"/>
          <w:b/>
          <w:bCs/>
          <w:color w:val="1F4E79"/>
          <w:sz w:val="22"/>
          <w:szCs w:val="22"/>
        </w:rPr>
        <w:t xml:space="preserve">C3  </w:t>
      </w:r>
      <w:r>
        <w:rPr>
          <w:rFonts w:ascii="Arial" w:cs="Arial" w:eastAsia="Arial" w:hAnsi="Arial"/>
          <w:b/>
          <w:bCs/>
          <w:sz w:val="22"/>
          <w:szCs w:val="22"/>
        </w:rPr>
        <w:t xml:space="preserve">«2. Aufl.» statt «2. Auflage»</w:t>
      </w:r>
      <w:r>
        <w:rPr>
          <w:rFonts w:ascii="Arial" w:cs="Arial" w:eastAsia="Arial" w:hAnsi="Arial"/>
          <w:sz w:val="22"/>
          <w:szCs w:val="22"/>
        </w:rPr>
        <w:t xml:space="preserve">    </w:t>
      </w:r>
      <w:r>
        <w:rPr>
          <w:rFonts w:ascii="Arial" w:cs="Arial" w:eastAsia="Arial" w:hAnsi="Arial"/>
          <w:b/>
          <w:bCs/>
          <w:color w:val="FFFFFF"/>
          <w:sz w:val="18"/>
          <w:szCs w:val="18"/>
          <w:shd w:fill="595959" w:val="clear"/>
        </w:rPr>
        <w:t xml:space="preserve"> GERING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Eintrag Ricci, Rokach &amp; Shapira (Hrsg.) (2015)</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Der Leitfaden schreibt die Auflage in den Beispielen aus («(3. Auflage)», S. 11–12). «(2. Aufl.)» ist eine kleine Abweichung.</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 </w:t>
      </w:r>
      <w:r>
        <w:rPr>
          <w:rFonts w:ascii="Arial" w:cs="Arial" w:eastAsia="Arial" w:hAnsi="Arial"/>
          <w:i/>
          <w:iCs/>
          <w:sz w:val="21"/>
          <w:szCs w:val="21"/>
        </w:rPr>
        <w:t xml:space="preserve">Recommender systems handbook</w:t>
      </w:r>
      <w:r>
        <w:rPr>
          <w:rFonts w:ascii="Arial" w:cs="Arial" w:eastAsia="Arial" w:hAnsi="Arial"/>
          <w:sz w:val="21"/>
          <w:szCs w:val="21"/>
        </w:rPr>
        <w:t xml:space="preserve"> (2. Auflage). Springer. …»</w:t>
      </w:r>
    </w:p>
    <w:p>
      <w:pPr>
        <w:spacing w:after="120"/>
      </w:pPr>
      <w:r>
        <w:rPr>
          <w:rFonts w:ascii="Arial" w:cs="Arial" w:eastAsia="Arial" w:hAnsi="Arial"/>
          <w:i/>
          <w:iCs/>
          <w:sz w:val="21"/>
          <w:szCs w:val="21"/>
        </w:rPr>
        <w:t xml:space="preserve">Die unter A1–A4 genannten Seiten- und DOI-Fehler sind zugleich Verzeichnisfehler und dort zu korrigieren.</w:t>
      </w:r>
    </w:p>
    <w:p>
      <w:pPr>
        <w:spacing w:after="120"/>
      </w:pPr>
      <w:r>
        <w:rPr>
          <w:rFonts w:ascii="Arial" w:cs="Arial" w:eastAsia="Arial" w:hAnsi="Arial"/>
          <w:b/>
          <w:bCs/>
          <w:color w:val="2E7D32"/>
          <w:sz w:val="21"/>
          <w:szCs w:val="21"/>
        </w:rPr>
        <w:t xml:space="preserve">Konform: </w:t>
      </w:r>
      <w:r>
        <w:rPr>
          <w:rFonts w:ascii="Arial" w:cs="Arial" w:eastAsia="Arial" w:hAnsi="Arial"/>
          <w:sz w:val="21"/>
          <w:szCs w:val="21"/>
        </w:rPr>
        <w:t xml:space="preserve">Die alphabetische Sortierung ist korrekt – inkl. der Feinregeln «Einzelautor vor Mehrautoren» (Hevner 2007 vor Hevner et al. 2004) und Sortierung nach Zweitautor bei gleichem Erstautor (Montag &amp; Elhai vor Montag, Lachmann …; Peters, Ahmadpour … vor Peters, Calvo …). Vornamen stehen nur als Initialen, akademische Titel fehlen korrekt, DOIs sind als URL formatiert, und es gibt weder Abrufdaten noch «abgerufen von» (S. 15, 24).</w:t>
      </w:r>
    </w:p>
    <w:p>
      <w:pPr>
        <w:pStyle w:val="Heading1"/>
      </w:pPr>
      <w:r>
        <w:t xml:space="preserve">D · Abgleich Text ↔ Verzeichnis</w:t>
      </w:r>
    </w:p>
    <w:p>
      <w:pPr>
        <w:spacing w:after="120"/>
      </w:pPr>
      <w:r>
        <w:rPr>
          <w:rFonts w:ascii="Arial" w:cs="Arial" w:eastAsia="Arial" w:hAnsi="Arial"/>
          <w:b/>
          <w:bCs/>
          <w:color w:val="2E7D32"/>
          <w:sz w:val="21"/>
          <w:szCs w:val="21"/>
        </w:rPr>
        <w:t xml:space="preserve">Keine Abweichungen. </w:t>
      </w:r>
      <w:r>
        <w:rPr>
          <w:rFonts w:ascii="Arial" w:cs="Arial" w:eastAsia="Arial" w:hAnsi="Arial"/>
          <w:sz w:val="21"/>
          <w:szCs w:val="21"/>
        </w:rPr>
        <w:t xml:space="preserve">Alle 28 Verzeichniseinträge werden im Fliesstext zitiert, und jeder Kurzbeleg im Text hat einen Verzeichniseintrag. Es wurden weder verwaiste Einträge (im Verzeichnis, aber nirgends zitiert) noch fehlende Einträge (im Text zitiert, aber nicht gelistet) gefunden. Damit ist die Grundregel des Leitfadens (S. 8, 15) – vollständige Entsprechung von Kurzbeleg und Verzeichnis – erfüllt.</w:t>
      </w:r>
    </w:p>
    <w:p>
      <w:pPr>
        <w:pStyle w:val="Heading1"/>
      </w:pPr>
      <w:r>
        <w:t xml:space="preserve">E · Fehlende Belege</w:t>
      </w:r>
    </w:p>
    <w:p>
      <w:pPr>
        <w:spacing w:after="40" w:before="160"/>
      </w:pPr>
      <w:r>
        <w:rPr>
          <w:rFonts w:ascii="Arial" w:cs="Arial" w:eastAsia="Arial" w:hAnsi="Arial"/>
          <w:b/>
          <w:bCs/>
          <w:color w:val="1F4E79"/>
          <w:sz w:val="22"/>
          <w:szCs w:val="22"/>
        </w:rPr>
        <w:t xml:space="preserve">E1  </w:t>
      </w:r>
      <w:r>
        <w:rPr>
          <w:rFonts w:ascii="Arial" w:cs="Arial" w:eastAsia="Arial" w:hAnsi="Arial"/>
          <w:b/>
          <w:bCs/>
          <w:sz w:val="22"/>
          <w:szCs w:val="22"/>
        </w:rPr>
        <w:t xml:space="preserve">Empirische Behauptung ohne Beleg am Anspruch (= B4)</w:t>
      </w:r>
      <w:r>
        <w:rPr>
          <w:rFonts w:ascii="Arial" w:cs="Arial" w:eastAsia="Arial" w:hAnsi="Arial"/>
          <w:sz w:val="22"/>
          <w:szCs w:val="22"/>
        </w:rPr>
        <w:t xml:space="preserve">    </w:t>
      </w:r>
      <w:r>
        <w:rPr>
          <w:rFonts w:ascii="Arial" w:cs="Arial" w:eastAsia="Arial" w:hAnsi="Arial"/>
          <w:b/>
          <w:bCs/>
          <w:color w:val="FFFFFF"/>
          <w:sz w:val="18"/>
          <w:szCs w:val="18"/>
          <w:shd w:fill="B36A00" w:val="clear"/>
        </w:rPr>
        <w:t xml:space="preserve"> MITTEL </w:t>
      </w:r>
    </w:p>
    <w:p>
      <w:pPr>
        <w:spacing w:after="30"/>
      </w:pPr>
      <w:r>
        <w:rPr>
          <w:rFonts w:ascii="Arial" w:cs="Arial" w:eastAsia="Arial" w:hAnsi="Arial"/>
          <w:b/>
          <w:bCs/>
          <w:sz w:val="21"/>
          <w:szCs w:val="21"/>
        </w:rPr>
        <w:t xml:space="preserve">Fundstelle: </w:t>
      </w:r>
      <w:r>
        <w:rPr>
          <w:rFonts w:ascii="Arial" w:cs="Arial" w:eastAsia="Arial" w:hAnsi="Arial"/>
          <w:sz w:val="21"/>
          <w:szCs w:val="21"/>
        </w:rPr>
        <w:t xml:space="preserve">1.3 «Manipulative Designmuster»</w:t>
      </w:r>
    </w:p>
    <w:p>
      <w:pPr>
        <w:spacing w:after="30"/>
      </w:pPr>
      <w:r>
        <w:rPr>
          <w:rFonts w:ascii="Arial" w:cs="Arial" w:eastAsia="Arial" w:hAnsi="Arial"/>
          <w:b/>
          <w:bCs/>
          <w:sz w:val="21"/>
          <w:szCs w:val="21"/>
        </w:rPr>
        <w:t xml:space="preserve">Befund / Regel: </w:t>
      </w:r>
      <w:r>
        <w:rPr>
          <w:rFonts w:ascii="Arial" w:cs="Arial" w:eastAsia="Arial" w:hAnsi="Arial"/>
          <w:sz w:val="21"/>
          <w:szCs w:val="21"/>
        </w:rPr>
        <w:t xml:space="preserve">Die als etablierte Forschung präsentierte Liste der Designmuster benötigt einen Beleg unmittelbar an der Behauptung (fremde, dokumentierte Befunde). Siehe Korrektur unter B4.</w:t>
      </w:r>
    </w:p>
    <w:p>
      <w:pPr>
        <w:spacing w:after="120"/>
      </w:pPr>
      <w:r>
        <w:rPr>
          <w:rFonts w:ascii="Arial" w:cs="Arial" w:eastAsia="Arial" w:hAnsi="Arial"/>
          <w:b/>
          <w:bCs/>
          <w:sz w:val="21"/>
          <w:szCs w:val="21"/>
        </w:rPr>
        <w:t xml:space="preserve">Korrektur: </w:t>
      </w:r>
      <w:r>
        <w:rPr>
          <w:rFonts w:ascii="Arial" w:cs="Arial" w:eastAsia="Arial" w:hAnsi="Arial"/>
          <w:sz w:val="21"/>
          <w:szCs w:val="21"/>
        </w:rPr>
        <w:t xml:space="preserve">Beleg direkt an die Aufzählung setzen (Montag et al., 2019; Weinmann et al., 2016); optional eine Primärquelle zu «Dark Patterns» ergänzen.</w:t>
      </w:r>
    </w:p>
    <w:p>
      <w:pPr>
        <w:spacing w:after="120"/>
      </w:pPr>
      <w:r>
        <w:rPr>
          <w:rFonts w:ascii="Arial" w:cs="Arial" w:eastAsia="Arial" w:hAnsi="Arial"/>
          <w:b/>
          <w:bCs/>
          <w:color w:val="2E7D32"/>
          <w:sz w:val="21"/>
          <w:szCs w:val="21"/>
        </w:rPr>
        <w:t xml:space="preserve">Konform: </w:t>
      </w:r>
      <w:r>
        <w:rPr>
          <w:rFonts w:ascii="Arial" w:cs="Arial" w:eastAsia="Arial" w:hAnsi="Arial"/>
          <w:sz w:val="21"/>
          <w:szCs w:val="21"/>
        </w:rPr>
        <w:t xml:space="preserve">Die empirischen Ergebnisse der Pilotbefragung (n = 25, Mittelwerte, Bedienbarkeits-Index 82.5) sind eigene Primärdaten und korrekt ohne Fremdbeleg geführt; die Einordnung «excellent» ist mit (Bangor et al., 2008) belegt. Theorie- und Faktenaussagen in Kap. 1–2 sind durchgängig belegt.</w:t>
      </w:r>
    </w:p>
    <w:p>
      <w:pPr>
        <w:spacing w:after="120"/>
      </w:pPr>
      <w:r>
        <w:rPr>
          <w:rFonts w:ascii="Arial" w:cs="Arial" w:eastAsia="Arial" w:hAnsi="Arial"/>
          <w:b/>
          <w:bCs/>
          <w:color w:val="2E7D32"/>
          <w:sz w:val="21"/>
          <w:szCs w:val="21"/>
        </w:rPr>
        <w:t xml:space="preserve">KI-Deklaration – vorbildlich. </w:t>
      </w:r>
      <w:r>
        <w:rPr>
          <w:rFonts w:ascii="Arial" w:cs="Arial" w:eastAsia="Arial" w:hAnsi="Arial"/>
          <w:sz w:val="21"/>
          <w:szCs w:val="21"/>
        </w:rPr>
        <w:t xml:space="preserve">Die «Erklärung zur Nutzung künstlicher Intelligenz» legt den KI-Einsatz nach Verwendungszweck offen (Literaturrecherche/Query-Expansion mit anschliessender Verifikation jeder Quelle am Original, Softwareentwicklung, Texterstellung/Redaktion sowie KI als Untersuchungsgegenstand im Artefakt). Damit ist die Deklarationspflicht des Leitfadens (S. 20) erfüllt. Da KI nur als Werkzeug und nicht als unbelegte Inhaltsquelle übernommen wurde, ist kein zusätzlicher In-Text-Beleg im Stil «(OpenAI, 2023)» erforderlich.</w:t>
      </w:r>
    </w:p>
    <w:p>
      <w:pPr>
        <w:pStyle w:val="Heading1"/>
      </w:pPr>
      <w:r>
        <w:t xml:space="preserve">Priorisierte Korrektur-Checkliste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6000"/>
        <w:gridCol w:w="1360"/>
      </w:tblGrid>
      <w:tr>
        <w:tc>
          <w:tcPr>
            <w:tcW w:type="dxa" w:w="700"/>
            <w:tcBorders>
              <w:top w:val="single" w:color="BFBFBF" w:sz="1"/>
              <w:left w:val="single" w:color="BFBFBF" w:sz="1"/>
              <w:bottom w:val="single" w:color="BFBFBF" w:sz="1"/>
              <w:right w:val="single" w:color="BFBFBF" w:sz="1"/>
            </w:tcBorders>
            <w:shd w:fill="1F4E79" w:val="clear"/>
            <w:tcMar>
              <w:top w:type="dxa" w:w="50"/>
              <w:left w:type="dxa" w:w="100"/>
              <w:bottom w:type="dxa" w:w="50"/>
              <w:right w:type="dxa" w:w="100"/>
            </w:tcMar>
          </w:tcPr>
          <w:p>
            <w:r>
              <w:rPr>
                <w:rFonts w:ascii="Arial" w:cs="Arial" w:eastAsia="Arial" w:hAnsi="Arial"/>
                <w:b/>
                <w:bCs/>
                <w:color w:val="FFFFFF"/>
                <w:sz w:val="20"/>
                <w:szCs w:val="20"/>
              </w:rPr>
              <w:t xml:space="preserve">#</w:t>
            </w:r>
          </w:p>
        </w:tc>
        <w:tc>
          <w:tcPr>
            <w:tcW w:type="dxa" w:w="1300"/>
            <w:tcBorders>
              <w:top w:val="single" w:color="BFBFBF" w:sz="1"/>
              <w:left w:val="single" w:color="BFBFBF" w:sz="1"/>
              <w:bottom w:val="single" w:color="BFBFBF" w:sz="1"/>
              <w:right w:val="single" w:color="BFBFBF" w:sz="1"/>
            </w:tcBorders>
            <w:shd w:fill="1F4E79" w:val="clear"/>
            <w:tcMar>
              <w:top w:type="dxa" w:w="50"/>
              <w:left w:type="dxa" w:w="100"/>
              <w:bottom w:type="dxa" w:w="50"/>
              <w:right w:type="dxa" w:w="100"/>
            </w:tcMar>
          </w:tcPr>
          <w:p>
            <w:r>
              <w:rPr>
                <w:rFonts w:ascii="Arial" w:cs="Arial" w:eastAsia="Arial" w:hAnsi="Arial"/>
                <w:b/>
                <w:bCs/>
                <w:color w:val="FFFFFF"/>
                <w:sz w:val="20"/>
                <w:szCs w:val="20"/>
              </w:rPr>
              <w:t xml:space="preserve">Grad</w:t>
            </w:r>
          </w:p>
        </w:tc>
        <w:tc>
          <w:tcPr>
            <w:tcW w:type="dxa" w:w="6000"/>
            <w:tcBorders>
              <w:top w:val="single" w:color="BFBFBF" w:sz="1"/>
              <w:left w:val="single" w:color="BFBFBF" w:sz="1"/>
              <w:bottom w:val="single" w:color="BFBFBF" w:sz="1"/>
              <w:right w:val="single" w:color="BFBFBF" w:sz="1"/>
            </w:tcBorders>
            <w:shd w:fill="1F4E79" w:val="clear"/>
            <w:tcMar>
              <w:top w:type="dxa" w:w="50"/>
              <w:left w:type="dxa" w:w="100"/>
              <w:bottom w:type="dxa" w:w="50"/>
              <w:right w:type="dxa" w:w="100"/>
            </w:tcMar>
          </w:tcPr>
          <w:p>
            <w:r>
              <w:rPr>
                <w:rFonts w:ascii="Arial" w:cs="Arial" w:eastAsia="Arial" w:hAnsi="Arial"/>
                <w:b/>
                <w:bCs/>
                <w:color w:val="FFFFFF"/>
                <w:sz w:val="20"/>
                <w:szCs w:val="20"/>
              </w:rPr>
              <w:t xml:space="preserve">Massnahme</w:t>
            </w:r>
          </w:p>
        </w:tc>
        <w:tc>
          <w:tcPr>
            <w:tcW w:type="dxa" w:w="1360"/>
            <w:tcBorders>
              <w:top w:val="single" w:color="BFBFBF" w:sz="1"/>
              <w:left w:val="single" w:color="BFBFBF" w:sz="1"/>
              <w:bottom w:val="single" w:color="BFBFBF" w:sz="1"/>
              <w:right w:val="single" w:color="BFBFBF" w:sz="1"/>
            </w:tcBorders>
            <w:shd w:fill="1F4E79" w:val="clear"/>
            <w:tcMar>
              <w:top w:type="dxa" w:w="50"/>
              <w:left w:type="dxa" w:w="100"/>
              <w:bottom w:type="dxa" w:w="50"/>
              <w:right w:type="dxa" w:w="100"/>
            </w:tcMar>
          </w:tcPr>
          <w:p>
            <w:r>
              <w:rPr>
                <w:rFonts w:ascii="Arial" w:cs="Arial" w:eastAsia="Arial" w:hAnsi="Arial"/>
                <w:b/>
                <w:bCs/>
                <w:color w:val="FFFFFF"/>
                <w:sz w:val="20"/>
                <w:szCs w:val="20"/>
              </w:rPr>
              <w:t xml:space="preserve">Verweis</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1</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00020"/>
                <w:sz w:val="20"/>
                <w:szCs w:val="20"/>
              </w:rPr>
              <w:t xml:space="preserve">KRITISCH</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Gesamtes Literaturverzeichnis kursivieren (Zeitschriftenname+Jahrgang / Buchtitel / Sammelbandtitel)</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C1</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2</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00020"/>
                <w:sz w:val="20"/>
                <w:szCs w:val="20"/>
              </w:rPr>
              <w:t xml:space="preserve">KRITISCH</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Burr et al. (2020): Seiten → 26(4), 2313–2343</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A1</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3</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00020"/>
                <w:sz w:val="20"/>
                <w:szCs w:val="20"/>
              </w:rPr>
              <w:t xml:space="preserve">KRITISCH</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Montag &amp; Elhai (2023): Seiten → 10, 610–616</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A2</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4</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36A00"/>
                <w:sz w:val="20"/>
                <w:szCs w:val="20"/>
              </w:rPr>
              <w:t xml:space="preserve">MITTEL</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Weinmann et al. (2016): DOI → …0453-1</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A3</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5</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36A00"/>
                <w:sz w:val="20"/>
                <w:szCs w:val="20"/>
              </w:rPr>
              <w:t xml:space="preserve">MITTEL</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«Abeele (2021)» → «Vanden Abeele (2021)» (4 Stellen)</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B1</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6</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36A00"/>
                <w:sz w:val="20"/>
                <w:szCs w:val="20"/>
              </w:rPr>
              <w:t xml:space="preserve">MITTEL</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Mehrfachbelege alphabetisch ordnen (mehrere Stellen)</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B2</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7</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36A00"/>
                <w:sz w:val="20"/>
                <w:szCs w:val="20"/>
              </w:rPr>
              <w:t xml:space="preserve">MITTEL</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Direktzitate in «» mit Seitenzahl versehen oder Anführung entfernen</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B3</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8</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36A00"/>
                <w:sz w:val="20"/>
                <w:szCs w:val="20"/>
              </w:rPr>
              <w:t xml:space="preserve">MITTEL</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1.3: Designmuster-Liste direkt belegen (Spartechnik)</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B4/E1</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9</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B36A00"/>
                <w:sz w:val="20"/>
                <w:szCs w:val="20"/>
              </w:rPr>
              <w:t xml:space="preserve">MITTEL</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Fogg/Sunstein/Zuboff als Monografie führen (kein (Hrsg.))</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C2</w:t>
            </w:r>
          </w:p>
        </w:tc>
      </w:tr>
      <w:tr>
        <w:tc>
          <w:tcPr>
            <w:tcW w:type="dxa" w:w="7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10</w:t>
            </w:r>
          </w:p>
        </w:tc>
        <w:tc>
          <w:tcPr>
            <w:tcW w:type="dxa" w:w="13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b/>
                <w:bCs/>
                <w:color w:val="595959"/>
                <w:sz w:val="20"/>
                <w:szCs w:val="20"/>
              </w:rPr>
              <w:t xml:space="preserve">GERING</w:t>
            </w:r>
          </w:p>
        </w:tc>
        <w:tc>
          <w:tcPr>
            <w:tcW w:type="dxa" w:w="600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Peffers (45→78); Ricci «(2. Auflage)»</w:t>
            </w:r>
          </w:p>
        </w:tc>
        <w:tc>
          <w:tcPr>
            <w:tcW w:type="dxa" w:w="1360"/>
            <w:tcBorders>
              <w:top w:val="single" w:color="BFBFBF" w:sz="1"/>
              <w:left w:val="single" w:color="BFBFBF" w:sz="1"/>
              <w:bottom w:val="single" w:color="BFBFBF" w:sz="1"/>
              <w:right w:val="single" w:color="BFBFBF" w:sz="1"/>
            </w:tcBorders>
            <w:tcMar>
              <w:top w:type="dxa" w:w="50"/>
              <w:left w:type="dxa" w:w="100"/>
              <w:bottom w:type="dxa" w:w="50"/>
              <w:right w:type="dxa" w:w="100"/>
            </w:tcMar>
          </w:tcPr>
          <w:p>
            <w:r>
              <w:rPr>
                <w:rFonts w:ascii="Arial" w:cs="Arial" w:eastAsia="Arial" w:hAnsi="Arial"/>
                <w:sz w:val="20"/>
                <w:szCs w:val="20"/>
              </w:rPr>
              <w:t xml:space="preserve">A4/C3</w:t>
            </w:r>
          </w:p>
        </w:tc>
      </w:tr>
    </w:tbl>
    <w:p>
      <w:pPr>
        <w:spacing w:before="160"/>
      </w:pPr>
      <w:r>
        <w:rPr>
          <w:rFonts w:ascii="Arial" w:cs="Arial" w:eastAsia="Arial" w:hAnsi="Arial"/>
          <w:b/>
          <w:bCs/>
          <w:color w:val="595959"/>
          <w:sz w:val="20"/>
          <w:szCs w:val="20"/>
        </w:rPr>
        <w:t xml:space="preserve">Hinweis: </w:t>
      </w:r>
      <w:r>
        <w:rPr>
          <w:rFonts w:ascii="Arial" w:cs="Arial" w:eastAsia="Arial" w:hAnsi="Arial"/>
          <w:i/>
          <w:iCs/>
          <w:color w:val="595959"/>
          <w:sz w:val="20"/>
          <w:szCs w:val="20"/>
        </w:rPr>
        <w:t xml:space="preserve">Auf Wunsch setze ich die Korrekturen 1–10 direkt im Hauptdokument als nachvollziehbare Word-Korrekturmarken (Autor «Claude») um.</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Prüfbericht Quellenarbeit «Attune» · Seite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2026-06-13T23:21:06.032Z</dcterms:created>
  <dcterms:modified xsi:type="dcterms:W3CDTF">2026-06-13T23:21:06.032Z</dcterms:modified>
</cp:coreProperties>
</file>

<file path=docProps/custom.xml><?xml version="1.0" encoding="utf-8"?>
<Properties xmlns="http://schemas.openxmlformats.org/officeDocument/2006/custom-properties" xmlns:vt="http://schemas.openxmlformats.org/officeDocument/2006/docPropsVTypes"/>
</file>