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44EF9" w14:textId="77777777" w:rsidR="001666F9" w:rsidRDefault="00000000">
      <w:pPr>
        <w:spacing w:before="800" w:after="200"/>
        <w:jc w:val="center"/>
      </w:pPr>
      <w:r>
        <w:rPr>
          <w:b/>
          <w:bCs/>
        </w:rPr>
        <w:t>ZHAW Zürcher Hochschule für Angewandte Wissenschaften</w:t>
      </w:r>
    </w:p>
    <w:p w14:paraId="28669CD8" w14:textId="77777777" w:rsidR="001666F9" w:rsidRDefault="00000000">
      <w:pPr>
        <w:spacing w:after="1200"/>
        <w:jc w:val="center"/>
      </w:pPr>
      <w:r>
        <w:t>Institut für Wirtschaftsinformatik</w:t>
      </w:r>
    </w:p>
    <w:p w14:paraId="039BE403" w14:textId="77777777" w:rsidR="001666F9" w:rsidRDefault="00000000">
      <w:pPr>
        <w:spacing w:after="600"/>
        <w:jc w:val="center"/>
      </w:pPr>
      <w:proofErr w:type="spellStart"/>
      <w:r>
        <w:rPr>
          <w:b/>
          <w:bCs/>
          <w:sz w:val="28"/>
          <w:szCs w:val="28"/>
        </w:rPr>
        <w:t>BSc</w:t>
      </w:r>
      <w:proofErr w:type="spellEnd"/>
      <w:r>
        <w:rPr>
          <w:b/>
          <w:bCs/>
          <w:sz w:val="28"/>
          <w:szCs w:val="28"/>
        </w:rPr>
        <w:t>-Thesis</w:t>
      </w:r>
    </w:p>
    <w:p w14:paraId="0E86FCE4" w14:textId="77777777" w:rsidR="001666F9" w:rsidRDefault="00000000">
      <w:pPr>
        <w:spacing w:after="80"/>
        <w:jc w:val="center"/>
      </w:pPr>
      <w:r>
        <w:rPr>
          <w:b/>
          <w:bCs/>
          <w:sz w:val="44"/>
          <w:szCs w:val="44"/>
        </w:rPr>
        <w:t>Radio 25: Nutzerzentrierte Personalisierung</w:t>
      </w:r>
    </w:p>
    <w:p w14:paraId="6BA07A56" w14:textId="77777777" w:rsidR="001666F9" w:rsidRDefault="00000000">
      <w:pPr>
        <w:spacing w:after="80"/>
        <w:jc w:val="center"/>
      </w:pPr>
      <w:r>
        <w:rPr>
          <w:b/>
          <w:bCs/>
          <w:sz w:val="44"/>
          <w:szCs w:val="44"/>
        </w:rPr>
        <w:t>im vollautomatisierten Radio</w:t>
      </w:r>
    </w:p>
    <w:p w14:paraId="06822856" w14:textId="77777777" w:rsidR="001666F9" w:rsidRDefault="00000000">
      <w:pPr>
        <w:spacing w:after="1200"/>
        <w:jc w:val="center"/>
      </w:pPr>
      <w:r>
        <w:rPr>
          <w:i/>
          <w:iCs/>
          <w:sz w:val="28"/>
          <w:szCs w:val="28"/>
        </w:rPr>
        <w:t>Eine Konzeptstudie im Kontext von Digital Wellbeing</w:t>
      </w:r>
    </w:p>
    <w:p w14:paraId="4A521EB8" w14:textId="77777777" w:rsidR="001666F9" w:rsidRDefault="00000000">
      <w:pPr>
        <w:spacing w:after="80"/>
        <w:jc w:val="center"/>
      </w:pPr>
      <w:r>
        <w:t>Autor: Michael Möckli</w:t>
      </w:r>
    </w:p>
    <w:p w14:paraId="4B714A84" w14:textId="77777777" w:rsidR="001666F9" w:rsidRDefault="00000000">
      <w:pPr>
        <w:spacing w:after="80"/>
        <w:jc w:val="center"/>
      </w:pPr>
      <w:r>
        <w:t>Betreuer: Alexandre de Spindler</w:t>
      </w:r>
    </w:p>
    <w:p w14:paraId="54448357" w14:textId="77777777" w:rsidR="001666F9" w:rsidRDefault="00000000">
      <w:pPr>
        <w:spacing w:after="200"/>
        <w:jc w:val="center"/>
      </w:pPr>
      <w:r>
        <w:t>Stand: 25. April 2026</w:t>
      </w:r>
    </w:p>
    <w:p w14:paraId="636F9531" w14:textId="77777777" w:rsidR="001666F9" w:rsidRDefault="00000000">
      <w:pPr>
        <w:pStyle w:val="berschrift1"/>
        <w:pageBreakBefore/>
      </w:pPr>
      <w:proofErr w:type="gramStart"/>
      <w:r>
        <w:lastRenderedPageBreak/>
        <w:t>1  Motivation</w:t>
      </w:r>
      <w:proofErr w:type="gramEnd"/>
    </w:p>
    <w:p w14:paraId="4ABB6AEB" w14:textId="77777777" w:rsidR="001666F9" w:rsidRDefault="00000000">
      <w:pPr>
        <w:spacing w:after="160" w:line="360" w:lineRule="auto"/>
      </w:pPr>
      <w: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w:t>
      </w:r>
      <w:proofErr w:type="spellStart"/>
      <w:r>
        <w:t>Zuboff</w:t>
      </w:r>
      <w:proofErr w:type="spellEnd"/>
      <w:r>
        <w:t xml:space="preserve">, 2019; Montag &amp; </w:t>
      </w:r>
      <w:proofErr w:type="spellStart"/>
      <w:r>
        <w:t>Elhai</w:t>
      </w:r>
      <w:proofErr w:type="spellEnd"/>
      <w:r>
        <w:t>, 2023).</w:t>
      </w:r>
    </w:p>
    <w:p w14:paraId="1301855A" w14:textId="77777777" w:rsidR="001666F9" w:rsidRDefault="00000000">
      <w:pPr>
        <w:spacing w:after="160" w:line="360" w:lineRule="auto"/>
      </w:pPr>
      <w: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14:paraId="3C658837" w14:textId="77777777" w:rsidR="001666F9" w:rsidRDefault="00000000">
      <w:pPr>
        <w:pStyle w:val="berschrift2"/>
      </w:pPr>
      <w:proofErr w:type="gramStart"/>
      <w:r>
        <w:t>1.1  Das</w:t>
      </w:r>
      <w:proofErr w:type="gramEnd"/>
      <w:r>
        <w:t xml:space="preserve"> Spannungsfeld zwischen Nutzer und Anbieter</w:t>
      </w:r>
    </w:p>
    <w:p w14:paraId="1E277A81" w14:textId="77777777" w:rsidR="001666F9" w:rsidRDefault="00000000">
      <w:pPr>
        <w:spacing w:after="160" w:line="360" w:lineRule="auto"/>
      </w:pPr>
      <w:r>
        <w:t xml:space="preserve">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w:t>
      </w:r>
      <w:proofErr w:type="spellStart"/>
      <w:r>
        <w:t>Uses</w:t>
      </w:r>
      <w:proofErr w:type="spellEnd"/>
      <w:r>
        <w:t>-and-</w:t>
      </w:r>
      <w:proofErr w:type="spellStart"/>
      <w:r>
        <w:t>Gratifications</w:t>
      </w:r>
      <w:proofErr w:type="spellEnd"/>
      <w:r>
        <w:t xml:space="preserve">-Ansatzes (Katz, </w:t>
      </w:r>
      <w:proofErr w:type="spellStart"/>
      <w:r>
        <w:t>Blumler</w:t>
      </w:r>
      <w:proofErr w:type="spellEnd"/>
      <w:r>
        <w:t xml:space="preserve"> &amp; Gurevitch, 1973) und der Self-Determination Theory (Ryan &amp; Deci, 2000), erfolgt in Abschnitt 2.1.2.</w:t>
      </w:r>
    </w:p>
    <w:p w14:paraId="6B935624" w14:textId="77777777" w:rsidR="001666F9" w:rsidRDefault="00000000">
      <w:pPr>
        <w:spacing w:after="160" w:line="360" w:lineRule="auto"/>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w:t>
      </w:r>
      <w:proofErr w:type="spellStart"/>
      <w:r>
        <w:t>Impressions</w:t>
      </w:r>
      <w:proofErr w:type="spellEnd"/>
      <w:r>
        <w:t>, Interaktionsrate. Diese Grössen entscheiden über den Werbepreis und damit über den Ertrag. Alle zentralen Designentscheidungen, von der Rangfolge der Inhalte bis zur Gestaltung der Benutzeroberfläche, orientieren sich an diesen Metriken.</w:t>
      </w:r>
    </w:p>
    <w:p w14:paraId="0E5C9486" w14:textId="77777777" w:rsidR="001666F9" w:rsidRDefault="00000000">
      <w:pPr>
        <w:spacing w:after="160" w:line="360" w:lineRule="auto"/>
      </w:pPr>
      <w:r>
        <w:t xml:space="preserve">Solange die Ziele beider Seiten in die gleiche Richtung zeigen, ist dieses System funktional. Problematisch wird es dort, wo die Maximierung der Verweildauer nicht mehr mit dem Wohlbefinden der Nutzenden übereinstimmt, etwa weil Inhalte bewusst emotional </w:t>
      </w:r>
      <w:r>
        <w:lastRenderedPageBreak/>
        <w:t>aufgeladen werden, weil Nutzungssessions künstlich verlängert werden oder weil Vielfalt zugunsten reiner Relevanz geopfert wird. Genau dies ist in den letzten Jahren empirisch immer besser dokumentiert (Burr et al., 2020; Milano et al., 2020).</w:t>
      </w:r>
    </w:p>
    <w:p w14:paraId="10BA8C75" w14:textId="77777777" w:rsidR="001666F9" w:rsidRDefault="00000000">
      <w:pPr>
        <w:pStyle w:val="berschrift2"/>
      </w:pPr>
      <w:proofErr w:type="gramStart"/>
      <w:r>
        <w:t>1.2  Das</w:t>
      </w:r>
      <w:proofErr w:type="gramEnd"/>
      <w:r>
        <w:t xml:space="preserve"> Geschäftsmodell der Aufmerksamkeitsökonomie</w:t>
      </w:r>
    </w:p>
    <w:p w14:paraId="5FAB2BAF" w14:textId="77777777" w:rsidR="001666F9" w:rsidRDefault="00000000">
      <w:pPr>
        <w:spacing w:after="160" w:line="360" w:lineRule="auto"/>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44B7C7D8" w14:textId="77777777" w:rsidR="001666F9" w:rsidRDefault="00000000">
      <w:pPr>
        <w:spacing w:after="160" w:line="360" w:lineRule="auto"/>
      </w:pPr>
      <w: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w:t>
      </w:r>
      <w:proofErr w:type="spellStart"/>
      <w:r>
        <w:t>Reviglio</w:t>
      </w:r>
      <w:proofErr w:type="spellEnd"/>
      <w:r>
        <w:t xml:space="preserve"> &amp; Agosti, 2020) theoretisch eingeordnet.</w:t>
      </w:r>
    </w:p>
    <w:p w14:paraId="597A7931" w14:textId="77777777" w:rsidR="001666F9" w:rsidRDefault="00000000">
      <w:pPr>
        <w:pStyle w:val="berschrift2"/>
      </w:pPr>
      <w:proofErr w:type="gramStart"/>
      <w:r>
        <w:t>1.3  Manipulative</w:t>
      </w:r>
      <w:proofErr w:type="gramEnd"/>
      <w:r>
        <w:t xml:space="preserve"> Designmuster</w:t>
      </w:r>
    </w:p>
    <w:p w14:paraId="4A8830D4" w14:textId="77777777" w:rsidR="001666F9" w:rsidRDefault="00000000">
      <w:pPr>
        <w:spacing w:after="160" w:line="360" w:lineRule="auto"/>
      </w:pPr>
      <w:r>
        <w:t>Die ökonomische Logik manifestiert sich in konkreten Designmustern, die gezielt auf Schwachstellen der menschlichen Psyche zielen. Zu den am besten dokumentierten Mustern gehören:</w:t>
      </w:r>
    </w:p>
    <w:p w14:paraId="65C621A9" w14:textId="77777777" w:rsidR="001666F9" w:rsidRDefault="00000000">
      <w:pPr>
        <w:pStyle w:val="Listenabsatz"/>
        <w:numPr>
          <w:ilvl w:val="0"/>
          <w:numId w:val="2"/>
        </w:numPr>
        <w:spacing w:after="80" w:line="360" w:lineRule="auto"/>
      </w:pPr>
      <w:r>
        <w:t>Endloses Scrollen (Infinite Scroll), das natürliche Unterbrechungspunkte entfernt und die Verweildauer verlängert.</w:t>
      </w:r>
    </w:p>
    <w:p w14:paraId="7D0638C4" w14:textId="77777777" w:rsidR="001666F9" w:rsidRDefault="00000000">
      <w:pPr>
        <w:pStyle w:val="Listenabsatz"/>
        <w:numPr>
          <w:ilvl w:val="0"/>
          <w:numId w:val="2"/>
        </w:numPr>
        <w:spacing w:after="80" w:line="360" w:lineRule="auto"/>
      </w:pPr>
      <w:r>
        <w:t>Variable Belohnungsmuster nach dem Vorbild des Glücksspiels: unvorhersehbare Erfolgserlebnisse (Likes, neue Inhalte, Matches) halten die Aufmerksamkeit aufrecht.</w:t>
      </w:r>
    </w:p>
    <w:p w14:paraId="72BCB860" w14:textId="77777777" w:rsidR="001666F9" w:rsidRDefault="00000000">
      <w:pPr>
        <w:pStyle w:val="Listenabsatz"/>
        <w:numPr>
          <w:ilvl w:val="0"/>
          <w:numId w:val="2"/>
        </w:numPr>
        <w:spacing w:after="80" w:line="360" w:lineRule="auto"/>
      </w:pPr>
      <w:r>
        <w:t>Push-Benachrichtigungen, die andere Tätigkeiten unterbrechen und Nutzende zurück auf die Plattform holen.</w:t>
      </w:r>
    </w:p>
    <w:p w14:paraId="4CFA40C5" w14:textId="77777777" w:rsidR="001666F9" w:rsidRDefault="00000000">
      <w:pPr>
        <w:pStyle w:val="Listenabsatz"/>
        <w:numPr>
          <w:ilvl w:val="0"/>
          <w:numId w:val="2"/>
        </w:numPr>
        <w:spacing w:after="80" w:line="360" w:lineRule="auto"/>
      </w:pPr>
      <w:r>
        <w:t>Autoplay und ähnliche Automatismen, die stellvertretend über den nächsten Inhalt entscheiden.</w:t>
      </w:r>
    </w:p>
    <w:p w14:paraId="3793B62F" w14:textId="77777777" w:rsidR="001666F9" w:rsidRDefault="00000000">
      <w:pPr>
        <w:pStyle w:val="Listenabsatz"/>
        <w:numPr>
          <w:ilvl w:val="0"/>
          <w:numId w:val="2"/>
        </w:numPr>
        <w:spacing w:after="80" w:line="360" w:lineRule="auto"/>
      </w:pPr>
      <w:proofErr w:type="spellStart"/>
      <w:r>
        <w:t>Social</w:t>
      </w:r>
      <w:proofErr w:type="spellEnd"/>
      <w:r>
        <w:t>-Proof- und Reziprozitätsmechanismen, die soziale Grundbedürfnisse (Bestätigung, Gegenseitigkeit) für die Plattformbindung nutzen.</w:t>
      </w:r>
    </w:p>
    <w:p w14:paraId="38C10324" w14:textId="77777777" w:rsidR="001666F9" w:rsidRDefault="00000000">
      <w:pPr>
        <w:spacing w:after="160" w:line="360" w:lineRule="auto"/>
      </w:pPr>
      <w:r>
        <w:lastRenderedPageBreak/>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Schneider &amp; vom Brocke, 2016), wird in Abschnitt 2.2.6 systematisch entwickelt.</w:t>
      </w:r>
    </w:p>
    <w:p w14:paraId="5FA23C4A" w14:textId="77777777" w:rsidR="001666F9" w:rsidRDefault="00000000">
      <w:pPr>
        <w:pStyle w:val="berschrift2"/>
      </w:pPr>
      <w:proofErr w:type="gramStart"/>
      <w:r>
        <w:t>1.4  Filterblasen</w:t>
      </w:r>
      <w:proofErr w:type="gramEnd"/>
      <w:r>
        <w:t>, Echokammern und Polarisierung</w:t>
      </w:r>
    </w:p>
    <w:p w14:paraId="6DEFD645" w14:textId="77777777" w:rsidR="001666F9" w:rsidRDefault="00000000">
      <w:pPr>
        <w:spacing w:after="160" w:line="360" w:lineRule="auto"/>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Lorenz und Holtz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24FC0AC8" w14:textId="77777777" w:rsidR="001666F9" w:rsidRDefault="00000000">
      <w:pPr>
        <w:spacing w:after="160" w:line="360" w:lineRule="auto"/>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w:t>
      </w:r>
      <w:proofErr w:type="spellStart"/>
      <w:r>
        <w:t>Confirmation</w:t>
      </w:r>
      <w:proofErr w:type="spellEnd"/>
      <w:r>
        <w:t xml:space="preserve"> Bias wirken in die gleiche Richtung), sondern dass die Algorithmen bestehende Tendenzen systematisch verstärken, weil polarisierende und emotionalisierende Inhalte stärkere Reaktionen und damit höheres Engagement auslösen. Vosoughi, Roy und Aral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74365BEA" w14:textId="77777777" w:rsidR="001666F9" w:rsidRDefault="00000000">
      <w:pPr>
        <w:pStyle w:val="berschrift2"/>
      </w:pPr>
      <w:proofErr w:type="gramStart"/>
      <w:r>
        <w:t>1.5  Psychisches</w:t>
      </w:r>
      <w:proofErr w:type="gramEnd"/>
      <w:r>
        <w:t xml:space="preserve"> Wohlbefinden und Suchtverhalten</w:t>
      </w:r>
    </w:p>
    <w:p w14:paraId="6471283A" w14:textId="77777777" w:rsidR="001666F9" w:rsidRDefault="00000000">
      <w:pPr>
        <w:spacing w:after="160" w:line="360" w:lineRule="auto"/>
      </w:pPr>
      <w:r>
        <w:t xml:space="preserve">Die Folgen für das individuelle Wohlbefinden sind inzwischen empirisch vielfach untersucht. </w:t>
      </w:r>
      <w:proofErr w:type="spellStart"/>
      <w:r>
        <w:t>Verduyn</w:t>
      </w:r>
      <w:proofErr w:type="spellEnd"/>
      <w:r>
        <w:t xml:space="preserve">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64211B99" w14:textId="77777777" w:rsidR="001666F9" w:rsidRDefault="00000000">
      <w:pPr>
        <w:spacing w:after="160" w:line="360" w:lineRule="auto"/>
      </w:pPr>
      <w:r>
        <w:lastRenderedPageBreak/>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Damit verschiebt sich die Debatte von Bildschirmzeit als rein quantitativem Mass hin zur Qualität und Selbstbestimmung der Nutzung.</w:t>
      </w:r>
    </w:p>
    <w:p w14:paraId="652CB750" w14:textId="77777777" w:rsidR="001666F9" w:rsidRDefault="00000000">
      <w:pPr>
        <w:spacing w:after="160" w:line="360" w:lineRule="auto"/>
      </w:pPr>
      <w: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14:paraId="7F816621" w14:textId="77777777" w:rsidR="001666F9" w:rsidRDefault="00000000">
      <w:pPr>
        <w:pStyle w:val="berschrift2"/>
      </w:pPr>
      <w:proofErr w:type="gramStart"/>
      <w:r>
        <w:t>1.6  Verlust</w:t>
      </w:r>
      <w:proofErr w:type="gramEnd"/>
      <w:r>
        <w:t xml:space="preserve"> der Nutzerautonomie</w:t>
      </w:r>
    </w:p>
    <w:p w14:paraId="2237F9AD" w14:textId="77777777" w:rsidR="001666F9" w:rsidRDefault="00000000">
      <w:pPr>
        <w:spacing w:after="160" w:line="360" w:lineRule="auto"/>
      </w:pPr>
      <w:r>
        <w:t>Über die direkten psychischen Folgen hinaus entsteht ein grundsätzlicheres Problem: der Verlust von Autonomie. In der Praxis manifestiert sich dieser Autonomieverlust auf mehreren Ebenen: Nutzende sehen nicht, warum ein bestimmter Inhalt ausgespielt wird (Black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14:paraId="587214B9" w14:textId="77777777" w:rsidR="001666F9" w:rsidRDefault="00000000">
      <w:pPr>
        <w:spacing w:after="160" w:line="360" w:lineRule="auto"/>
      </w:pPr>
      <w:r>
        <w:t xml:space="preserve">Der theoretische Rahmen für diese Beobachtung, namentlich die Self-Determination Theory (Ryan &amp; Deci, 2000) mit dem Grundbedürfnis nach Autonomie sowie das METUX-Modell für nutzerzentrierte Produktgestaltung (Peters, Calvo &amp; Ryan, 2018), wird in Abschnitt 2.3.1 vertieft. Auf der politisch-systemischen Ebene fordern </w:t>
      </w:r>
      <w:proofErr w:type="spellStart"/>
      <w:r>
        <w:t>Reviglio</w:t>
      </w:r>
      <w:proofErr w:type="spellEnd"/>
      <w:r>
        <w:t xml:space="preserve"> und Agosti (2020) eine algorithmische Souveränität, die in Abschnitt 2.3.4 entfaltet wird; Milano, Taddeo und </w:t>
      </w:r>
      <w:proofErr w:type="spellStart"/>
      <w:r>
        <w:t>Floridi</w:t>
      </w:r>
      <w:proofErr w:type="spellEnd"/>
      <w:r>
        <w:t xml:space="preserve"> (2020) ergänzen aus Sicht der Empfehlungssystem-Ethik, dass neben Relevanz auch Diversität, Fairness und Nutzerwohl als explizite Optimierungsziele in den Algorithmen verankert werden müssen.</w:t>
      </w:r>
    </w:p>
    <w:p w14:paraId="2B91E3DC" w14:textId="77777777" w:rsidR="001666F9" w:rsidRDefault="00000000">
      <w:pPr>
        <w:pStyle w:val="berschrift2"/>
      </w:pPr>
      <w:proofErr w:type="gramStart"/>
      <w:r>
        <w:t>1.7  Zwischenfazit</w:t>
      </w:r>
      <w:proofErr w:type="gramEnd"/>
      <w:r>
        <w:t>: Der Kern des Problems</w:t>
      </w:r>
    </w:p>
    <w:p w14:paraId="16DF42EB" w14:textId="77777777" w:rsidR="001666F9" w:rsidRDefault="00000000">
      <w:pPr>
        <w:spacing w:after="160" w:line="360" w:lineRule="auto"/>
      </w:pPr>
      <w:r>
        <w:t xml:space="preserve">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w:t>
      </w:r>
      <w:r>
        <w:lastRenderedPageBreak/>
        <w:t>Unterhaltung gedacht waren, haben sich zu Systemen entwickelt, die primär ihre eigene Nutzungszeit maximieren, häufig auf Kosten der Nutzenden.</w:t>
      </w:r>
    </w:p>
    <w:p w14:paraId="0E16FC9A" w14:textId="77777777" w:rsidR="001666F9" w:rsidRDefault="00000000">
      <w:pPr>
        <w:spacing w:after="160" w:line="360" w:lineRule="auto"/>
      </w:pPr>
      <w:r>
        <w:t>Die Forschungslage zeigt drei miteinander verwobene Aspekte dieses Ungleichgewichts. Erstens ist es kein Zufall, sondern strukturell im werbefinanzierten Geschäftsmodell angelegt (</w:t>
      </w:r>
      <w:proofErr w:type="spellStart"/>
      <w:r>
        <w:t>Zuboff</w:t>
      </w:r>
      <w:proofErr w:type="spellEnd"/>
      <w:r>
        <w:t xml:space="preserve">, 2019; Montag &amp; </w:t>
      </w:r>
      <w:proofErr w:type="spellStart"/>
      <w:r>
        <w:t>Elhai</w:t>
      </w:r>
      <w:proofErr w:type="spellEnd"/>
      <w:r>
        <w:t xml:space="preserve">, 2023). Zweitens hat es messbare negative Folgen auf Informationsvielfalt, soziale Kohäsion und individuelles Wohlbefinden (Nguyen et al., 2014; Geschke et al., 2019; </w:t>
      </w:r>
      <w:proofErr w:type="spellStart"/>
      <w:r>
        <w:t>Verduyn</w:t>
      </w:r>
      <w:proofErr w:type="spellEnd"/>
      <w:r>
        <w:t xml:space="preserve"> et al., 2015; Orben, 2020). Drittens verfügen Nutzende in den aktuellen Systemen kaum über die Möglichkeit, dieses Ungleichgewicht selbst zu korrigieren (</w:t>
      </w:r>
      <w:proofErr w:type="spellStart"/>
      <w:r>
        <w:t>Reviglio</w:t>
      </w:r>
      <w:proofErr w:type="spellEnd"/>
      <w:r>
        <w:t xml:space="preserve"> &amp; Agosti, 2020; Milano et al., 2020).</w:t>
      </w:r>
    </w:p>
    <w:p w14:paraId="22E56182" w14:textId="77777777" w:rsidR="001666F9" w:rsidRDefault="00000000">
      <w:pPr>
        <w:spacing w:after="160" w:line="360" w:lineRule="auto"/>
      </w:pPr>
      <w:r>
        <w:t>Aus dieser Problemlage erwächst die grundlegende Frage, welche Prinzipien, Kriterien und Mechanismen nötig sind, um digitale Medien so zu gestalten, dass die Bedürfnisse der Nutzenden wieder in den Mittelpunkt rücken. Das nachfolgende Kapitel ordnet die in diesem Kapitel sichtbar gewordenen Phänomene in den wissenschaftlichen Kontext ein und stellt die Beurteilungsgrundlagen bereit, an denen sich der Lösungsvorschlag dieser Arbeit später messen lässt.</w:t>
      </w:r>
    </w:p>
    <w:p w14:paraId="54DA8F98" w14:textId="77777777" w:rsidR="001666F9" w:rsidRDefault="00000000">
      <w:pPr>
        <w:pStyle w:val="berschrift1"/>
        <w:pageBreakBefore/>
      </w:pPr>
      <w:proofErr w:type="gramStart"/>
      <w:r>
        <w:lastRenderedPageBreak/>
        <w:t>2  Background</w:t>
      </w:r>
      <w:proofErr w:type="gramEnd"/>
    </w:p>
    <w:p w14:paraId="5FC38C1D" w14:textId="77777777" w:rsidR="001666F9" w:rsidRDefault="00000000">
      <w:pPr>
        <w:spacing w:after="160" w:line="360" w:lineRule="auto"/>
      </w:pPr>
      <w: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14:paraId="6BE322D4" w14:textId="77777777" w:rsidR="001666F9" w:rsidRDefault="00000000">
      <w:pPr>
        <w:pStyle w:val="berschrift2"/>
      </w:pPr>
      <w:proofErr w:type="gramStart"/>
      <w:r>
        <w:t>2.1  Bedürfnisse</w:t>
      </w:r>
      <w:proofErr w:type="gramEnd"/>
      <w:r>
        <w:t xml:space="preserve"> und Motivationen der Akteure</w:t>
      </w:r>
    </w:p>
    <w:p w14:paraId="03BC073F" w14:textId="77777777" w:rsidR="001666F9" w:rsidRDefault="00000000">
      <w:pPr>
        <w:pStyle w:val="berschrift3"/>
      </w:pPr>
      <w:proofErr w:type="gramStart"/>
      <w:r>
        <w:t>2.1.1  Anbieterseite</w:t>
      </w:r>
      <w:proofErr w:type="gramEnd"/>
    </w:p>
    <w:p w14:paraId="5F6EA279" w14:textId="77777777" w:rsidR="001666F9" w:rsidRDefault="00000000">
      <w:pPr>
        <w:spacing w:after="160" w:line="360" w:lineRule="auto"/>
      </w:pPr>
      <w:r>
        <w:t>Anbieter digitaler Medien verfolgen unterschiedliche Motive, die sich drei idealtypischen Kategorien zuordnen lassen.</w:t>
      </w:r>
    </w:p>
    <w:p w14:paraId="325BEAB4" w14:textId="77777777" w:rsidR="001666F9" w:rsidRDefault="00000000">
      <w:pPr>
        <w:pStyle w:val="Listenabsatz"/>
        <w:numPr>
          <w:ilvl w:val="0"/>
          <w:numId w:val="2"/>
        </w:numPr>
        <w:spacing w:after="80" w:line="360" w:lineRule="auto"/>
      </w:pPr>
      <w:r>
        <w:t xml:space="preserve">Kommerzielle Plattformen (TikTok, </w:t>
      </w:r>
      <w:proofErr w:type="spellStart"/>
      <w:r>
        <w:t>Meta</w:t>
      </w:r>
      <w:proofErr w:type="spellEnd"/>
      <w:r>
        <w:t>, YouTube, X) finanzieren sich primär werbebasiert. Ihr zentrales Geschäftsziel ist die Maximierung von Aufmerksamkeit und Datenspuren, die an Werbetreibende weiterverkauft werden (</w:t>
      </w:r>
      <w:proofErr w:type="spellStart"/>
      <w:r>
        <w:t>Zuboff</w:t>
      </w:r>
      <w:proofErr w:type="spellEnd"/>
      <w:r>
        <w:t>, 2019).</w:t>
      </w:r>
    </w:p>
    <w:p w14:paraId="0B47C0B4" w14:textId="77777777" w:rsidR="001666F9" w:rsidRDefault="00000000">
      <w:pPr>
        <w:pStyle w:val="Listenabsatz"/>
        <w:numPr>
          <w:ilvl w:val="0"/>
          <w:numId w:val="2"/>
        </w:numPr>
        <w:spacing w:after="80" w:line="360" w:lineRule="auto"/>
      </w:pPr>
      <w:r>
        <w:t>Abonnement- und On-Demand-Anbieter (Netflix, Spotify, Disney+) leben von langfristiger Kundenbindung. Ihr Ziel ist Engagement im Sinne von Zufriedenheit und Retention, nicht primär Scroll-Dauer.</w:t>
      </w:r>
    </w:p>
    <w:p w14:paraId="5AB86D8A" w14:textId="77777777" w:rsidR="001666F9" w:rsidRDefault="00000000">
      <w:pPr>
        <w:pStyle w:val="Listenabsatz"/>
        <w:numPr>
          <w:ilvl w:val="0"/>
          <w:numId w:val="2"/>
        </w:numPr>
        <w:spacing w:after="80" w:line="360" w:lineRule="auto"/>
      </w:pPr>
      <w:r>
        <w:t>Öffentlich-rechtliche und redaktionelle Anbieter (SRF, BBC, NZZ, DLF) folgen Leitbildern wie Bildungs-, Informations- und Kulturvermittlung. Sie finanzieren sich über Gebühren oder Abonnements und haben normative Verpflichtungen gegenüber Pluralismus und Qualität.</w:t>
      </w:r>
    </w:p>
    <w:p w14:paraId="704F3127" w14:textId="77777777" w:rsidR="001666F9" w:rsidRDefault="00000000">
      <w:pPr>
        <w:spacing w:after="160" w:line="360" w:lineRule="auto"/>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291DA632" w14:textId="77777777" w:rsidR="001666F9" w:rsidRDefault="00000000">
      <w:pPr>
        <w:pStyle w:val="berschrift3"/>
      </w:pPr>
      <w:proofErr w:type="gramStart"/>
      <w:r>
        <w:t>2.1.2  Nutzerseite</w:t>
      </w:r>
      <w:proofErr w:type="gramEnd"/>
    </w:p>
    <w:p w14:paraId="717D9DE8" w14:textId="77777777" w:rsidR="001666F9" w:rsidRDefault="00000000">
      <w:pPr>
        <w:spacing w:after="160" w:line="360" w:lineRule="auto"/>
      </w:pPr>
      <w:r>
        <w:t xml:space="preserve">Auf der Nutzerseite lassen sich die in Abschnitt 1.1 genannten Motive entlang etablierter theoretischer Rahmen ordnen. Aus dem </w:t>
      </w:r>
      <w:proofErr w:type="spellStart"/>
      <w:r>
        <w:t>Uses</w:t>
      </w:r>
      <w:proofErr w:type="spellEnd"/>
      <w:r>
        <w:t>-and-</w:t>
      </w:r>
      <w:proofErr w:type="spellStart"/>
      <w:r>
        <w:t>Gratifications</w:t>
      </w:r>
      <w:proofErr w:type="spellEnd"/>
      <w:r>
        <w:t xml:space="preserve">-Ansatz (Katz, </w:t>
      </w:r>
      <w:proofErr w:type="spellStart"/>
      <w:r>
        <w:t>Blumler</w:t>
      </w:r>
      <w:proofErr w:type="spellEnd"/>
      <w:r>
        <w:t xml:space="preserve"> &amp; Gurevitch, 1973) ergeben sich vier typische Nutzungsmotive: Information, Unterhaltung, soziale Interaktion und Identitätsbildung.</w:t>
      </w:r>
    </w:p>
    <w:p w14:paraId="7B1FD400" w14:textId="77777777" w:rsidR="001666F9" w:rsidRDefault="00000000">
      <w:pPr>
        <w:spacing w:after="160" w:line="360" w:lineRule="auto"/>
      </w:pPr>
      <w:r>
        <w:lastRenderedPageBreak/>
        <w:t>Ergänzend identifizieren Ryan und Deci (2000) in der Self-Determination Theory drei psychologische Grundbedürfnisse, die für intrinsische Motivation und Wohlbefinden zentral sind:</w:t>
      </w:r>
    </w:p>
    <w:p w14:paraId="0F14F49F" w14:textId="77777777" w:rsidR="001666F9" w:rsidRDefault="00000000">
      <w:pPr>
        <w:pStyle w:val="Listenabsatz"/>
        <w:numPr>
          <w:ilvl w:val="0"/>
          <w:numId w:val="2"/>
        </w:numPr>
        <w:spacing w:after="80" w:line="360" w:lineRule="auto"/>
      </w:pPr>
      <w:r>
        <w:t>Autonomie: das Erleben, selbstbestimmt zu handeln und eigene Entscheidungen zu treffen;</w:t>
      </w:r>
    </w:p>
    <w:p w14:paraId="31F92B8A" w14:textId="77777777" w:rsidR="001666F9" w:rsidRDefault="00000000">
      <w:pPr>
        <w:pStyle w:val="Listenabsatz"/>
        <w:numPr>
          <w:ilvl w:val="0"/>
          <w:numId w:val="2"/>
        </w:numPr>
        <w:spacing w:after="80" w:line="360" w:lineRule="auto"/>
      </w:pPr>
      <w:r>
        <w:t>Kompetenz: das Gefühl, wirksam zu sein und Herausforderungen bewältigen zu können;</w:t>
      </w:r>
    </w:p>
    <w:p w14:paraId="3F081451" w14:textId="77777777" w:rsidR="001666F9" w:rsidRDefault="00000000">
      <w:pPr>
        <w:pStyle w:val="Listenabsatz"/>
        <w:numPr>
          <w:ilvl w:val="0"/>
          <w:numId w:val="2"/>
        </w:numPr>
        <w:spacing w:after="80" w:line="360" w:lineRule="auto"/>
      </w:pPr>
      <w:r>
        <w:t>soziale Eingebundenheit: das Erleben von bedeutungsvollen Beziehungen und Zugehörigkeit.</w:t>
      </w:r>
    </w:p>
    <w:p w14:paraId="34003055" w14:textId="77777777" w:rsidR="001666F9" w:rsidRDefault="00000000">
      <w:pPr>
        <w:spacing w:after="160" w:line="360" w:lineRule="auto"/>
      </w:pPr>
      <w:r>
        <w:t xml:space="preserve">Peters, Calvo und Ryan (2018) übertragen diese Perspektive im METUX-Modell (Motivation, Engagement and </w:t>
      </w:r>
      <w:proofErr w:type="spellStart"/>
      <w:r>
        <w:t>Thriving</w:t>
      </w:r>
      <w:proofErr w:type="spellEnd"/>
      <w:r>
        <w:t xml:space="preserve"> in User Experience) direkt auf die Gestaltung digitaler Produkte: Ein System fördert Wohlbefinden, wenn es diese Grundbedürfnisse auf mehreren Ebenen (Adoption, Benutzeroberfläche, Aufgabe, Verhalten, Leben) unterstützt, und untergräbt es, wenn es sie blockiert. Dieses Modell wird in Abschnitt 2.3.1 als zentrale Beurteilungsgrundlage erneut aufgegriffen.</w:t>
      </w:r>
    </w:p>
    <w:p w14:paraId="064AFC9B" w14:textId="77777777" w:rsidR="001666F9" w:rsidRDefault="00000000">
      <w:pPr>
        <w:spacing w:after="160" w:line="360" w:lineRule="auto"/>
      </w:pPr>
      <w:r>
        <w:t>Vanden Abeele (2021) konzeptualisiert das übergeordnete Nutzerbedürfnis nach einem ausgewogenen Medienkonsum als Digital Wellbeing: die subjektive, individuelle Erfahrung einer optimalen Balance zwischen den Vorteilen und Nachteilen digitaler Konnektivität. Diese Balance ist dynamisch, kontextabhängig und nicht allein durch Nutzungsdauer messbar.</w:t>
      </w:r>
    </w:p>
    <w:p w14:paraId="05C983FA" w14:textId="77777777" w:rsidR="001666F9" w:rsidRDefault="00000000">
      <w:pPr>
        <w:pStyle w:val="berschrift2"/>
      </w:pPr>
      <w:proofErr w:type="gramStart"/>
      <w:r>
        <w:t>2.2  Mechanismen</w:t>
      </w:r>
      <w:proofErr w:type="gramEnd"/>
      <w:r>
        <w:t xml:space="preserve"> digitaler Medienangebote</w:t>
      </w:r>
    </w:p>
    <w:p w14:paraId="1ED8D41B" w14:textId="77777777" w:rsidR="001666F9" w:rsidRDefault="00000000">
      <w:pPr>
        <w:spacing w:after="160" w:line="360" w:lineRule="auto"/>
      </w:pPr>
      <w:r>
        <w:t>Die Motivationen beider Seiten schlagen sich in konkreten technischen Mechanismen nieder. Im Folgenden werden die zentralen Mechanismen aktueller Medienangebote beschrieben und ihre Funktionsweise skizziert.</w:t>
      </w:r>
    </w:p>
    <w:p w14:paraId="7F4DD1D1" w14:textId="77777777" w:rsidR="001666F9" w:rsidRDefault="00000000">
      <w:pPr>
        <w:pStyle w:val="berschrift3"/>
      </w:pPr>
      <w:proofErr w:type="gramStart"/>
      <w:r>
        <w:t>2.2.1  Klassifikation</w:t>
      </w:r>
      <w:proofErr w:type="gramEnd"/>
      <w:r>
        <w:t xml:space="preserve"> und Ontologien</w:t>
      </w:r>
    </w:p>
    <w:p w14:paraId="6777401A" w14:textId="77777777" w:rsidR="001666F9" w:rsidRDefault="00000000">
      <w:pPr>
        <w:spacing w:after="160" w:line="360" w:lineRule="auto"/>
      </w:pPr>
      <w:r>
        <w:t xml:space="preserve">Inhalte müssen strukturiert werden, damit sie auffindbar und </w:t>
      </w:r>
      <w:proofErr w:type="spellStart"/>
      <w:r>
        <w:t>empfehlbar</w:t>
      </w:r>
      <w:proofErr w:type="spellEnd"/>
      <w:r>
        <w:t xml:space="preserve">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Auf der Nutzerseite werden analoge Strukturen verwendet, um Interessensprofile explizit oder implizit zu repräsentieren. Die Qualität dieser Strukturen prägt massgeblich die Qualität späterer Empfehlungen.</w:t>
      </w:r>
    </w:p>
    <w:p w14:paraId="64E304FA" w14:textId="77777777" w:rsidR="001666F9" w:rsidRDefault="00000000">
      <w:pPr>
        <w:pStyle w:val="berschrift3"/>
      </w:pPr>
      <w:proofErr w:type="gramStart"/>
      <w:r>
        <w:t>2.2.2  Suche</w:t>
      </w:r>
      <w:proofErr w:type="gramEnd"/>
    </w:p>
    <w:p w14:paraId="7442DB5C" w14:textId="77777777" w:rsidR="001666F9" w:rsidRDefault="00000000">
      <w:pPr>
        <w:spacing w:after="160" w:line="360" w:lineRule="auto"/>
      </w:pPr>
      <w:r>
        <w:lastRenderedPageBreak/>
        <w:t xml:space="preserve">Suchmechanismen sind der klassische aktive Zugang zu Inhalten: Die Nutzenden formulieren eine Anfrage, das System liefert eine Ergebnisliste. Die Relevanzbewertung basiert historisch auf </w:t>
      </w:r>
      <w:proofErr w:type="spellStart"/>
      <w:r>
        <w:t>Textmatching</w:t>
      </w:r>
      <w:proofErr w:type="spellEnd"/>
      <w:r>
        <w:t xml:space="preserve"> und Linkstrukturen, zunehmend auch auf semantischen </w:t>
      </w:r>
      <w:proofErr w:type="spellStart"/>
      <w:r>
        <w:t>Embeddings</w:t>
      </w:r>
      <w:proofErr w:type="spellEnd"/>
      <w:r>
        <w:t xml:space="preserve"> und personalisierten Signalen. Suche </w:t>
      </w:r>
      <w:proofErr w:type="gramStart"/>
      <w:r>
        <w:t>ist vergleichsweise</w:t>
      </w:r>
      <w:proofErr w:type="gramEnd"/>
      <w:r>
        <w:t xml:space="preserve"> transparent, da die Intention von den Nutzenden formuliert wird. Zugleich wächst die Intransparenz dort, wo Personalisierung die Trefferlisten unsichtbar verändert.</w:t>
      </w:r>
    </w:p>
    <w:p w14:paraId="43E651E1" w14:textId="77777777" w:rsidR="001666F9" w:rsidRDefault="00000000">
      <w:pPr>
        <w:pStyle w:val="berschrift3"/>
      </w:pPr>
      <w:proofErr w:type="gramStart"/>
      <w:r>
        <w:t>2.2.3  Empfehlungssysteme</w:t>
      </w:r>
      <w:proofErr w:type="gramEnd"/>
    </w:p>
    <w:p w14:paraId="75E00F82" w14:textId="77777777" w:rsidR="001666F9" w:rsidRDefault="00000000">
      <w:pPr>
        <w:spacing w:after="160" w:line="360" w:lineRule="auto"/>
      </w:pPr>
      <w:r>
        <w:t>Empfehlungssysteme (</w:t>
      </w:r>
      <w:proofErr w:type="spellStart"/>
      <w:r>
        <w:t>Recommender</w:t>
      </w:r>
      <w:proofErr w:type="spellEnd"/>
      <w:r>
        <w:t xml:space="preserve"> Systems) schlagen Inhalte vor, ohne dass die Nutzenden aktiv danach suchen. In der Standardliteratur werden drei klassische Hauptparadigmen unterschieden (Ricci, Rokach &amp; Shapira, 2015):</w:t>
      </w:r>
    </w:p>
    <w:p w14:paraId="2FBFE836" w14:textId="77777777" w:rsidR="001666F9" w:rsidRDefault="00000000">
      <w:pPr>
        <w:pStyle w:val="Listenabsatz"/>
        <w:numPr>
          <w:ilvl w:val="0"/>
          <w:numId w:val="2"/>
        </w:numPr>
        <w:spacing w:after="80" w:line="360" w:lineRule="auto"/>
      </w:pPr>
      <w:r>
        <w:t>Kollaboratives Filtern: Empfehlungen auf Basis der Ähnlichkeit zwischen Nutzenden (Prinzip: «Personen, die X mochten, mochten auch Y»).</w:t>
      </w:r>
    </w:p>
    <w:p w14:paraId="703C2E5D" w14:textId="77777777" w:rsidR="001666F9" w:rsidRDefault="00000000">
      <w:pPr>
        <w:pStyle w:val="Listenabsatz"/>
        <w:numPr>
          <w:ilvl w:val="0"/>
          <w:numId w:val="2"/>
        </w:numPr>
        <w:spacing w:after="80" w:line="360" w:lineRule="auto"/>
      </w:pPr>
      <w:r>
        <w:t>Inhaltsbasiertes Filtern: Empfehlungen auf Basis der Ähnlichkeit zwischen Inhalten und des bisherigen Nutzerprofils.</w:t>
      </w:r>
    </w:p>
    <w:p w14:paraId="4FCBA251" w14:textId="77777777" w:rsidR="001666F9" w:rsidRDefault="00000000">
      <w:pPr>
        <w:pStyle w:val="Listenabsatz"/>
        <w:numPr>
          <w:ilvl w:val="0"/>
          <w:numId w:val="2"/>
        </w:numPr>
        <w:spacing w:after="80" w:line="360" w:lineRule="auto"/>
      </w:pPr>
      <w:r>
        <w:t xml:space="preserve">Hybride und Deep-Learning-basierte Ansätze: Kombination der obigen Verfahren mit impliziten Signalen (Verweildauer, </w:t>
      </w:r>
      <w:proofErr w:type="spellStart"/>
      <w:r>
        <w:t>Scrolltiefe</w:t>
      </w:r>
      <w:proofErr w:type="spellEnd"/>
      <w:r>
        <w:t>, Wiederholungen) und tiefen neuronalen Modellen, wie sie in Feeds von TikTok oder Instagram dominieren.</w:t>
      </w:r>
    </w:p>
    <w:p w14:paraId="521ED311" w14:textId="77777777" w:rsidR="001666F9" w:rsidRDefault="00000000">
      <w:pPr>
        <w:spacing w:after="160" w:line="360" w:lineRule="auto"/>
      </w:pPr>
      <w:r>
        <w:t xml:space="preserve">Die Optimierung erfolgt in der kommerziellen Praxis überwiegend auf Engagement-Metriken. Nguyen et al. (2014) zeigen, dass dies zur Einengung der inhaltlichen Vielfalt führt. Milano, Taddeo und </w:t>
      </w:r>
      <w:proofErr w:type="spellStart"/>
      <w:r>
        <w:t>Floridi</w:t>
      </w:r>
      <w:proofErr w:type="spellEnd"/>
      <w:r>
        <w:t xml:space="preserve"> (2020) systematisieren die daraus folgenden ethischen Herausforderungen entlang sechs Dimensionen: Inhaltsqualität, Privatsphäre, Autonomie, Meinungsvielfalt, soziale Auswirkungen und Verantwortlichkeit.</w:t>
      </w:r>
    </w:p>
    <w:p w14:paraId="0394249F" w14:textId="77777777" w:rsidR="001666F9" w:rsidRDefault="00000000">
      <w:pPr>
        <w:pStyle w:val="berschrift3"/>
      </w:pPr>
      <w:proofErr w:type="gramStart"/>
      <w:r>
        <w:t>2.2.4  Personalisierung</w:t>
      </w:r>
      <w:proofErr w:type="gramEnd"/>
      <w:r>
        <w:t xml:space="preserve"> und Feed-Kuration</w:t>
      </w:r>
    </w:p>
    <w:p w14:paraId="654D9B63" w14:textId="77777777" w:rsidR="001666F9" w:rsidRDefault="00000000">
      <w:pPr>
        <w:spacing w:after="160" w:line="360" w:lineRule="auto"/>
      </w:pPr>
      <w:r>
        <w:t xml:space="preserve">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w:t>
      </w:r>
      <w:proofErr w:type="spellStart"/>
      <w:r>
        <w:t>Reviglio</w:t>
      </w:r>
      <w:proofErr w:type="spellEnd"/>
      <w:r>
        <w:t xml:space="preserve"> und Agosti (2020) fordern in diesem Zusammenhang eine algorithmische Souveränität: die Möglichkeit, die Logiken zu verstehen, zu modifizieren und bewusst zu steuern.</w:t>
      </w:r>
    </w:p>
    <w:p w14:paraId="6D4F0492" w14:textId="77777777" w:rsidR="001666F9" w:rsidRDefault="00000000">
      <w:pPr>
        <w:pStyle w:val="berschrift3"/>
      </w:pPr>
      <w:proofErr w:type="gramStart"/>
      <w:r>
        <w:t>2.2.5  Sharing</w:t>
      </w:r>
      <w:proofErr w:type="gramEnd"/>
      <w:r>
        <w:t xml:space="preserve"> und soziale Mechanismen</w:t>
      </w:r>
    </w:p>
    <w:p w14:paraId="0B6F4C8E" w14:textId="77777777" w:rsidR="001666F9" w:rsidRDefault="00000000">
      <w:pPr>
        <w:spacing w:after="160" w:line="360" w:lineRule="auto"/>
      </w:pPr>
      <w:r>
        <w:t xml:space="preserve">Teilen, Kommentieren und Reagieren erzeugen Netzwerkeffekte: Inhalte verbreiten sich viral, wenn sie starke emotionale Reaktionen auslösen. Diese Mechanismen sind nicht neutral, sondern begünstigen systematisch emotional aufgeladene, oft polarisierende Inhalte </w:t>
      </w:r>
      <w:r>
        <w:lastRenderedPageBreak/>
        <w:t>und wirken damit auf die in Abschnitt 1.4 beschriebene Triple-Filter-Bubble (Geschke et al., 2019; Sunstein, 2017).</w:t>
      </w:r>
    </w:p>
    <w:p w14:paraId="47D88C46" w14:textId="77777777" w:rsidR="001666F9" w:rsidRDefault="00000000">
      <w:pPr>
        <w:pStyle w:val="berschrift3"/>
      </w:pPr>
      <w:proofErr w:type="gramStart"/>
      <w:r>
        <w:t>2.2.6  Persuasive</w:t>
      </w:r>
      <w:proofErr w:type="gramEnd"/>
      <w:r>
        <w:t xml:space="preserve"> Design und Nudging</w:t>
      </w:r>
    </w:p>
    <w:p w14:paraId="598A251B" w14:textId="77777777" w:rsidR="001666F9" w:rsidRDefault="00000000">
      <w:pPr>
        <w:spacing w:after="160" w:line="360" w:lineRule="auto"/>
      </w:pPr>
      <w: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Schneider und vom Brocke (2016) erweitern diesen Ansatz mit dem Konzept des Digital Nudging: subtile Gestaltungshinweise, die das Verhalten in eine bestimmte Richtung lenken, ohne die Wahlfreiheit einzuschränken.</w:t>
      </w:r>
    </w:p>
    <w:p w14:paraId="23BE682F" w14:textId="77777777" w:rsidR="001666F9" w:rsidRDefault="00000000">
      <w:pPr>
        <w:spacing w:after="160" w:line="360" w:lineRule="auto"/>
      </w:pPr>
      <w:r>
        <w:t>Beide Ansätze sind wertneutral. In der kommerziellen Praxis werden sie jedoch überwiegend zur Engagement-Maximierung eingesetzt; sie liessen sich ebenso im Sinne des Nutzerwohls anwenden (Peters et al., 2018). Genau diese Umkehrung der Zielfunktion bei sonst vergleichbarem Mechanismus ist ein zentrales Designprinzip des in Kapitel 3 vorgestellten Lösungsvorschlags.</w:t>
      </w:r>
    </w:p>
    <w:p w14:paraId="5AAF91B7" w14:textId="77777777" w:rsidR="001666F9" w:rsidRDefault="00000000">
      <w:pPr>
        <w:pStyle w:val="berschrift3"/>
      </w:pPr>
      <w:proofErr w:type="gramStart"/>
      <w:r>
        <w:t xml:space="preserve">2.2.7  </w:t>
      </w:r>
      <w:proofErr w:type="spellStart"/>
      <w:r>
        <w:t>Monetarisierungsmechanismen</w:t>
      </w:r>
      <w:proofErr w:type="spellEnd"/>
      <w:proofErr w:type="gramEnd"/>
    </w:p>
    <w:p w14:paraId="1C75EDA1" w14:textId="77777777" w:rsidR="001666F9" w:rsidRDefault="00000000">
      <w:pPr>
        <w:spacing w:after="160" w:line="360" w:lineRule="auto"/>
      </w:pPr>
      <w:r>
        <w:t>Die beschriebenen Mechanismen stehen in unmittelbarer Wechselwirkung mit der Monetarisierung. Werbebasierte Plattformen koppeln Empfehlungen, Feeds und 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w:t>
      </w:r>
      <w:proofErr w:type="spellStart"/>
      <w:r>
        <w:t>Zuboff</w:t>
      </w:r>
      <w:proofErr w:type="spellEnd"/>
      <w:r>
        <w:t xml:space="preserve">, 2019; Montag &amp; </w:t>
      </w:r>
      <w:proofErr w:type="spellStart"/>
      <w:r>
        <w:t>Elhai</w:t>
      </w:r>
      <w:proofErr w:type="spellEnd"/>
      <w:r>
        <w:t>, 2023).</w:t>
      </w:r>
    </w:p>
    <w:p w14:paraId="7329EC49" w14:textId="77777777" w:rsidR="001666F9" w:rsidRDefault="00000000">
      <w:pPr>
        <w:pStyle w:val="berschrift2"/>
      </w:pPr>
      <w:proofErr w:type="gramStart"/>
      <w:r>
        <w:t>2.3  Beurteilungsgrundlagen</w:t>
      </w:r>
      <w:proofErr w:type="gramEnd"/>
    </w:p>
    <w:p w14:paraId="2A5AB291" w14:textId="77777777" w:rsidR="001666F9" w:rsidRDefault="00000000">
      <w:pPr>
        <w:spacing w:after="160" w:line="360" w:lineRule="auto"/>
      </w:pPr>
      <w: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14:paraId="74813CDD" w14:textId="77777777" w:rsidR="001666F9" w:rsidRDefault="00000000">
      <w:pPr>
        <w:pStyle w:val="berschrift3"/>
      </w:pPr>
      <w:proofErr w:type="gramStart"/>
      <w:r>
        <w:t>2.3.1  Self</w:t>
      </w:r>
      <w:proofErr w:type="gramEnd"/>
      <w:r>
        <w:t>-Determination Theory (SDT)</w:t>
      </w:r>
    </w:p>
    <w:p w14:paraId="1D08E279" w14:textId="77777777" w:rsidR="001666F9" w:rsidRDefault="00000000">
      <w:pPr>
        <w:spacing w:after="160" w:line="360" w:lineRule="auto"/>
      </w:pPr>
      <w:r>
        <w:t xml:space="preserve">Die Self-Determination Theory (Ryan &amp; Deci, 2000) liefert mit den drei psychologischen Grundbedürfnissen Autonomie, Kompetenz und soziale Eingebundenheit einen psychologischen Massstab für die Beurteilung digitaler Systeme. Mechanismen sind </w:t>
      </w:r>
      <w:r>
        <w:lastRenderedPageBreak/>
        <w:t>förderlich, wenn sie diese Bedürfnisse unterstützen, und schädlich, wenn sie sie untergraben. Insbesondere die Autonomie wird in den heutigen Plattformlogiken systematisch unterlaufen, wenn Nutzende durch manipulative Designmuster in Nutzungsschleifen gehalten werden (Peters, Calvo &amp; Ryan, 2018).</w:t>
      </w:r>
    </w:p>
    <w:p w14:paraId="78E4FCEB" w14:textId="77777777" w:rsidR="001666F9" w:rsidRDefault="00000000">
      <w:pPr>
        <w:spacing w:after="160" w:line="360" w:lineRule="auto"/>
      </w:pPr>
      <w:r>
        <w:t xml:space="preserve">Peters et al. (2018) operationalisieren die SDT für die Gestaltung digitaler Produkte im METUX-Modell (Motivation, Engagement and </w:t>
      </w:r>
      <w:proofErr w:type="spellStart"/>
      <w:r>
        <w:t>Thriving</w:t>
      </w:r>
      <w:proofErr w:type="spellEnd"/>
      <w:r>
        <w:t xml:space="preserve">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14:paraId="03C7AFB9" w14:textId="77777777" w:rsidR="001666F9" w:rsidRDefault="00000000">
      <w:pPr>
        <w:pStyle w:val="berschrift3"/>
      </w:pPr>
      <w:proofErr w:type="gramStart"/>
      <w:r>
        <w:t>2.3.2  Value</w:t>
      </w:r>
      <w:proofErr w:type="gramEnd"/>
      <w:r>
        <w:t>-Sensitive Design (VSD)</w:t>
      </w:r>
    </w:p>
    <w:p w14:paraId="1EACF27F" w14:textId="77777777" w:rsidR="001666F9" w:rsidRDefault="00000000">
      <w:pPr>
        <w:spacing w:after="160" w:line="360" w:lineRule="auto"/>
      </w:pPr>
      <w:r>
        <w:t>Value-Sensitive Design (Hendry, Friedman &amp; Ballard,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wie Autonomie, Transparenz oder Wohlbefinden explizit in Designentscheidungen zu überführen.</w:t>
      </w:r>
    </w:p>
    <w:p w14:paraId="6BDFC501" w14:textId="77777777" w:rsidR="001666F9" w:rsidRDefault="00000000">
      <w:pPr>
        <w:pStyle w:val="berschrift3"/>
      </w:pPr>
      <w:proofErr w:type="gramStart"/>
      <w:r>
        <w:t>2.3.3  Digital</w:t>
      </w:r>
      <w:proofErr w:type="gramEnd"/>
      <w:r>
        <w:t xml:space="preserve"> Wellbeing</w:t>
      </w:r>
    </w:p>
    <w:p w14:paraId="0295B386" w14:textId="77777777" w:rsidR="001666F9" w:rsidRDefault="00000000">
      <w:pPr>
        <w:spacing w:after="160" w:line="360" w:lineRule="auto"/>
      </w:pPr>
      <w:r>
        <w:t xml:space="preserve">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Taddeo und </w:t>
      </w:r>
      <w:proofErr w:type="spellStart"/>
      <w:r>
        <w:t>Floridi</w:t>
      </w:r>
      <w:proofErr w:type="spellEnd"/>
      <w:r>
        <w:t xml:space="preserve"> (2020) fordern, dass Technologiedesign aktiv zum Wohlbefinden beitragen </w:t>
      </w:r>
      <w:proofErr w:type="gramStart"/>
      <w:r>
        <w:t>soll</w:t>
      </w:r>
      <w:proofErr w:type="gramEnd"/>
      <w:r>
        <w:t xml:space="preserve"> statt es zu untergraben, und entwickeln dafür einen thematischen Ordnungsrahmen. Peters, Ahmadpour und Calvo (2020) konkretisieren diesen Anspruch in einem Framework für Wellbeing-Supportive Design, das Features, Charakteristika und Prototypen systematisch katalogisiert.</w:t>
      </w:r>
    </w:p>
    <w:p w14:paraId="4414CE68" w14:textId="77777777" w:rsidR="001666F9" w:rsidRDefault="00000000">
      <w:pPr>
        <w:pStyle w:val="berschrift3"/>
      </w:pPr>
      <w:proofErr w:type="gramStart"/>
      <w:r>
        <w:t>2.3.4  Ethik</w:t>
      </w:r>
      <w:proofErr w:type="gramEnd"/>
      <w:r>
        <w:t xml:space="preserve"> von Empfehlungssystemen und algorithmische Souveränität</w:t>
      </w:r>
    </w:p>
    <w:p w14:paraId="6D3F447F" w14:textId="77777777" w:rsidR="001666F9" w:rsidRDefault="00000000">
      <w:pPr>
        <w:spacing w:after="160" w:line="360" w:lineRule="auto"/>
      </w:pPr>
      <w:r>
        <w:t xml:space="preserve">Milano et al. (2020) systematisieren die ethischen Herausforderungen von Empfehlungssystemen und argumentieren, dass neben Relevanz auch Diversität, Fairness und Nutzerwohl als Optimierungsziele verankert werden müssen. </w:t>
      </w:r>
      <w:proofErr w:type="spellStart"/>
      <w:r>
        <w:t>Reviglio</w:t>
      </w:r>
      <w:proofErr w:type="spellEnd"/>
      <w:r>
        <w:t xml:space="preserve"> und Agosti (2020) </w:t>
      </w:r>
      <w:r>
        <w:lastRenderedPageBreak/>
        <w:t>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14:paraId="2F33AF61" w14:textId="77777777" w:rsidR="001666F9" w:rsidRDefault="00000000">
      <w:pPr>
        <w:pStyle w:val="berschrift3"/>
      </w:pPr>
      <w:proofErr w:type="gramStart"/>
      <w:r>
        <w:t>2.3.5  Gebrauchstauglichkeit</w:t>
      </w:r>
      <w:proofErr w:type="gramEnd"/>
      <w:r>
        <w:t xml:space="preserve"> und Akzeptanz</w:t>
      </w:r>
    </w:p>
    <w:p w14:paraId="6CDBDDCC" w14:textId="77777777" w:rsidR="001666F9" w:rsidRDefault="00000000">
      <w:pPr>
        <w:spacing w:after="160" w:line="360" w:lineRule="auto"/>
      </w:pPr>
      <w:r>
        <w:t xml:space="preserve">Neben den normativen Kriterien spielt die klassische Gebrauchstauglichkeit eine Rolle. Der System Usability Scale (Brooke, 1996; Bangor, Kortum &amp; Miller, 2008) ist ein etabliertes, kurzes Messinstrument, das die subjektive Usability eines Systems mit zehn Items erhebt und in der vorliegenden Arbeit ergänzend zu den </w:t>
      </w:r>
      <w:proofErr w:type="spellStart"/>
      <w:r>
        <w:t>wellbeing</w:t>
      </w:r>
      <w:proofErr w:type="spellEnd"/>
      <w:r>
        <w:t>-bezogenen Massen eingesetzt werden kann.</w:t>
      </w:r>
    </w:p>
    <w:p w14:paraId="49D8D8D7" w14:textId="77777777" w:rsidR="001666F9" w:rsidRDefault="00000000">
      <w:pPr>
        <w:pStyle w:val="berschrift2"/>
      </w:pPr>
      <w:proofErr w:type="gramStart"/>
      <w:r>
        <w:t>2.4  Gegenüberstellung</w:t>
      </w:r>
      <w:proofErr w:type="gramEnd"/>
      <w:r>
        <w:t xml:space="preserve"> der Medienmodelle</w:t>
      </w:r>
    </w:p>
    <w:p w14:paraId="1F038227" w14:textId="77777777" w:rsidR="001666F9" w:rsidRDefault="00000000">
      <w:pPr>
        <w:spacing w:after="160" w:line="360" w:lineRule="auto"/>
      </w:pPr>
      <w:r>
        <w:t xml:space="preserve">Die beschriebenen Mechanismen und Kriterien lassen sich entlang von drei idealtypischen Medienmodellen zusammenfassen: einem traditionell-redaktionellen Modell (z. B. öffentlich-rechtliches Radio), einem </w:t>
      </w:r>
      <w:proofErr w:type="spellStart"/>
      <w:r>
        <w:t>engagement</w:t>
      </w:r>
      <w:proofErr w:type="spellEnd"/>
      <w:r>
        <w:t xml:space="preserve">-optimierten Modell (z. B. TikTok, Instagram) und einem </w:t>
      </w:r>
      <w:proofErr w:type="spellStart"/>
      <w:r>
        <w:t>wellbeing</w:t>
      </w:r>
      <w:proofErr w:type="spellEnd"/>
      <w:r>
        <w:t>-orientierten Modell, das diese Arbeit konzipiert und prototypisch umsetzt.</w:t>
      </w:r>
    </w:p>
    <w:p w14:paraId="64A4E809" w14:textId="77777777" w:rsidR="001666F9" w:rsidRDefault="00000000">
      <w:pPr>
        <w:spacing w:after="160" w:line="360" w:lineRule="auto"/>
      </w:pPr>
      <w:r>
        <w:t xml:space="preserve">Die Gegenüberstellung zeigt: Jedes Modell hat spezifische Stärken und Schwächen. Das redaktionelle Modell steht für Qualität und Pluralismus, bietet aber wenig Personalisierung und schlechtere Verfügbarkeit. Das </w:t>
      </w:r>
      <w:proofErr w:type="spellStart"/>
      <w:r>
        <w:t>engagement</w:t>
      </w:r>
      <w:proofErr w:type="spellEnd"/>
      <w:r>
        <w:t xml:space="preserve">-optimierte Modell bietet hohe Relevanz und Verfügbarkeit, jedoch um den Preis von Vielfalt, Transparenz und Autonomie. Das </w:t>
      </w:r>
      <w:proofErr w:type="spellStart"/>
      <w:r>
        <w:t>wellbeing</w:t>
      </w:r>
      <w:proofErr w:type="spellEnd"/>
      <w:r>
        <w:t>-orientierte Modell versucht, Personalisierung mit Transparenz, Nutzerkontrolle und Qualität zu verbinden, ist aber in der Praxis bisher kaum in durchgängigen Artefakten umgesetzt.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400"/>
        <w:gridCol w:w="2400"/>
      </w:tblGrid>
      <w:tr w:rsidR="001666F9" w14:paraId="158C10D1" w14:textId="77777777">
        <w:tblPrEx>
          <w:tblCellMar>
            <w:top w:w="0" w:type="dxa"/>
            <w:bottom w:w="0" w:type="dxa"/>
          </w:tblCellMar>
        </w:tblPrEx>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25668141" w14:textId="77777777" w:rsidR="001666F9" w:rsidRDefault="00000000">
            <w:r>
              <w:rPr>
                <w:b/>
                <w:bCs/>
                <w:sz w:val="20"/>
                <w:szCs w:val="20"/>
              </w:rPr>
              <w:t>Dimension</w:t>
            </w:r>
          </w:p>
        </w:tc>
        <w:tc>
          <w:tcPr>
            <w:tcW w:w="23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6879683D" w14:textId="77777777" w:rsidR="001666F9" w:rsidRDefault="00000000">
            <w:r>
              <w:rPr>
                <w:b/>
                <w:bCs/>
                <w:sz w:val="20"/>
                <w:szCs w:val="20"/>
              </w:rPr>
              <w:t>Redaktionelles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14A0CCE5" w14:textId="77777777" w:rsidR="001666F9" w:rsidRDefault="00000000">
            <w:r>
              <w:rPr>
                <w:b/>
                <w:bCs/>
                <w:sz w:val="20"/>
                <w:szCs w:val="20"/>
              </w:rPr>
              <w:t>Engagement-optimiertes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77E133C5" w14:textId="77777777" w:rsidR="001666F9" w:rsidRDefault="00000000">
            <w:r>
              <w:rPr>
                <w:b/>
                <w:bCs/>
                <w:sz w:val="20"/>
                <w:szCs w:val="20"/>
              </w:rPr>
              <w:t>Wellbeing-orientiertes Modell</w:t>
            </w:r>
          </w:p>
        </w:tc>
      </w:tr>
      <w:tr w:rsidR="001666F9" w14:paraId="287D67B4"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96DEC55" w14:textId="77777777" w:rsidR="001666F9" w:rsidRDefault="00000000">
            <w:r>
              <w:rPr>
                <w:sz w:val="20"/>
                <w:szCs w:val="20"/>
              </w:rPr>
              <w:t>Kuration</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103A84" w14:textId="77777777" w:rsidR="001666F9" w:rsidRDefault="00000000">
            <w:r>
              <w:rPr>
                <w:sz w:val="20"/>
                <w:szCs w:val="20"/>
              </w:rPr>
              <w:t>Menschliche Redaktion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A1B84B" w14:textId="77777777" w:rsidR="001666F9" w:rsidRDefault="00000000">
            <w:r>
              <w:rPr>
                <w:sz w:val="20"/>
                <w:szCs w:val="20"/>
              </w:rPr>
              <w:t>Algorithmisch, auf Verweildauer optimiert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D27BCA8" w14:textId="77777777" w:rsidR="001666F9" w:rsidRDefault="00000000">
            <w:r>
              <w:rPr>
                <w:sz w:val="20"/>
                <w:szCs w:val="20"/>
              </w:rPr>
              <w:t>Algorithmisch, auf Nutzerwohl optimiert</w:t>
            </w:r>
          </w:p>
        </w:tc>
      </w:tr>
      <w:tr w:rsidR="001666F9" w14:paraId="7A7CF0CF"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0022CE" w14:textId="77777777" w:rsidR="001666F9" w:rsidRDefault="00000000">
            <w:r>
              <w:rPr>
                <w:sz w:val="20"/>
                <w:szCs w:val="20"/>
              </w:rPr>
              <w:t>Transparenz</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6441E71" w14:textId="77777777" w:rsidR="001666F9" w:rsidRDefault="00000000">
            <w:r>
              <w:rPr>
                <w:sz w:val="20"/>
                <w:szCs w:val="20"/>
              </w:rPr>
              <w:t>Redaktionsstatut, öffentliche Leitlinien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E509437" w14:textId="77777777" w:rsidR="001666F9" w:rsidRDefault="00000000">
            <w:r>
              <w:rPr>
                <w:sz w:val="20"/>
                <w:szCs w:val="20"/>
              </w:rPr>
              <w:t>Black-Box-Algorithmus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452E08B" w14:textId="77777777" w:rsidR="001666F9" w:rsidRDefault="00000000">
            <w:r>
              <w:rPr>
                <w:sz w:val="20"/>
                <w:szCs w:val="20"/>
              </w:rPr>
              <w:t>Nachvollziehbare Kriterien, offene Logik</w:t>
            </w:r>
          </w:p>
        </w:tc>
      </w:tr>
      <w:tr w:rsidR="001666F9" w14:paraId="40C0293A"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2F3DDF" w14:textId="77777777" w:rsidR="001666F9" w:rsidRDefault="00000000">
            <w:r>
              <w:rPr>
                <w:sz w:val="20"/>
                <w:szCs w:val="20"/>
              </w:rPr>
              <w:t>Nutzerkontrolle</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655379" w14:textId="77777777" w:rsidR="001666F9" w:rsidRDefault="00000000">
            <w:r>
              <w:rPr>
                <w:sz w:val="20"/>
                <w:szCs w:val="20"/>
              </w:rPr>
              <w:t>Gering (fixer Programmplan)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3404364" w14:textId="77777777" w:rsidR="001666F9" w:rsidRPr="000C4A8B" w:rsidRDefault="00000000">
            <w:pPr>
              <w:rPr>
                <w:lang w:val="en-US"/>
              </w:rPr>
            </w:pPr>
            <w:r w:rsidRPr="000C4A8B">
              <w:rPr>
                <w:sz w:val="20"/>
                <w:szCs w:val="20"/>
                <w:lang w:val="en-US"/>
              </w:rPr>
              <w:t xml:space="preserve">Minimal (Like/Skip, </w:t>
            </w:r>
            <w:proofErr w:type="spellStart"/>
            <w:r w:rsidRPr="000C4A8B">
              <w:rPr>
                <w:sz w:val="20"/>
                <w:szCs w:val="20"/>
                <w:lang w:val="en-US"/>
              </w:rPr>
              <w:t>Interessen</w:t>
            </w:r>
            <w:proofErr w:type="spellEnd"/>
            <w:r w:rsidRPr="000C4A8B">
              <w:rPr>
                <w:sz w:val="20"/>
                <w:szCs w:val="20"/>
                <w:lang w:val="en-US"/>
              </w:rPr>
              <w:t>-Tagging)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36625AD" w14:textId="77777777" w:rsidR="001666F9" w:rsidRDefault="00000000">
            <w:r>
              <w:rPr>
                <w:sz w:val="20"/>
                <w:szCs w:val="20"/>
              </w:rPr>
              <w:t>Aktiv (Themen, Filter, Intensität)</w:t>
            </w:r>
          </w:p>
        </w:tc>
      </w:tr>
      <w:tr w:rsidR="001666F9" w14:paraId="6CBF31F1"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FA6592" w14:textId="77777777" w:rsidR="001666F9" w:rsidRDefault="00000000">
            <w:r>
              <w:rPr>
                <w:sz w:val="20"/>
                <w:szCs w:val="20"/>
              </w:rPr>
              <w:t>Inhaltsvielfalt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F176129" w14:textId="77777777" w:rsidR="001666F9" w:rsidRDefault="00000000">
            <w:proofErr w:type="spellStart"/>
            <w:r>
              <w:rPr>
                <w:sz w:val="20"/>
                <w:szCs w:val="20"/>
              </w:rPr>
              <w:t>Pluralismusauftrag</w:t>
            </w:r>
            <w:proofErr w:type="spellEnd"/>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F75AE7" w14:textId="77777777" w:rsidR="001666F9" w:rsidRDefault="00000000">
            <w:r>
              <w:rPr>
                <w:sz w:val="20"/>
                <w:szCs w:val="20"/>
              </w:rPr>
              <w:t>Filterblasen, Echokammern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267373F" w14:textId="77777777" w:rsidR="001666F9" w:rsidRDefault="00000000">
            <w:r>
              <w:rPr>
                <w:sz w:val="20"/>
                <w:szCs w:val="20"/>
              </w:rPr>
              <w:t>Bewusste Diversifikation, Serendipität</w:t>
            </w:r>
          </w:p>
        </w:tc>
      </w:tr>
      <w:tr w:rsidR="001666F9" w14:paraId="6B7A2532"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DEBE461" w14:textId="77777777" w:rsidR="001666F9" w:rsidRDefault="00000000">
            <w:r>
              <w:rPr>
                <w:sz w:val="20"/>
                <w:szCs w:val="20"/>
              </w:rPr>
              <w:t>Zeitmanagement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DA56AED" w14:textId="77777777" w:rsidR="001666F9" w:rsidRDefault="00000000">
            <w:r>
              <w:rPr>
                <w:sz w:val="20"/>
                <w:szCs w:val="20"/>
              </w:rPr>
              <w:t>Sendezeiten, Programmrahmen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E03F285" w14:textId="77777777" w:rsidR="001666F9" w:rsidRDefault="00000000">
            <w:r>
              <w:rPr>
                <w:sz w:val="20"/>
                <w:szCs w:val="20"/>
              </w:rPr>
              <w:t>Endloses Scrollen, Autoplay</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87BABC9" w14:textId="77777777" w:rsidR="001666F9" w:rsidRDefault="00000000">
            <w:r>
              <w:rPr>
                <w:sz w:val="20"/>
                <w:szCs w:val="20"/>
              </w:rPr>
              <w:t>Definierte Länge, natürliche Pausen</w:t>
            </w:r>
          </w:p>
        </w:tc>
      </w:tr>
      <w:tr w:rsidR="001666F9" w14:paraId="718C2105"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7F1CD93" w14:textId="77777777" w:rsidR="001666F9" w:rsidRDefault="00000000">
            <w:r>
              <w:rPr>
                <w:sz w:val="20"/>
                <w:szCs w:val="20"/>
              </w:rPr>
              <w:lastRenderedPageBreak/>
              <w:t>Finanzierung</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2685526" w14:textId="77777777" w:rsidR="001666F9" w:rsidRDefault="00000000">
            <w:r>
              <w:rPr>
                <w:sz w:val="20"/>
                <w:szCs w:val="20"/>
              </w:rPr>
              <w:t>Gebühren, Abonnement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79756FE" w14:textId="77777777" w:rsidR="001666F9" w:rsidRDefault="00000000">
            <w:r>
              <w:rPr>
                <w:sz w:val="20"/>
                <w:szCs w:val="20"/>
              </w:rPr>
              <w:t>Werbung, Datenhandel</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F10CFE" w14:textId="77777777" w:rsidR="001666F9" w:rsidRDefault="00000000">
            <w:r>
              <w:rPr>
                <w:sz w:val="20"/>
                <w:szCs w:val="20"/>
              </w:rPr>
              <w:t>Variabel (Gebühren, Abo, Stiftung)</w:t>
            </w:r>
          </w:p>
        </w:tc>
      </w:tr>
      <w:tr w:rsidR="001666F9" w14:paraId="09FD1B5F"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7DBB83A" w14:textId="77777777" w:rsidR="001666F9" w:rsidRDefault="00000000">
            <w:r>
              <w:rPr>
                <w:sz w:val="20"/>
                <w:szCs w:val="20"/>
              </w:rPr>
              <w:t>Leitwert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33742D7" w14:textId="77777777" w:rsidR="001666F9" w:rsidRDefault="00000000">
            <w:r>
              <w:rPr>
                <w:sz w:val="20"/>
                <w:szCs w:val="20"/>
              </w:rPr>
              <w:t>Qualität, Pluralismus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A0C0DAA" w14:textId="77777777" w:rsidR="001666F9" w:rsidRDefault="00000000">
            <w:r>
              <w:rPr>
                <w:sz w:val="20"/>
                <w:szCs w:val="20"/>
              </w:rPr>
              <w:t>Gewinnmaximierung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B75319C" w14:textId="77777777" w:rsidR="001666F9" w:rsidRDefault="00000000">
            <w:r>
              <w:rPr>
                <w:sz w:val="20"/>
                <w:szCs w:val="20"/>
              </w:rPr>
              <w:t>Nutzerwohl, Autonomie</w:t>
            </w:r>
          </w:p>
        </w:tc>
      </w:tr>
    </w:tbl>
    <w:p w14:paraId="4E0FBBFD" w14:textId="77777777" w:rsidR="001666F9" w:rsidRDefault="00000000">
      <w:pPr>
        <w:pStyle w:val="berschrift2"/>
      </w:pPr>
      <w:proofErr w:type="gramStart"/>
      <w:r>
        <w:t>2.5  Forschungslücke</w:t>
      </w:r>
      <w:proofErr w:type="gramEnd"/>
    </w:p>
    <w:p w14:paraId="4CABC6C1" w14:textId="77777777" w:rsidR="001666F9" w:rsidRDefault="00000000">
      <w:pPr>
        <w:spacing w:after="160" w:line="360" w:lineRule="auto"/>
      </w:pPr>
      <w:r>
        <w:t xml:space="preserve">Aus der Literatur wird deutlich, dass die theoretischen Grundlagen für eine nutzerzentrierte, </w:t>
      </w:r>
      <w:proofErr w:type="spellStart"/>
      <w:r>
        <w:t>wellbeing</w:t>
      </w:r>
      <w:proofErr w:type="spellEnd"/>
      <w:r>
        <w:t xml:space="preserve">-orientierte Gestaltung digitaler Medien vorhanden sind: Self-Determination Theory, Value-Sensitive Design, Digital Wellbeing, Persuasive Technology und algorithmische Souveränität liefern einen dichten konzeptionellen Rahmen. Auch die Probleme der </w:t>
      </w:r>
      <w:proofErr w:type="spellStart"/>
      <w:r>
        <w:t>engagement</w:t>
      </w:r>
      <w:proofErr w:type="spellEnd"/>
      <w:r>
        <w:t>-getriebenen Modelle sind sowohl theoretisch als auch empirisch gut dokumentiert.</w:t>
      </w:r>
    </w:p>
    <w:p w14:paraId="74F4BEE4" w14:textId="77777777" w:rsidR="001666F9" w:rsidRDefault="00000000">
      <w:pPr>
        <w:spacing w:after="160" w:line="360" w:lineRule="auto"/>
      </w:pPr>
      <w:r>
        <w:t>Gleichzeitig fehlen konkrete, lauffähige Artefakte, die diese Prinzipien in einem integrierten System zeigen. Bestehende Ansätze bleiben entweder auf konzeptioneller Ebene (Peters et al., 2020; Hendry et al., 2021)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Genau diese Lücke adressiert die vorliegende Arbeit; die Forschungsfrage sowie der Lösungsvorschlag werden in den nachfolgenden Kapiteln entwickelt.</w:t>
      </w:r>
    </w:p>
    <w:p w14:paraId="6C4C166E" w14:textId="77777777" w:rsidR="001666F9" w:rsidRDefault="00000000">
      <w:pPr>
        <w:pStyle w:val="berschrift1"/>
        <w:pageBreakBefore/>
      </w:pPr>
      <w:proofErr w:type="gramStart"/>
      <w:r>
        <w:lastRenderedPageBreak/>
        <w:t>3  Radio</w:t>
      </w:r>
      <w:proofErr w:type="gramEnd"/>
      <w:r>
        <w:t xml:space="preserve"> 25 als Forschungsartefakt</w:t>
      </w:r>
    </w:p>
    <w:p w14:paraId="3E055F7D" w14:textId="77777777" w:rsidR="001666F9" w:rsidRDefault="00000000">
      <w:pPr>
        <w:spacing w:after="160" w:line="360" w:lineRule="auto"/>
      </w:pPr>
      <w:r>
        <w:t xml:space="preserve">Aus der in Kapitel 2 dargestellten Forschungslücke leitet sich die Notwendigkeit eines konkreten, lauffähigen Demonstrationsmediums ab, an dem die </w:t>
      </w:r>
      <w:proofErr w:type="gramStart"/>
      <w:r>
        <w:t>diskutierten</w:t>
      </w:r>
      <w:proofErr w:type="gramEnd"/>
      <w:r>
        <w:t xml:space="preserve"> Prinzipien der nutzerzentrierten Personalisierung sicht- und untersuchbar werden. Die vorliegende Arbeit setzt diesen Lösungsvorschlag in Form eines vollautomatisierten, KI-gestützten Radios um, im Folgenden als Radio 25 bezeichnet. Dieses Kapitel begründet die Wahl des Mediums, beschreibt den geplanten Untersuchungsgegenstand und ordnet die zu untersuchenden Mechanismen den in Kapitel 2 entwickelten Beurteilungsgrundlagen zu.</w:t>
      </w:r>
    </w:p>
    <w:p w14:paraId="6F2D1D0B" w14:textId="41DD6E66" w:rsidR="001666F9" w:rsidRDefault="00000000">
      <w:pPr>
        <w:pStyle w:val="berschrift2"/>
      </w:pPr>
      <w:proofErr w:type="gramStart"/>
      <w:r>
        <w:t>3.1  Warum</w:t>
      </w:r>
      <w:proofErr w:type="gramEnd"/>
      <w:r>
        <w:t xml:space="preserve"> dieses Untersuchungsmedium?</w:t>
      </w:r>
    </w:p>
    <w:p w14:paraId="30C018A5" w14:textId="77777777" w:rsidR="001666F9" w:rsidRDefault="00000000">
      <w:pPr>
        <w:spacing w:after="160" w:line="360" w:lineRule="auto"/>
      </w:pPr>
      <w:r>
        <w:t>Ein Radio eignet sich aus mehreren Gründen besonders gut, um die Spannungsfelder zwischen Engagement-Optimierung und Nutzerwohl experimentell zu untersuchen.</w:t>
      </w:r>
    </w:p>
    <w:p w14:paraId="547E5046" w14:textId="77777777" w:rsidR="001666F9" w:rsidRDefault="00000000">
      <w:pPr>
        <w:spacing w:after="160" w:line="360" w:lineRule="auto"/>
      </w:pPr>
      <w:r>
        <w:t xml:space="preserve">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w:t>
      </w:r>
      <w:proofErr w:type="spellStart"/>
      <w:r>
        <w:t>Uses</w:t>
      </w:r>
      <w:proofErr w:type="spellEnd"/>
      <w:r>
        <w:t>-and-</w:t>
      </w:r>
      <w:proofErr w:type="spellStart"/>
      <w:r>
        <w:t>Gratifications</w:t>
      </w:r>
      <w:proofErr w:type="spellEnd"/>
      <w:r>
        <w:t xml:space="preserve">-Ansatz unterscheidet (Katz et al., 1973), und es können verschiedene Empfehlungs- und </w:t>
      </w:r>
      <w:proofErr w:type="spellStart"/>
      <w:r>
        <w:t>Kurationsmechanismen</w:t>
      </w:r>
      <w:proofErr w:type="spellEnd"/>
      <w:r>
        <w:t xml:space="preserve"> unter realistischen Bedingungen kombiniert werden.</w:t>
      </w:r>
    </w:p>
    <w:p w14:paraId="0CDA8192" w14:textId="77777777" w:rsidR="001666F9" w:rsidRDefault="00000000">
      <w:pPr>
        <w:spacing w:after="160" w:line="360" w:lineRule="auto"/>
      </w:pPr>
      <w:r>
        <w:t xml:space="preserve">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t>
      </w:r>
      <w:proofErr w:type="spellStart"/>
      <w:r>
        <w:t>wellbeing</w:t>
      </w:r>
      <w:proofErr w:type="spellEnd"/>
      <w:r>
        <w:t>-fördernde Strukturen wie natürliche Pausen, klare Sendungslängen und bewusste Abschlusspunkte zu erproben (Vanden Abeele, 2021; Peters et al., 2018).</w:t>
      </w:r>
    </w:p>
    <w:p w14:paraId="35A98659" w14:textId="77777777" w:rsidR="001666F9" w:rsidRDefault="00000000">
      <w:pPr>
        <w:spacing w:after="160" w:line="360" w:lineRule="auto"/>
      </w:pPr>
      <w:r>
        <w:t>Drittens ist Radio ein begleitendes Medium. Es wird häufig parallel zu anderen Tätigkeiten konsumiert (am Morgen, beim Pendeln, bei der Arbeit) und nimmt damit eine Rolle ein, die sich von aufmerksamkeitsbindenden visuellen Plattformen wesentlich unterscheidet. Diese Nutzungsform ist mit den Zielen von Digital Wellbeing kompatibler als mit denen einer rein visuellen Aufmerksamkeitsökonomie und stellt deshalb einen besonders ehrlichen Prüfstand für nutzerzentrierte Personalisierung dar.</w:t>
      </w:r>
    </w:p>
    <w:p w14:paraId="4393C2AC" w14:textId="77777777" w:rsidR="001666F9" w:rsidRDefault="00000000">
      <w:pPr>
        <w:spacing w:after="160" w:line="360" w:lineRule="auto"/>
      </w:pPr>
      <w:r>
        <w:t xml:space="preserve">Viertens lässt sich an einem vollautomatisierten Radio die gesamte Wertschöpfungskette technisch beherrschen. Die Inhalte werden nicht aus einem geschlossenen Empfehlungssystem eines Drittanbieters bezogen, sondern in einer eigenen Pipeline aus </w:t>
      </w:r>
      <w:r>
        <w:lastRenderedPageBreak/>
        <w:t>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14:paraId="16A01F1F" w14:textId="77777777" w:rsidR="001666F9" w:rsidRDefault="00000000">
      <w:pPr>
        <w:spacing w:after="160" w:line="360" w:lineRule="auto"/>
      </w:pPr>
      <w:r>
        <w:t xml:space="preserve">Fünftens existiert mit dem öffentlich-rechtlichen Radio (SRF, DLF, BBC) ein etabliertes redaktionelles Vergleichsmodell, das sich an Pluralismus und Qualität orientiert. Damit liegt für jede der drei in Abschnitt 2.4 verglichenen Medienlogiken (redaktionell, </w:t>
      </w:r>
      <w:proofErr w:type="spellStart"/>
      <w:r>
        <w:t>engagement</w:t>
      </w:r>
      <w:proofErr w:type="spellEnd"/>
      <w:r>
        <w:t xml:space="preserve">-optimiert, </w:t>
      </w:r>
      <w:proofErr w:type="spellStart"/>
      <w:r>
        <w:t>wellbeing</w:t>
      </w:r>
      <w:proofErr w:type="spellEnd"/>
      <w:r>
        <w:t xml:space="preserve">-orientiert) ein realer oder konstruierter Referenzfall vor, an dem sich das </w:t>
      </w:r>
      <w:proofErr w:type="spellStart"/>
      <w:r>
        <w:t>wellbeing</w:t>
      </w:r>
      <w:proofErr w:type="spellEnd"/>
      <w:r>
        <w:t>-orientierte Modell argumentativ wie empirisch positionieren kann.</w:t>
      </w:r>
    </w:p>
    <w:p w14:paraId="217FF80C" w14:textId="77777777" w:rsidR="001666F9" w:rsidRDefault="00000000">
      <w:pPr>
        <w:spacing w:after="160" w:line="360" w:lineRule="auto"/>
      </w:pPr>
      <w: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14:paraId="455BA433" w14:textId="77777777" w:rsidR="001666F9" w:rsidRDefault="00000000">
      <w:pPr>
        <w:spacing w:after="160" w:line="360" w:lineRule="auto"/>
      </w:pPr>
      <w: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Damit wird ein Mechanismus untersuchbar, den klassische Radios technisch gar nicht bedienen können: Personalisierung als kontextsensitive, nutzerinitiierte Anpassung.</w:t>
      </w:r>
    </w:p>
    <w:p w14:paraId="67B70913" w14:textId="77777777" w:rsidR="001666F9" w:rsidRDefault="00000000">
      <w:pPr>
        <w:spacing w:after="160" w:line="360" w:lineRule="auto"/>
      </w:pPr>
      <w:r>
        <w:t xml:space="preserve">Zum anderen demonstriert ein KI-gestütztes Radio dieselben Technologien, die in kommerziellen Plattformen heute zur Engagement-Optimierung eingesetzt werden, jedoch konsequent mit umgekehrter Zielfunktion: nicht Verweildauer und Klickrate, sondern Autonomie, Transparenz und subjektives Wohlbefinden. Genau diese Umkehrung der Optimierungsfunktion bei sonst vergleichbarem Technologie-Stack ist die methodische Pointe der Arbeit. Sie erlaubt es, zu zeigen, dass die problematischen Effekte </w:t>
      </w:r>
      <w:proofErr w:type="spellStart"/>
      <w:r>
        <w:t>engagement</w:t>
      </w:r>
      <w:proofErr w:type="spellEnd"/>
      <w:r>
        <w:t>-optimierter Systeme nicht in der zugrundeliegenden Technologie selbst, sondern in deren Zielsetzung begründet liegen.</w:t>
      </w:r>
    </w:p>
    <w:p w14:paraId="73E401DB" w14:textId="77777777" w:rsidR="001666F9" w:rsidRDefault="00000000">
      <w:pPr>
        <w:spacing w:after="160" w:line="360" w:lineRule="auto"/>
      </w:pPr>
      <w:r>
        <w:t xml:space="preserve">Schliesslich ist ein Radio als Forschungsartefakt mit überschaubarem Aufwand realisierbar und gleichzeitig reichhaltig genug, um die zentralen Designentscheidungen einer </w:t>
      </w:r>
      <w:proofErr w:type="spellStart"/>
      <w:r>
        <w:t>wellbeing</w:t>
      </w:r>
      <w:proofErr w:type="spellEnd"/>
      <w:r>
        <w:t>-orientierten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14:paraId="0D28143D" w14:textId="77777777" w:rsidR="001666F9" w:rsidRDefault="00000000">
      <w:pPr>
        <w:pStyle w:val="berschrift2"/>
      </w:pPr>
      <w:proofErr w:type="gramStart"/>
      <w:r>
        <w:lastRenderedPageBreak/>
        <w:t>3.3  Was</w:t>
      </w:r>
      <w:proofErr w:type="gramEnd"/>
      <w:r>
        <w:t xml:space="preserve"> an Radio 25 konkret umgesetzt wird</w:t>
      </w:r>
    </w:p>
    <w:p w14:paraId="559D2E5E" w14:textId="77777777" w:rsidR="001666F9" w:rsidRDefault="00000000">
      <w:pPr>
        <w:spacing w:after="160" w:line="360" w:lineRule="auto"/>
      </w:pPr>
      <w:r>
        <w:t xml:space="preserve">Radio 25 ist als prototypischer Demonstrator konzipiert, der die in Kapitel 2 beschriebenen Mechanismen exemplarisch in einer </w:t>
      </w:r>
      <w:proofErr w:type="spellStart"/>
      <w:r>
        <w:t>wellbeing</w:t>
      </w:r>
      <w:proofErr w:type="spellEnd"/>
      <w:r>
        <w:t>-orientierten Variante zeigt. Die folgenden Bausteine werden umgesetzt.</w:t>
      </w:r>
    </w:p>
    <w:p w14:paraId="0A08AD8F" w14:textId="77777777" w:rsidR="001666F9" w:rsidRDefault="00000000">
      <w:pPr>
        <w:pStyle w:val="berschrift3"/>
      </w:pPr>
      <w:proofErr w:type="gramStart"/>
      <w:r>
        <w:t>3.3.1  Explizite</w:t>
      </w:r>
      <w:proofErr w:type="gramEnd"/>
      <w:r>
        <w:t xml:space="preserve"> Präferenzangaben und Profilkonstruktion</w:t>
      </w:r>
    </w:p>
    <w:p w14:paraId="09F6FF86" w14:textId="77777777" w:rsidR="001666F9" w:rsidRDefault="00000000">
      <w:pPr>
        <w:spacing w:after="160" w:line="360" w:lineRule="auto"/>
      </w:pPr>
      <w:r>
        <w:t>Die Hörerinnen und Hörer geben ihre Interessen, ihren Standort und einen Moderationsstil aktiv und nachvollziehbar an. Anders als bei Plattformen, die Profile primär aus implizitem Verhalten lernen, bleibt das Profil bei Radio 25 transparent, einsehbar und jederzeit veränderbar. Damit wird die Anforderung an algorithmische Souveränität (</w:t>
      </w:r>
      <w:proofErr w:type="spellStart"/>
      <w:r>
        <w:t>Reviglio</w:t>
      </w:r>
      <w:proofErr w:type="spellEnd"/>
      <w:r>
        <w:t xml:space="preserve"> &amp; Agosti, 2020) konkret operationalisierbar, ohne die Nutzenden mit einem aufwendigen Konfigurationsritual zu überfordern.</w:t>
      </w:r>
    </w:p>
    <w:p w14:paraId="63B57079" w14:textId="77777777" w:rsidR="001666F9" w:rsidRDefault="00000000">
      <w:pPr>
        <w:pStyle w:val="berschrift3"/>
      </w:pPr>
      <w:proofErr w:type="gramStart"/>
      <w:r>
        <w:t>3.3.2  Vollautomatisierte</w:t>
      </w:r>
      <w:proofErr w:type="gramEnd"/>
      <w:r>
        <w:t xml:space="preserve"> Sendungspipeline</w:t>
      </w:r>
    </w:p>
    <w:p w14:paraId="42A8C605" w14:textId="77777777" w:rsidR="001666F9" w:rsidRDefault="00000000">
      <w:pPr>
        <w:spacing w:after="160" w:line="360" w:lineRule="auto"/>
      </w:pPr>
      <w: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14:paraId="5FC19584" w14:textId="77777777" w:rsidR="001666F9" w:rsidRDefault="00000000">
      <w:pPr>
        <w:pStyle w:val="berschrift3"/>
      </w:pPr>
      <w:proofErr w:type="gramStart"/>
      <w:r>
        <w:t xml:space="preserve">3.3.3  </w:t>
      </w:r>
      <w:proofErr w:type="spellStart"/>
      <w:r>
        <w:t>Kuratierungs</w:t>
      </w:r>
      <w:proofErr w:type="spellEnd"/>
      <w:proofErr w:type="gramEnd"/>
      <w:r>
        <w:t>- und Empfehlungslogik mit alternativem Zielwert</w:t>
      </w:r>
    </w:p>
    <w:p w14:paraId="2091D1C8" w14:textId="77777777" w:rsidR="001666F9" w:rsidRDefault="00000000">
      <w:pPr>
        <w:spacing w:after="160" w:line="360" w:lineRule="auto"/>
      </w:pPr>
      <w:r>
        <w:t xml:space="preserve">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Damit werden die in Abschnitt 2.2.3 beschriebenen Empfehlungsparadigmen (Ricci et al., 2015) auf eine </w:t>
      </w:r>
      <w:proofErr w:type="spellStart"/>
      <w:r>
        <w:t>wellbeing</w:t>
      </w:r>
      <w:proofErr w:type="spellEnd"/>
      <w:r>
        <w:t>-orientierte Zielfunktion umgestellt, wie sie Milano et al. (2020) und Peters et al. (2020) als notwendig erachten.</w:t>
      </w:r>
    </w:p>
    <w:p w14:paraId="15299D8E" w14:textId="77777777" w:rsidR="001666F9" w:rsidRDefault="00000000">
      <w:pPr>
        <w:pStyle w:val="berschrift3"/>
      </w:pPr>
      <w:proofErr w:type="gramStart"/>
      <w:r>
        <w:t>3.3.4  Definierte</w:t>
      </w:r>
      <w:proofErr w:type="gramEnd"/>
      <w:r>
        <w:t xml:space="preserve"> </w:t>
      </w:r>
      <w:proofErr w:type="spellStart"/>
      <w:r>
        <w:t>Sessiongestaltung</w:t>
      </w:r>
      <w:proofErr w:type="spellEnd"/>
      <w:r>
        <w:t xml:space="preserve"> statt endlosem Strom</w:t>
      </w:r>
    </w:p>
    <w:p w14:paraId="788E1764" w14:textId="77777777" w:rsidR="001666F9" w:rsidRDefault="00000000">
      <w:pPr>
        <w:spacing w:after="160" w:line="360" w:lineRule="auto"/>
      </w:pPr>
      <w: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14:paraId="7E244A1D" w14:textId="77777777" w:rsidR="001666F9" w:rsidRDefault="00000000">
      <w:pPr>
        <w:pStyle w:val="berschrift3"/>
      </w:pPr>
      <w:proofErr w:type="gramStart"/>
      <w:r>
        <w:lastRenderedPageBreak/>
        <w:t>3.3.5  Transparenz</w:t>
      </w:r>
      <w:proofErr w:type="gramEnd"/>
      <w:r>
        <w:t xml:space="preserve"> über Quellen, Logik und Personalisierung</w:t>
      </w:r>
    </w:p>
    <w:p w14:paraId="513C453A" w14:textId="77777777" w:rsidR="001666F9" w:rsidRDefault="00000000">
      <w:pPr>
        <w:spacing w:after="160" w:line="360" w:lineRule="auto"/>
      </w:pPr>
      <w:r>
        <w:t>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Souveränität (</w:t>
      </w:r>
      <w:proofErr w:type="spellStart"/>
      <w:r>
        <w:t>Reviglio</w:t>
      </w:r>
      <w:proofErr w:type="spellEnd"/>
      <w:r>
        <w:t xml:space="preserve"> &amp; Agosti, 2020) in einer für die Nutzenden zugänglichen Form operationalisiert.</w:t>
      </w:r>
    </w:p>
    <w:p w14:paraId="1038A44E" w14:textId="77777777" w:rsidR="001666F9" w:rsidRDefault="00000000">
      <w:pPr>
        <w:pStyle w:val="berschrift2"/>
      </w:pPr>
      <w:proofErr w:type="gramStart"/>
      <w:r>
        <w:t>3.4  Welche</w:t>
      </w:r>
      <w:proofErr w:type="gramEnd"/>
      <w:r>
        <w:t xml:space="preserve"> Mechanismen am Radio untersucht und verbessert werden</w:t>
      </w:r>
    </w:p>
    <w:p w14:paraId="6803FCD4" w14:textId="77777777" w:rsidR="001666F9" w:rsidRDefault="00000000">
      <w:pPr>
        <w:spacing w:after="160" w:line="360" w:lineRule="auto"/>
      </w:pPr>
      <w:r>
        <w:t xml:space="preserve">Aus den Bausteinen ergeben sich die Mechanismen, an denen die Arbeit experimentell ansetzt. Sie korrespondieren mit den in Abschnitt 2.3 beschriebenen Mechanismen aktueller Medienangebote und werden im </w:t>
      </w:r>
      <w:proofErr w:type="spellStart"/>
      <w:r>
        <w:t>wellbeing</w:t>
      </w:r>
      <w:proofErr w:type="spellEnd"/>
      <w:r>
        <w:t xml:space="preserve">-orientierten Modell systematisch </w:t>
      </w:r>
      <w:proofErr w:type="spellStart"/>
      <w:r>
        <w:t>umakzentuiert</w:t>
      </w:r>
      <w:proofErr w:type="spellEnd"/>
      <w:r>
        <w:t>.</w:t>
      </w:r>
    </w:p>
    <w:p w14:paraId="7C074F91" w14:textId="77777777" w:rsidR="001666F9" w:rsidRDefault="00000000">
      <w:pPr>
        <w:pStyle w:val="Listenabsatz"/>
        <w:numPr>
          <w:ilvl w:val="0"/>
          <w:numId w:val="2"/>
        </w:numPr>
        <w:spacing w:after="80" w:line="360" w:lineRule="auto"/>
      </w:pPr>
      <w:r>
        <w:t>Profil- und Präferenzbildung: Wie wirkt sich ein explizit deklariertes Profil im Vergleich zu impliziter Verhaltensanalyse auf das wahrgenommene Autonomie- und Kompetenzerleben aus (Ryan &amp; Deci, 2000; Peters et al., 2018)?</w:t>
      </w:r>
    </w:p>
    <w:p w14:paraId="3F8465DC" w14:textId="77777777" w:rsidR="001666F9" w:rsidRDefault="00000000">
      <w:pPr>
        <w:pStyle w:val="Listenabsatz"/>
        <w:numPr>
          <w:ilvl w:val="0"/>
          <w:numId w:val="2"/>
        </w:numPr>
        <w:spacing w:after="80" w:line="360" w:lineRule="auto"/>
      </w:pPr>
      <w:r>
        <w:t xml:space="preserve">Personalisierte </w:t>
      </w:r>
      <w:proofErr w:type="spellStart"/>
      <w:r>
        <w:t>Kuratierung</w:t>
      </w:r>
      <w:proofErr w:type="spellEnd"/>
      <w:r>
        <w:t xml:space="preserve"> mit alternativer Zielfunktion: Welche Effekte hat eine auf Vielfalt, Tageskontext und Selbstbestimmung optimierte Auswahl gegenüber einer </w:t>
      </w:r>
      <w:proofErr w:type="spellStart"/>
      <w:r>
        <w:t>engagement</w:t>
      </w:r>
      <w:proofErr w:type="spellEnd"/>
      <w:r>
        <w:t>-optimierten Empfehlungslogik (Nguyen et al., 2014; Milano et al., 2020)?</w:t>
      </w:r>
    </w:p>
    <w:p w14:paraId="5544903F" w14:textId="77777777" w:rsidR="001666F9" w:rsidRDefault="00000000">
      <w:pPr>
        <w:pStyle w:val="Listenabsatz"/>
        <w:numPr>
          <w:ilvl w:val="0"/>
          <w:numId w:val="2"/>
        </w:numPr>
        <w:spacing w:after="80" w:line="360" w:lineRule="auto"/>
      </w:pPr>
      <w:proofErr w:type="spellStart"/>
      <w:r>
        <w:t>Sessiongestaltung</w:t>
      </w:r>
      <w:proofErr w:type="spellEnd"/>
      <w:r>
        <w:t>: Wie wirken eine definierte Sendungslänge und ein bewusst gesetzter Abschluss im Vergleich zu endlosen Strömen auf die subjektive Zufriedenheit, das Zeitempfinden und die Nutzungskontrolle (Vanden Abeele, 2021; Montag et al., 2019)?</w:t>
      </w:r>
    </w:p>
    <w:p w14:paraId="425EAD3C" w14:textId="77777777" w:rsidR="001666F9" w:rsidRDefault="00000000">
      <w:pPr>
        <w:pStyle w:val="Listenabsatz"/>
        <w:numPr>
          <w:ilvl w:val="0"/>
          <w:numId w:val="2"/>
        </w:numPr>
        <w:spacing w:after="80" w:line="360" w:lineRule="auto"/>
      </w:pPr>
      <w:r>
        <w:t>Transparenz der Algorithmik: Wie verändert eine offengelegte Personalisierungslogik das Vertrauen, die wahrgenommene Fairness und die Bereitschaft zur weiteren Nutzung (</w:t>
      </w:r>
      <w:proofErr w:type="spellStart"/>
      <w:r>
        <w:t>Reviglio</w:t>
      </w:r>
      <w:proofErr w:type="spellEnd"/>
      <w:r>
        <w:t xml:space="preserve"> &amp; Agosti, 2020; Milano et al., 2020)?</w:t>
      </w:r>
    </w:p>
    <w:p w14:paraId="4528A34C" w14:textId="77777777" w:rsidR="001666F9" w:rsidRDefault="00000000">
      <w:pPr>
        <w:pStyle w:val="Listenabsatz"/>
        <w:numPr>
          <w:ilvl w:val="0"/>
          <w:numId w:val="2"/>
        </w:numPr>
        <w:spacing w:after="80" w:line="360" w:lineRule="auto"/>
      </w:pPr>
      <w:r>
        <w:t xml:space="preserve">Persuasive Designmuster: Welche der in Abschnitt 1.3 katalogisierten Muster (Push-Benachrichtigungen, variable Belohnungen, Autoplay) entfallen in einem </w:t>
      </w:r>
      <w:proofErr w:type="spellStart"/>
      <w:r>
        <w:t>wellbeing</w:t>
      </w:r>
      <w:proofErr w:type="spellEnd"/>
      <w:r>
        <w:t>-orientierten Format, und welche nicht-manipulativen Alternativen lassen sich durch Digital Nudging (Weinmann et al., 2016) im Sinne der Nutzenden umsetzen?</w:t>
      </w:r>
    </w:p>
    <w:p w14:paraId="430D85E8" w14:textId="77777777" w:rsidR="001666F9" w:rsidRDefault="00000000">
      <w:pPr>
        <w:pStyle w:val="Listenabsatz"/>
        <w:numPr>
          <w:ilvl w:val="0"/>
          <w:numId w:val="2"/>
        </w:numPr>
        <w:spacing w:after="80" w:line="360" w:lineRule="auto"/>
      </w:pPr>
      <w:r>
        <w:t xml:space="preserve">Gebrauchstauglichkeit und Akzeptanz: Wie schneidet ein </w:t>
      </w:r>
      <w:proofErr w:type="spellStart"/>
      <w:r>
        <w:t>wellbeing</w:t>
      </w:r>
      <w:proofErr w:type="spellEnd"/>
      <w:r>
        <w:t>-orientiertes Radio im System Usability Scale (Brooke, 1996; Bangor et al., 2008) und in der subjektiven Akzeptanz im Vergleich zu vertrauten Plattformen ab?</w:t>
      </w:r>
    </w:p>
    <w:p w14:paraId="78D6F350" w14:textId="77777777" w:rsidR="001666F9" w:rsidRDefault="00000000">
      <w:pPr>
        <w:pStyle w:val="berschrift2"/>
      </w:pPr>
      <w:proofErr w:type="gramStart"/>
      <w:r>
        <w:t>3.5  Abgrenzung</w:t>
      </w:r>
      <w:proofErr w:type="gramEnd"/>
      <w:r>
        <w:t xml:space="preserve"> des Untersuchungsumfangs</w:t>
      </w:r>
    </w:p>
    <w:p w14:paraId="694142B0" w14:textId="77777777" w:rsidR="001666F9" w:rsidRDefault="00000000">
      <w:pPr>
        <w:spacing w:after="160" w:line="360" w:lineRule="auto"/>
      </w:pPr>
      <w:r>
        <w:lastRenderedPageBreak/>
        <w:t xml:space="preserve">Radio 25 versteht sich als Konzeptstudie, nicht als marktreifes Produkt. Die Pipeline wird </w:t>
      </w:r>
      <w:proofErr w:type="gramStart"/>
      <w:r>
        <w:t>soweit</w:t>
      </w:r>
      <w:proofErr w:type="gramEnd"/>
      <w:r>
        <w:t xml:space="preserve"> umgesetzt, wie es für eine konsistente Hörerfahrung und eine aussagekräftige Nutzerstudie mit einer kleinen Probandengruppe erforderlich ist. Aspekte, die für eine Skalierung relevant wären (Authentifizierung, Datenhaltung in einer Datenbank, redaktionelle Qualitätssicherung im grossen Massstab, Werbe- und Lizenzfragen), werden bewusst ausgeklammert und im Ausblick der Arbeit eingeordnet. Die folgenden Kapitel entwickeln auf dieser Grundlage die konkrete Forschungsfrage, das Untersuchungsdesign und den Aufbau der Evaluation.</w:t>
      </w:r>
    </w:p>
    <w:p w14:paraId="07A8593F" w14:textId="77777777" w:rsidR="001666F9" w:rsidRDefault="00000000">
      <w:pPr>
        <w:pStyle w:val="berschrift1"/>
        <w:pageBreakBefore/>
      </w:pPr>
      <w:proofErr w:type="gramStart"/>
      <w:r>
        <w:lastRenderedPageBreak/>
        <w:t>4  Forschungsfrage</w:t>
      </w:r>
      <w:proofErr w:type="gramEnd"/>
      <w:r>
        <w:t xml:space="preserve"> und Zielsetzung</w:t>
      </w:r>
    </w:p>
    <w:p w14:paraId="60746A4D" w14:textId="77777777" w:rsidR="001666F9" w:rsidRDefault="00000000">
      <w:pPr>
        <w:spacing w:after="160" w:line="360" w:lineRule="auto"/>
      </w:pPr>
      <w:r>
        <w:t xml:space="preserve">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w:t>
      </w:r>
      <w:proofErr w:type="gramStart"/>
      <w:r>
        <w:t>eines Goal</w:t>
      </w:r>
      <w:proofErr w:type="gramEnd"/>
      <w:r>
        <w:t>/</w:t>
      </w:r>
      <w:proofErr w:type="spellStart"/>
      <w:r>
        <w:t>Objective</w:t>
      </w:r>
      <w:proofErr w:type="spellEnd"/>
      <w:r>
        <w:t>-Paares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14:paraId="6D1EF073" w14:textId="77777777" w:rsidR="001666F9" w:rsidRDefault="00000000">
      <w:pPr>
        <w:pStyle w:val="berschrift2"/>
      </w:pPr>
      <w:proofErr w:type="gramStart"/>
      <w:r>
        <w:t>4.1  Forschungsfrage</w:t>
      </w:r>
      <w:proofErr w:type="gramEnd"/>
    </w:p>
    <w:p w14:paraId="56FB5BDE" w14:textId="77777777" w:rsidR="001666F9" w:rsidRDefault="00000000">
      <w:pPr>
        <w:spacing w:after="160" w:line="360" w:lineRule="auto"/>
      </w:pPr>
      <w: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14:paraId="040049AA" w14:textId="77777777" w:rsidR="001666F9" w:rsidRDefault="00000000">
      <w:pPr>
        <w:spacing w:after="160" w:line="360" w:lineRule="auto"/>
        <w:ind w:left="567" w:right="567"/>
        <w:jc w:val="center"/>
      </w:pPr>
      <w:r>
        <w:rPr>
          <w:i/>
          <w:iCs/>
        </w:rPr>
        <w:t>«Wie können Nutzerinnen und Nutzer ihre individuellen Präferenzen bei einem digitalen Medienangebot so angeben, dass das Ergebnis ihre Bedürfnisse optimal erfüllt und gleichzeitig ihr Wohlbefinden fördert?»</w:t>
      </w:r>
    </w:p>
    <w:p w14:paraId="1A16B575" w14:textId="77777777" w:rsidR="001666F9" w:rsidRDefault="00000000">
      <w:pPr>
        <w:spacing w:after="160" w:line="360" w:lineRule="auto"/>
      </w:pPr>
      <w:r>
        <w:t>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(Vanden Abeele, 2021; Peters et al., 2018) messen lassen. Drittens wird die Frage methodisch über ein konkretes, lauffähiges Artefakt beantwortet, an dem sich die genannten Mechanismen sichtbar und beobachtbar machen lassen.</w:t>
      </w:r>
    </w:p>
    <w:p w14:paraId="743C13E8" w14:textId="77777777" w:rsidR="001666F9" w:rsidRDefault="00000000">
      <w:pPr>
        <w:spacing w:after="160" w:line="360" w:lineRule="auto"/>
      </w:pPr>
      <w:r>
        <w:t xml:space="preserve">Die Beantwortung erfolgt durch die Entwicklung und Evaluation eines vollautomatisierten, KI-gestützten Radios (Radio 25), an dem sich die Wirkung expliziter Präferenzangabe, transparenter Personalisierungslogik und definierter </w:t>
      </w:r>
      <w:proofErr w:type="spellStart"/>
      <w:r>
        <w:t>Sessiongestaltung</w:t>
      </w:r>
      <w:proofErr w:type="spellEnd"/>
      <w:r>
        <w:t xml:space="preserve"> in einem einwöchigen Pilottest mit Nutzenden empirisch beobachten lässt. Das methodische Vorgehen wird in Kapitel 5 ausführlich entfaltet.</w:t>
      </w:r>
    </w:p>
    <w:p w14:paraId="3FD49348" w14:textId="77777777" w:rsidR="001666F9" w:rsidRDefault="00000000">
      <w:pPr>
        <w:pStyle w:val="berschrift2"/>
      </w:pPr>
      <w:proofErr w:type="gramStart"/>
      <w:r>
        <w:t>4.2  Teilfragen</w:t>
      </w:r>
      <w:proofErr w:type="gramEnd"/>
    </w:p>
    <w:p w14:paraId="59230F7D" w14:textId="77777777" w:rsidR="001666F9" w:rsidRDefault="00000000">
      <w:pPr>
        <w:spacing w:after="160" w:line="360" w:lineRule="auto"/>
      </w:pPr>
      <w:r>
        <w:lastRenderedPageBreak/>
        <w:t xml:space="preserve">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w:t>
      </w:r>
      <w:proofErr w:type="spellStart"/>
      <w:r>
        <w:t>Sessiongestaltung</w:t>
      </w:r>
      <w:proofErr w:type="spellEnd"/>
      <w:r>
        <w:t xml:space="preserve"> und Transparenz ab.</w:t>
      </w:r>
    </w:p>
    <w:p w14:paraId="3116228D" w14:textId="77777777" w:rsidR="001666F9" w:rsidRDefault="00000000">
      <w:pPr>
        <w:pStyle w:val="Listenabsatz"/>
        <w:numPr>
          <w:ilvl w:val="0"/>
          <w:numId w:val="2"/>
        </w:numPr>
        <w:spacing w:after="80" w:line="360" w:lineRule="auto"/>
      </w:pPr>
      <w:r>
        <w:t>T1 – Präferenzbildung und Autonomie: Wie wirkt eine explizite, transparente Profilkonfiguration auf das von den Nutzenden berichtete Autonomie- und Kompetenzerleben im Sinne der Self-Determination Theory (Ryan &amp; Deci, 2000; Peters et al., 2018)?</w:t>
      </w:r>
    </w:p>
    <w:p w14:paraId="39384387" w14:textId="77777777" w:rsidR="001666F9" w:rsidRDefault="00000000">
      <w:pPr>
        <w:pStyle w:val="Listenabsatz"/>
        <w:numPr>
          <w:ilvl w:val="0"/>
          <w:numId w:val="2"/>
        </w:numPr>
        <w:spacing w:after="80" w:line="360" w:lineRule="auto"/>
      </w:pPr>
      <w:r>
        <w:t xml:space="preserve">T2 – Inhaltsdiversität und Bedürfnisgerechtigkeit: In welchem Mass werden eine bewusst diversifizierte Inhaltsauswahl und eine am Tageskontext orientierte Reihenfolge gegenüber einer </w:t>
      </w:r>
      <w:proofErr w:type="spellStart"/>
      <w:r>
        <w:t>engagement</w:t>
      </w:r>
      <w:proofErr w:type="spellEnd"/>
      <w:r>
        <w:t>-optimierten Logik als bedürfnisgerecht und qualitativ angemessen erlebt (Nguyen et al., 2014; Milano et al., 2020)?</w:t>
      </w:r>
    </w:p>
    <w:p w14:paraId="3E8376BF" w14:textId="77777777" w:rsidR="001666F9" w:rsidRDefault="00000000">
      <w:pPr>
        <w:pStyle w:val="Listenabsatz"/>
        <w:numPr>
          <w:ilvl w:val="0"/>
          <w:numId w:val="2"/>
        </w:numPr>
        <w:spacing w:after="80" w:line="360" w:lineRule="auto"/>
      </w:pPr>
      <w:r>
        <w:t xml:space="preserve">T3 – </w:t>
      </w:r>
      <w:proofErr w:type="spellStart"/>
      <w:r>
        <w:t>Sessiongestaltung</w:t>
      </w:r>
      <w:proofErr w:type="spellEnd"/>
      <w:r>
        <w:t xml:space="preserve"> und Nutzungskontrolle: Wie wirken eine definierte Sendungslänge und ein bewusst gesetzter Sendungsabschluss auf die subjektive Zufriedenheit, das Zeitempfinden und die wahrgenommene Kontrolle über die eigene Mediennutzung (Vanden Abeele, 2021; Montag et al., 2019)?</w:t>
      </w:r>
    </w:p>
    <w:p w14:paraId="546F5C05" w14:textId="77777777" w:rsidR="001666F9" w:rsidRDefault="00000000">
      <w:pPr>
        <w:pStyle w:val="Listenabsatz"/>
        <w:numPr>
          <w:ilvl w:val="0"/>
          <w:numId w:val="2"/>
        </w:numPr>
        <w:spacing w:after="80" w:line="360" w:lineRule="auto"/>
      </w:pPr>
      <w:r>
        <w:t xml:space="preserve">T4 – Transparenz und Akzeptanz: Wie verändert eine offengelegte Personalisierungslogik die wahrgenommene Fairness, das Vertrauen und die Gebrauchstauglichkeit, gemessen unter anderem über den System Usability Scale (Brooke, 1996; Bangor et al., 2008; </w:t>
      </w:r>
      <w:proofErr w:type="spellStart"/>
      <w:r>
        <w:t>Reviglio</w:t>
      </w:r>
      <w:proofErr w:type="spellEnd"/>
      <w:r>
        <w:t xml:space="preserve"> &amp; Agosti, 2020)?</w:t>
      </w:r>
    </w:p>
    <w:p w14:paraId="4F2A1577" w14:textId="77777777" w:rsidR="001666F9" w:rsidRDefault="00000000">
      <w:pPr>
        <w:spacing w:after="160" w:line="360" w:lineRule="auto"/>
      </w:pPr>
      <w:r>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 die Pilotstudie ist auf qualitative und deskriptive Erkenntnisgewinnung mit einer kleinen Probandengruppe ausgelegt (vgl. Abschnitte 5.4 und 5.5).</w:t>
      </w:r>
    </w:p>
    <w:p w14:paraId="1C86546B" w14:textId="77777777" w:rsidR="001666F9" w:rsidRDefault="00000000">
      <w:pPr>
        <w:pStyle w:val="berschrift2"/>
      </w:pPr>
      <w:proofErr w:type="gramStart"/>
      <w:r>
        <w:t>4.3  Goal</w:t>
      </w:r>
      <w:proofErr w:type="gramEnd"/>
      <w:r>
        <w:t xml:space="preserve"> und </w:t>
      </w:r>
      <w:proofErr w:type="spellStart"/>
      <w:r>
        <w:t>Objective</w:t>
      </w:r>
      <w:proofErr w:type="spellEnd"/>
    </w:p>
    <w:p w14:paraId="68614CB5" w14:textId="77777777" w:rsidR="001666F9" w:rsidRDefault="00000000">
      <w:pPr>
        <w:spacing w:after="160" w:line="360" w:lineRule="auto"/>
      </w:pPr>
      <w:r>
        <w:t xml:space="preserve">In der Diktion des Design-Science-Ansatzes (Hevner et al., 2004; Peffers et al., 2007) lassen sich Ziel und Vorhaben dieser Arbeit auf zwei Ebenen formulieren: ein übergeordnetes Goal, das den angestrebten Beitrag im Anwendungsfeld beschreibt, und ein konkretes </w:t>
      </w:r>
      <w:proofErr w:type="spellStart"/>
      <w:r>
        <w:t>Objective</w:t>
      </w:r>
      <w:proofErr w:type="spellEnd"/>
      <w:r>
        <w:t>, das den im Rahmen dieser Arbeit zu liefernden Ergebnisstand definiert.</w:t>
      </w:r>
    </w:p>
    <w:p w14:paraId="77C8B2A9" w14:textId="77777777" w:rsidR="001666F9" w:rsidRDefault="00000000">
      <w:pPr>
        <w:spacing w:after="160" w:line="360" w:lineRule="auto"/>
      </w:pPr>
      <w:r>
        <w:rPr>
          <w:b/>
          <w:bCs/>
        </w:rPr>
        <w:lastRenderedPageBreak/>
        <w:t xml:space="preserve">Goal. </w:t>
      </w:r>
      <w:r>
        <w:t xml:space="preserve">Anhand eines vollautomatisierten Radios soll demonstriert werden, wie algorithmische Personalisierung so gestaltet werden kann, dass sie das Digital Wellbeing der Nutzenden </w:t>
      </w:r>
      <w:proofErr w:type="gramStart"/>
      <w:r>
        <w:t>fördert</w:t>
      </w:r>
      <w:proofErr w:type="gramEnd"/>
      <w:r>
        <w:t xml:space="preserve"> statt es zu untergraben. Das Artefakt dient damit als konkreter Gegenentwurf zu den </w:t>
      </w:r>
      <w:proofErr w:type="spellStart"/>
      <w:r>
        <w:t>engagement</w:t>
      </w:r>
      <w:proofErr w:type="spellEnd"/>
      <w:r>
        <w:t>-optimierten Empfehlungssystemen heutiger Plattformen und macht die in Kapitel 2 entwickelten Beurteilungsgrundlagen in einem lauffähigen System sicht- und prüfbar.</w:t>
      </w:r>
    </w:p>
    <w:p w14:paraId="697B07B6" w14:textId="77777777" w:rsidR="001666F9" w:rsidRDefault="00000000">
      <w:pPr>
        <w:spacing w:after="160" w:line="360" w:lineRule="auto"/>
      </w:pPr>
      <w:proofErr w:type="spellStart"/>
      <w:r>
        <w:rPr>
          <w:b/>
          <w:bCs/>
        </w:rPr>
        <w:t>Objective</w:t>
      </w:r>
      <w:proofErr w:type="spellEnd"/>
      <w:r>
        <w:rPr>
          <w:b/>
          <w:bCs/>
        </w:rPr>
        <w:t xml:space="preserve">. </w:t>
      </w:r>
      <w:r>
        <w:t xml:space="preserve">Im Rahmen dieser Arbeit wird ein funktionsfähiger Demonstrator entwickelt, der die Prinzipien der nutzerzentrierten Personalisierung – explizite Präferenzangabe, transparente Empfehlungslogik, bewusste Inhaltsdiversität und definierte </w:t>
      </w:r>
      <w:proofErr w:type="spellStart"/>
      <w:r>
        <w:t>Sessiongestaltung</w:t>
      </w:r>
      <w:proofErr w:type="spellEnd"/>
      <w:r>
        <w:t xml:space="preserve"> – in einem Ende-zu-Ende-System umsetzt. Das System integriert externe Datenquellen (RSS-Feeds, Wetter-API), eine LLM-basierte Textgenerierung, eine Sprachsynthese und eine Webapplikation zu einer durchgängigen Sendungsproduktion und stellt das Ergebnis einem einwöchigen Pilottest mit einer kleinen Probandengruppe zur Verfügung.</w:t>
      </w:r>
    </w:p>
    <w:p w14:paraId="2FE3B6F2" w14:textId="77777777" w:rsidR="001666F9" w:rsidRDefault="00000000">
      <w:pPr>
        <w:spacing w:after="160" w:line="360" w:lineRule="auto"/>
      </w:pPr>
      <w:r>
        <w:t xml:space="preserve">Aus Goal und </w:t>
      </w:r>
      <w:proofErr w:type="spellStart"/>
      <w:r>
        <w:t>Objective</w:t>
      </w:r>
      <w:proofErr w:type="spellEnd"/>
      <w:r>
        <w:t xml:space="preserve"> leiten sich die Erfolgskriterien der Arbeit ab, die in Abschnitt 8.4 operationalisiert werden.</w:t>
      </w:r>
    </w:p>
    <w:p w14:paraId="4DEE35FC" w14:textId="77777777" w:rsidR="001666F9" w:rsidRDefault="00000000">
      <w:pPr>
        <w:pStyle w:val="berschrift2"/>
      </w:pPr>
      <w:proofErr w:type="gramStart"/>
      <w:r>
        <w:t>4.4  Nutzen</w:t>
      </w:r>
      <w:proofErr w:type="gramEnd"/>
    </w:p>
    <w:p w14:paraId="16D01AD5" w14:textId="77777777" w:rsidR="001666F9" w:rsidRDefault="00000000">
      <w:pPr>
        <w:spacing w:after="160" w:line="360" w:lineRule="auto"/>
      </w:pPr>
      <w:r>
        <w:t xml:space="preserve">Endnutzende erhalten ein personalisiertes Radioerlebnis, dessen Ausrichtung explizit am Wohlbefinden orientiert ist. Anders als bei </w:t>
      </w:r>
      <w:proofErr w:type="spellStart"/>
      <w:r>
        <w:t>engagement</w:t>
      </w:r>
      <w:proofErr w:type="spellEnd"/>
      <w:r>
        <w: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w:t>
      </w:r>
      <w:proofErr w:type="spellStart"/>
      <w:r>
        <w:t>Reviglio</w:t>
      </w:r>
      <w:proofErr w:type="spellEnd"/>
      <w:r>
        <w:t xml:space="preserve"> &amp; Agosti, 2020) im Alltag erfahrbar. Damit bietet das Artefakt ein Erlebnis, das in der heutigen Medienlandschaft als integriertes, durchgängig </w:t>
      </w:r>
      <w:proofErr w:type="spellStart"/>
      <w:r>
        <w:t>wellbeing</w:t>
      </w:r>
      <w:proofErr w:type="spellEnd"/>
      <w:r>
        <w:t>-orientiertes Format kaum verfügbar ist.</w:t>
      </w:r>
    </w:p>
    <w:p w14:paraId="0C1CF6DB" w14:textId="77777777" w:rsidR="001666F9" w:rsidRDefault="00000000">
      <w:pPr>
        <w:spacing w:after="160" w:line="360" w:lineRule="auto"/>
      </w:pPr>
      <w:r>
        <w:t>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(Vanden Abeele, 2021; Burr et al., 2020; Peters et al., 2020) und algorithmischer Souveränität (</w:t>
      </w:r>
      <w:proofErr w:type="spellStart"/>
      <w:r>
        <w:t>Reviglio</w:t>
      </w:r>
      <w:proofErr w:type="spellEnd"/>
      <w:r>
        <w:t xml:space="preserve"> &amp; Agosti, 2020) integriert beobachten lassen – ein Setting, das in der bisherigen Literatur überwiegend konzeptionell, aber nur selten in einem konsistent gebauten System adressiert wird (vgl. Abschnitt 2.5). Der Pilottest erzeugt darüber hinaus erste empirische Hinweise auf die Nutzerakzeptanz </w:t>
      </w:r>
      <w:proofErr w:type="spellStart"/>
      <w:r>
        <w:lastRenderedPageBreak/>
        <w:t>wellbeing</w:t>
      </w:r>
      <w:proofErr w:type="spellEnd"/>
      <w:r>
        <w:t>-orientierter Personalisierung und liefert eine methodische Vorlage, an der sich grössere Folgestudien orientieren können.</w:t>
      </w:r>
    </w:p>
    <w:p w14:paraId="2AAAE234" w14:textId="77777777" w:rsidR="001666F9" w:rsidRDefault="00000000">
      <w:pPr>
        <w:spacing w:after="160" w:line="360" w:lineRule="auto"/>
      </w:pPr>
      <w:r>
        <w:t xml:space="preserve">Auf gesellschaftlicher Ebene zeigt die Arbeit, dass Personalisierung kein per se schädliches Konzept ist, sondern dass die Wirkung an der zugrundeliegenden Zielfunktion hängt. Indem Radio 25 als funktionierendes Gegenbeispiel zu </w:t>
      </w:r>
      <w:proofErr w:type="spellStart"/>
      <w:r>
        <w:t>engagement</w:t>
      </w:r>
      <w:proofErr w:type="spellEnd"/>
      <w:r>
        <w: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w:t>
      </w:r>
      <w:proofErr w:type="spellStart"/>
      <w:r>
        <w:t>Reviglio</w:t>
      </w:r>
      <w:proofErr w:type="spellEnd"/>
      <w:r>
        <w:t xml:space="preserve"> &amp; Agosti, 2020) und Wellbeing-supportive Design (Peters et al., 2020) dienen.</w:t>
      </w:r>
    </w:p>
    <w:p w14:paraId="78B4A028" w14:textId="77777777" w:rsidR="001666F9" w:rsidRDefault="00000000">
      <w:pPr>
        <w:pStyle w:val="berschrift2"/>
      </w:pPr>
      <w:proofErr w:type="gramStart"/>
      <w:r>
        <w:t>4.5  Abgrenzung</w:t>
      </w:r>
      <w:proofErr w:type="gramEnd"/>
    </w:p>
    <w:p w14:paraId="4471125F" w14:textId="77777777" w:rsidR="001666F9" w:rsidRDefault="00000000">
      <w:pPr>
        <w:spacing w:after="160" w:line="360" w:lineRule="auto"/>
      </w:pPr>
      <w:r>
        <w:t>Radio 25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14:paraId="40DA9975" w14:textId="77777777" w:rsidR="001666F9" w:rsidRDefault="00000000">
      <w:pPr>
        <w:pStyle w:val="Listenabsatz"/>
        <w:numPr>
          <w:ilvl w:val="0"/>
          <w:numId w:val="2"/>
        </w:numPr>
        <w:spacing w:after="80" w:line="360" w:lineRule="auto"/>
      </w:pPr>
      <w: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14:paraId="1D3DFA45" w14:textId="77777777" w:rsidR="001666F9" w:rsidRDefault="00000000">
      <w:pPr>
        <w:pStyle w:val="Listenabsatz"/>
        <w:numPr>
          <w:ilvl w:val="0"/>
          <w:numId w:val="2"/>
        </w:numPr>
        <w:spacing w:after="80" w:line="360" w:lineRule="auto"/>
      </w:pPr>
      <w:r>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14:paraId="6DB6D798" w14:textId="77777777" w:rsidR="001666F9" w:rsidRDefault="00000000">
      <w:pPr>
        <w:pStyle w:val="Listenabsatz"/>
        <w:numPr>
          <w:ilvl w:val="0"/>
          <w:numId w:val="2"/>
        </w:numPr>
        <w:spacing w:after="80" w:line="360" w:lineRule="auto"/>
      </w:pPr>
      <w: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14:paraId="1A79DAB5" w14:textId="77777777" w:rsidR="001666F9" w:rsidRDefault="00000000">
      <w:pPr>
        <w:pStyle w:val="Listenabsatz"/>
        <w:numPr>
          <w:ilvl w:val="0"/>
          <w:numId w:val="2"/>
        </w:numPr>
        <w:spacing w:after="80" w:line="360" w:lineRule="auto"/>
      </w:pPr>
      <w:r>
        <w:t>Quantitative Hypothesentests: Die Pilotstudie erhebt qualitative und deskriptive Daten mit einer kleinen Probandengruppe (n ≈ 5). Statistisch generalisierende Aussagen über die Gesamtbevölkerung sind nicht Teil der Arbeit (vgl. Abschnitt 5.5).</w:t>
      </w:r>
    </w:p>
    <w:p w14:paraId="4FC8083A" w14:textId="77777777" w:rsidR="001666F9" w:rsidRDefault="00000000">
      <w:pPr>
        <w:pStyle w:val="Listenabsatz"/>
        <w:numPr>
          <w:ilvl w:val="0"/>
          <w:numId w:val="2"/>
        </w:numPr>
        <w:spacing w:after="80" w:line="360" w:lineRule="auto"/>
      </w:pPr>
      <w:r>
        <w:t xml:space="preserve">Sprach- und Kulturraum: Untersucht wird der deutschsprachige Raum mit Schweizer Hochdeutsch als Sprachausgabe; mehrsprachige Anwendung und kulturelle </w:t>
      </w:r>
      <w:r>
        <w:lastRenderedPageBreak/>
        <w:t>Adaption werden im Ausblick (Abschnitt 11.3) gestreift, nicht aber empirisch untersucht.</w:t>
      </w:r>
    </w:p>
    <w:p w14:paraId="47F074EF" w14:textId="77777777" w:rsidR="001666F9" w:rsidRDefault="00000000">
      <w:pPr>
        <w:spacing w:after="160" w:line="360" w:lineRule="auto"/>
      </w:pPr>
      <w:r>
        <w:t>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p>
    <w:p w14:paraId="6EC2C2D2" w14:textId="77777777" w:rsidR="001666F9" w:rsidRDefault="00000000">
      <w:pPr>
        <w:pStyle w:val="berschrift1"/>
        <w:pageBreakBefore/>
      </w:pPr>
      <w:proofErr w:type="gramStart"/>
      <w:r>
        <w:lastRenderedPageBreak/>
        <w:t>5  Methodik</w:t>
      </w:r>
      <w:proofErr w:type="gramEnd"/>
    </w:p>
    <w:p w14:paraId="40B8F5DD" w14:textId="77777777" w:rsidR="001666F9" w:rsidRDefault="00000000">
      <w:pPr>
        <w:spacing w:after="160" w:line="360" w:lineRule="auto"/>
      </w:pPr>
      <w:r>
        <w:t>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et al., 2004; Peffers et al., 2007; Hevner, 2007) ein. Abschnitt 5.3 fasst das praktische Vorgehen entlang der Arbeitspakete zusammen. Die Abschnitte 5.4 und 5.5 beschreiben die Methoden der Datenerhebung (Pilottest, System Usability Scale, Wellbeing-Items, Interviews, Nutzungslogs) und der Auswertung (qualitative Analyse, deskriptive Statistik). Abschnitt 5.6 reflektiert schliesslich die eingesetzten Ressourcen und Kompetenzen.</w:t>
      </w:r>
    </w:p>
    <w:p w14:paraId="12BCF7A1" w14:textId="77777777" w:rsidR="001666F9" w:rsidRDefault="00000000">
      <w:pPr>
        <w:pStyle w:val="berschrift2"/>
      </w:pPr>
      <w:proofErr w:type="gramStart"/>
      <w:r>
        <w:t>5.1  Vorgehen</w:t>
      </w:r>
      <w:proofErr w:type="gramEnd"/>
      <w:r>
        <w:t xml:space="preserve"> der Literaturrecherche</w:t>
      </w:r>
    </w:p>
    <w:p w14:paraId="767494E1" w14:textId="77777777" w:rsidR="001666F9" w:rsidRDefault="00000000">
      <w:pPr>
        <w:spacing w:after="160" w:line="360" w:lineRule="auto"/>
      </w:pPr>
      <w: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7180812F" w14:textId="77777777" w:rsidR="001666F9" w:rsidRDefault="00000000">
      <w:pPr>
        <w:spacing w:after="160" w:line="360" w:lineRule="auto"/>
      </w:pPr>
      <w:r>
        <w:t xml:space="preserve">Als erstes Werkzeug wurden die klassischen wissenschaftlichen Suchmaschinen </w:t>
      </w:r>
      <w:proofErr w:type="spellStart"/>
      <w:r>
        <w:t>Swisscovery</w:t>
      </w:r>
      <w:proofErr w:type="spellEnd"/>
      <w:r>
        <w:t xml:space="preserve"> und Google Scholar eingesetzt. Gesucht wurde nach englisch- und deutschsprachigen Quellen zu den Kernbegriffen «Digital Wellbeing», «</w:t>
      </w:r>
      <w:proofErr w:type="spellStart"/>
      <w:r>
        <w:t>Social</w:t>
      </w:r>
      <w:proofErr w:type="spellEnd"/>
      <w:r>
        <w:t xml:space="preserve"> Media», «</w:t>
      </w:r>
      <w:proofErr w:type="spellStart"/>
      <w:r>
        <w:t>Recommender</w:t>
      </w:r>
      <w:proofErr w:type="spellEnd"/>
      <w:r>
        <w:t xml:space="preserve"> Systems», «</w:t>
      </w:r>
      <w:proofErr w:type="spellStart"/>
      <w:r>
        <w:t>Personalization</w:t>
      </w:r>
      <w:proofErr w:type="spellEnd"/>
      <w:r>
        <w:t>»,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69E8D53E" w14:textId="77777777" w:rsidR="001666F9" w:rsidRDefault="00000000">
      <w:pPr>
        <w:spacing w:after="160" w:line="360" w:lineRule="auto"/>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w:t>
      </w:r>
      <w:proofErr w:type="spellStart"/>
      <w:r>
        <w:t>Social</w:t>
      </w:r>
      <w:proofErr w:type="spellEnd"/>
      <w:r>
        <w:t xml:space="preserve"> Media?» oder «Welche Konzepte adressieren Nutzerkontrolle und algorithmische Transparenz in Empfehlungssystemen?» lieferten thematische Übersichten und konkrete Quellenvorschläge. Auf diesem Weg wurden unter anderem die Begriffe «</w:t>
      </w:r>
      <w:proofErr w:type="spellStart"/>
      <w:r>
        <w:t>Algorithmic</w:t>
      </w:r>
      <w:proofErr w:type="spellEnd"/>
      <w:r>
        <w:t xml:space="preserve"> </w:t>
      </w:r>
      <w:proofErr w:type="spellStart"/>
      <w:r>
        <w:t>Sovereignty</w:t>
      </w:r>
      <w:proofErr w:type="spellEnd"/>
      <w:r>
        <w:t>» (</w:t>
      </w:r>
      <w:proofErr w:type="spellStart"/>
      <w:r>
        <w:t>Reviglio</w:t>
      </w:r>
      <w:proofErr w:type="spellEnd"/>
      <w:r>
        <w:t xml:space="preserve">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w:t>
      </w:r>
      <w:proofErr w:type="spellStart"/>
      <w:r>
        <w:lastRenderedPageBreak/>
        <w:t>Swisscovery</w:t>
      </w:r>
      <w:proofErr w:type="spellEnd"/>
      <w:r>
        <w:t xml:space="preserve">, im Verlagskatalog oder über den Digital </w:t>
      </w:r>
      <w:proofErr w:type="spellStart"/>
      <w:r>
        <w:t>Object</w:t>
      </w:r>
      <w:proofErr w:type="spellEnd"/>
      <w:r>
        <w:t xml:space="preserve"> Identifier verifiziert und als Originaldokument bezogen. Kein Inhalt wurde ohne Gegenprüfung übernommen.</w:t>
      </w:r>
    </w:p>
    <w:p w14:paraId="24499E64" w14:textId="77777777" w:rsidR="001666F9" w:rsidRDefault="00000000">
      <w:pPr>
        <w:spacing w:after="160" w:line="360" w:lineRule="auto"/>
      </w:pPr>
      <w:r>
        <w:t xml:space="preserve">Als drittes Werkzeug wurde </w:t>
      </w:r>
      <w:proofErr w:type="spellStart"/>
      <w:r>
        <w:t>NotebookLM</w:t>
      </w:r>
      <w:proofErr w:type="spellEnd"/>
      <w:r>
        <w:t xml:space="preserve">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14:paraId="374E2743" w14:textId="77777777" w:rsidR="001666F9" w:rsidRDefault="00000000">
      <w:pPr>
        <w:spacing w:after="160" w:line="360" w:lineRule="auto"/>
      </w:pPr>
      <w:r>
        <w:t xml:space="preserve">Die finale Verwaltung der Quellen erfolgt in </w:t>
      </w:r>
      <w:proofErr w:type="spellStart"/>
      <w:r>
        <w:t>Zotero</w:t>
      </w:r>
      <w:proofErr w:type="spellEnd"/>
      <w:r>
        <w:t>. Das gesamte Quellenset ist dort gepflegt und exportierbar; die in Kapitel 1 und 2 zitierten Arbeiten sind im Literaturverzeichnis aufgeführt. Der Review wird im weiteren Verlauf der Arbeit laufend ergänzt, insbesondere im Bereich der konkreten Mechanismen und der Evaluationsliteratur.</w:t>
      </w:r>
    </w:p>
    <w:p w14:paraId="4C451360" w14:textId="77777777" w:rsidR="001666F9" w:rsidRDefault="00000000">
      <w:pPr>
        <w:pStyle w:val="berschrift2"/>
      </w:pPr>
      <w:proofErr w:type="gramStart"/>
      <w:r>
        <w:t>5.2  Forschungsdesign</w:t>
      </w:r>
      <w:proofErr w:type="gramEnd"/>
    </w:p>
    <w:p w14:paraId="11052225" w14:textId="77777777" w:rsidR="001666F9" w:rsidRDefault="00000000">
      <w:pPr>
        <w:spacing w:after="160" w:line="360" w:lineRule="auto"/>
      </w:pPr>
      <w:r>
        <w:t xml:space="preserve">Die Arbeit folgt dem Design-Science-Ansatz, wie er von Hevner, March, Park und Ram (2004) für die Wirtschaftsinformatik etabliert und von Peffers, </w:t>
      </w:r>
      <w:proofErr w:type="spellStart"/>
      <w:r>
        <w:t>Tuunanen</w:t>
      </w:r>
      <w:proofErr w:type="spellEnd"/>
      <w:r>
        <w:t>, Rothenberger und Chatterjee (2007) zu einer prozeduralen Forschungsmethodologie ausgearbeitet wurde. Im Zentrum dieses Ansatzes steht die Entwicklung eines neuartigen, zweckgebundenen Artefakts (hier: Radio 25), das ein praktisches Problem (</w:t>
      </w:r>
      <w:proofErr w:type="spellStart"/>
      <w:r>
        <w:t>engagement</w:t>
      </w:r>
      <w:proofErr w:type="spellEnd"/>
      <w:r>
        <w:t xml:space="preserve">-getriebene, </w:t>
      </w:r>
      <w:proofErr w:type="spellStart"/>
      <w:r>
        <w:t>wellbeing</w:t>
      </w:r>
      <w:proofErr w:type="spellEnd"/>
      <w:r>
        <w:t>-untergrabende Personalisierung) adressiert und gleichzeitig einen wissenschaftlichen Erkenntnisbeitrag leistet. Design Science ist dafür besonders geeignet, weil es die im Spannungsfeld dieser Arbeit liegenden Pole verbindet: theoretische Verankerung (Rigor) und praktische Relevanz (</w:t>
      </w:r>
      <w:proofErr w:type="spellStart"/>
      <w:r>
        <w:t>Relevance</w:t>
      </w:r>
      <w:proofErr w:type="spellEnd"/>
      <w:r>
        <w:t>) treffen sich in der iterativen Konstruktion und Evaluation eines konkreten Systems.</w:t>
      </w:r>
    </w:p>
    <w:p w14:paraId="0CFB97DF" w14:textId="77777777" w:rsidR="001666F9" w:rsidRDefault="00000000">
      <w:pPr>
        <w:spacing w:after="160" w:line="360" w:lineRule="auto"/>
      </w:pPr>
      <w:r>
        <w:t xml:space="preserve">Hevner (2007) verdichtet diesen Ansatz zur </w:t>
      </w:r>
      <w:proofErr w:type="spellStart"/>
      <w:r>
        <w:t>Three</w:t>
      </w:r>
      <w:proofErr w:type="spellEnd"/>
      <w:r>
        <w:t xml:space="preserve">-Cycle-View, die die Forschung in drei eng verzahnten Zyklen organisiert. Der </w:t>
      </w:r>
      <w:proofErr w:type="spellStart"/>
      <w:r>
        <w:t>Relevance</w:t>
      </w:r>
      <w:proofErr w:type="spellEnd"/>
      <w:r>
        <w:t xml:space="preserve"> Cycle verbindet das Design mit dem Anwendungsfeld: Aus der Anwendungsdomäne (digitale Medien, 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w:t>
      </w:r>
      <w:proofErr w:type="spellStart"/>
      <w:r>
        <w:t>Recommender</w:t>
      </w:r>
      <w:proofErr w:type="spellEnd"/>
      <w:r>
        <w:t>-Systems-Forschung, Persuasive Technology) fliessen in das Design ein, und die gewonnenen Erkenntnisse werden zur Wissensbasis zurückgegeben. Im inneren Design Cycle werden die Konstruktion und die Evaluation des Artefakts iterativ verschränkt.</w:t>
      </w:r>
    </w:p>
    <w:p w14:paraId="2AFE02DB" w14:textId="77777777" w:rsidR="001666F9" w:rsidRDefault="00000000">
      <w:pPr>
        <w:spacing w:after="160" w:line="360" w:lineRule="auto"/>
      </w:pPr>
      <w:r>
        <w:t xml:space="preserve">Auf die vorliegende Arbeit übertragen bedeutet dies: Der </w:t>
      </w:r>
      <w:proofErr w:type="spellStart"/>
      <w:r>
        <w:t>Relevance</w:t>
      </w:r>
      <w:proofErr w:type="spellEnd"/>
      <w:r>
        <w:t xml:space="preserve"> Cycle ist in den Kapiteln 1 und 3 sowie im Pilottest (Abschnitt 8.3) verankert; der Rigor Cycle wird in Kapitel 2 sowie </w:t>
      </w:r>
      <w:r>
        <w:lastRenderedPageBreak/>
        <w:t xml:space="preserve">in Abschnitt 5.1 dokumentiert; der Design Cycle umfasst die in den Kapiteln 6 und 7 beschriebene iterative Konstruktion und die in Kapitel 8 ausgeführte Evaluation. Peffers et al. (2007) ergänzen diesen Rahmen um eine konkrete Schrittfolge – Problem </w:t>
      </w:r>
      <w:proofErr w:type="spellStart"/>
      <w:r>
        <w:t>Identification</w:t>
      </w:r>
      <w:proofErr w:type="spellEnd"/>
      <w:r>
        <w:t xml:space="preserve">, Definition </w:t>
      </w:r>
      <w:proofErr w:type="spellStart"/>
      <w:r>
        <w:t>of</w:t>
      </w:r>
      <w:proofErr w:type="spellEnd"/>
      <w:r>
        <w:t xml:space="preserve"> </w:t>
      </w:r>
      <w:proofErr w:type="spellStart"/>
      <w:r>
        <w:t>Objectives</w:t>
      </w:r>
      <w:proofErr w:type="spellEnd"/>
      <w:r>
        <w:t>, Design and Development, Demonstration, Evaluation, Communication –, die im Gesamtaufbau dieser Arbeit unmittelbar erkennbar ist und in der nachfolgenden Vorgehensbeschreibung in Abschnitt 5.3 ihren operativen Ausdruck findet.</w:t>
      </w:r>
    </w:p>
    <w:p w14:paraId="6DC051EA" w14:textId="77777777" w:rsidR="001666F9" w:rsidRDefault="00000000">
      <w:pPr>
        <w:pStyle w:val="berschrift2"/>
      </w:pPr>
      <w:proofErr w:type="gramStart"/>
      <w:r>
        <w:t>5.3  Vorgehen</w:t>
      </w:r>
      <w:proofErr w:type="gramEnd"/>
      <w:r>
        <w:t xml:space="preserve"> im Überblick</w:t>
      </w:r>
    </w:p>
    <w:p w14:paraId="06136D5B" w14:textId="77777777" w:rsidR="001666F9" w:rsidRDefault="00000000">
      <w:pPr>
        <w:spacing w:after="160" w:line="360" w:lineRule="auto"/>
      </w:pPr>
      <w: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des Pilottests (AP5). Die folgende Tabelle fasst die Pakete entlang von Beschreibung, Input und Output zusammen.</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0" w:type="dxa"/>
          <w:right w:w="10" w:type="dxa"/>
        </w:tblCellMar>
        <w:tblLook w:val="04A0" w:firstRow="1" w:lastRow="0" w:firstColumn="1" w:lastColumn="0" w:noHBand="0" w:noVBand="1"/>
      </w:tblPr>
      <w:tblGrid>
        <w:gridCol w:w="700"/>
        <w:gridCol w:w="3500"/>
        <w:gridCol w:w="2400"/>
        <w:gridCol w:w="2400"/>
      </w:tblGrid>
      <w:tr w:rsidR="001666F9" w14:paraId="382C55C9"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3256EC8A" w14:textId="77777777" w:rsidR="001666F9" w:rsidRDefault="00000000">
            <w:pPr>
              <w:spacing w:line="276" w:lineRule="auto"/>
            </w:pPr>
            <w:r>
              <w:rPr>
                <w:b/>
                <w:bCs/>
                <w:sz w:val="20"/>
                <w:szCs w:val="20"/>
              </w:rPr>
              <w:t>AP</w:t>
            </w:r>
          </w:p>
        </w:tc>
        <w:tc>
          <w:tcPr>
            <w:tcW w:w="35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4BBD319D" w14:textId="77777777" w:rsidR="001666F9" w:rsidRDefault="00000000">
            <w:pPr>
              <w:spacing w:line="276" w:lineRule="auto"/>
            </w:pPr>
            <w:r>
              <w:rPr>
                <w:b/>
                <w:bCs/>
                <w:sz w:val="20"/>
                <w:szCs w:val="20"/>
              </w:rPr>
              <w:t>Beschreibung</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342538D1" w14:textId="77777777" w:rsidR="001666F9" w:rsidRDefault="00000000">
            <w:pPr>
              <w:spacing w:line="276" w:lineRule="auto"/>
            </w:pPr>
            <w:r>
              <w:rPr>
                <w:b/>
                <w:bCs/>
                <w:sz w:val="20"/>
                <w:szCs w:val="20"/>
              </w:rPr>
              <w:t>Input</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1301692B" w14:textId="77777777" w:rsidR="001666F9" w:rsidRDefault="00000000">
            <w:pPr>
              <w:spacing w:line="276" w:lineRule="auto"/>
            </w:pPr>
            <w:r>
              <w:rPr>
                <w:b/>
                <w:bCs/>
                <w:sz w:val="20"/>
                <w:szCs w:val="20"/>
              </w:rPr>
              <w:t>Output</w:t>
            </w:r>
          </w:p>
        </w:tc>
      </w:tr>
      <w:tr w:rsidR="001666F9" w14:paraId="3915AF8E"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E3DE95" w14:textId="77777777" w:rsidR="001666F9" w:rsidRDefault="00000000">
            <w:pPr>
              <w:spacing w:line="276" w:lineRule="auto"/>
            </w:pPr>
            <w:r>
              <w:rPr>
                <w:sz w:val="20"/>
                <w:szCs w:val="20"/>
              </w:rPr>
              <w:t>1</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DEB673" w14:textId="77777777" w:rsidR="001666F9" w:rsidRDefault="00000000">
            <w:pPr>
              <w:spacing w:line="276" w:lineRule="auto"/>
            </w:pPr>
            <w:r>
              <w:rPr>
                <w:sz w:val="20"/>
                <w:szCs w:val="20"/>
              </w:rPr>
              <w:t>Literaturrecherche und Theorierahmen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0A15B8" w14:textId="77777777" w:rsidR="001666F9" w:rsidRDefault="00000000">
            <w:pPr>
              <w:spacing w:line="276" w:lineRule="auto"/>
            </w:pPr>
            <w:r>
              <w:rPr>
                <w:sz w:val="20"/>
                <w:szCs w:val="20"/>
              </w:rPr>
              <w:t>Literatur zu Digital Wellbeing, Personalisierung, Medienethik</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F019AB" w14:textId="77777777" w:rsidR="001666F9" w:rsidRDefault="00000000">
            <w:pPr>
              <w:spacing w:line="276" w:lineRule="auto"/>
            </w:pPr>
            <w:r>
              <w:rPr>
                <w:sz w:val="20"/>
                <w:szCs w:val="20"/>
              </w:rPr>
              <w:t>Theoretischer Rahmen, Gegenüberstellung der Medienmodelle</w:t>
            </w:r>
          </w:p>
        </w:tc>
      </w:tr>
      <w:tr w:rsidR="001666F9" w14:paraId="3F8A35A8"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FCACEF" w14:textId="77777777" w:rsidR="001666F9" w:rsidRDefault="00000000">
            <w:pPr>
              <w:spacing w:line="276" w:lineRule="auto"/>
            </w:pPr>
            <w:r>
              <w:rPr>
                <w:sz w:val="20"/>
                <w:szCs w:val="20"/>
              </w:rPr>
              <w:t>2</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831833" w14:textId="77777777" w:rsidR="001666F9" w:rsidRDefault="00000000">
            <w:pPr>
              <w:spacing w:line="276" w:lineRule="auto"/>
            </w:pPr>
            <w:r>
              <w:rPr>
                <w:sz w:val="20"/>
                <w:szCs w:val="20"/>
              </w:rPr>
              <w:t>Architekturentwurf</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445264" w14:textId="77777777" w:rsidR="001666F9" w:rsidRDefault="00000000">
            <w:pPr>
              <w:spacing w:line="276" w:lineRule="auto"/>
            </w:pPr>
            <w:r>
              <w:rPr>
                <w:sz w:val="20"/>
                <w:szCs w:val="20"/>
              </w:rPr>
              <w:t>Anforderungen, Wellbeing-Prinzipien, API-Dokumentation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199588" w14:textId="77777777" w:rsidR="001666F9" w:rsidRDefault="00000000">
            <w:pPr>
              <w:spacing w:line="276" w:lineRule="auto"/>
            </w:pPr>
            <w:r>
              <w:rPr>
                <w:sz w:val="20"/>
                <w:szCs w:val="20"/>
              </w:rPr>
              <w:t>Systemarchitektur mit Personalisierungsmodul</w:t>
            </w:r>
          </w:p>
        </w:tc>
      </w:tr>
      <w:tr w:rsidR="001666F9" w14:paraId="584B0683"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39512A" w14:textId="77777777" w:rsidR="001666F9" w:rsidRDefault="00000000">
            <w:pPr>
              <w:spacing w:line="276" w:lineRule="auto"/>
            </w:pPr>
            <w:r>
              <w:rPr>
                <w:sz w:val="20"/>
                <w:szCs w:val="20"/>
              </w:rPr>
              <w:t>3</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EB77A6" w14:textId="77777777" w:rsidR="001666F9" w:rsidRDefault="00000000">
            <w:pPr>
              <w:spacing w:line="276" w:lineRule="auto"/>
            </w:pPr>
            <w:r>
              <w:rPr>
                <w:sz w:val="20"/>
                <w:szCs w:val="20"/>
              </w:rPr>
              <w:t>Durchstich (End-</w:t>
            </w:r>
            <w:proofErr w:type="spellStart"/>
            <w:r>
              <w:rPr>
                <w:sz w:val="20"/>
                <w:szCs w:val="20"/>
              </w:rPr>
              <w:t>to</w:t>
            </w:r>
            <w:proofErr w:type="spellEnd"/>
            <w:r>
              <w:rPr>
                <w:sz w:val="20"/>
                <w:szCs w:val="20"/>
              </w:rPr>
              <w:t>-End)</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59E869" w14:textId="77777777" w:rsidR="001666F9" w:rsidRDefault="00000000">
            <w:pPr>
              <w:spacing w:line="276" w:lineRule="auto"/>
            </w:pPr>
            <w:r>
              <w:rPr>
                <w:sz w:val="20"/>
                <w:szCs w:val="20"/>
              </w:rPr>
              <w:t>Architektur, externe APIs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35B419" w14:textId="77777777" w:rsidR="001666F9" w:rsidRDefault="00000000">
            <w:pPr>
              <w:spacing w:line="276" w:lineRule="auto"/>
            </w:pPr>
            <w:r>
              <w:rPr>
                <w:sz w:val="20"/>
                <w:szCs w:val="20"/>
              </w:rPr>
              <w:t>Lauffähiger Minimalprototyp</w:t>
            </w:r>
          </w:p>
        </w:tc>
      </w:tr>
      <w:tr w:rsidR="001666F9" w14:paraId="340EDF84"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45AADA" w14:textId="77777777" w:rsidR="001666F9" w:rsidRDefault="00000000">
            <w:pPr>
              <w:spacing w:line="276" w:lineRule="auto"/>
            </w:pPr>
            <w:r>
              <w:rPr>
                <w:sz w:val="20"/>
                <w:szCs w:val="20"/>
              </w:rPr>
              <w:t>4</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B8502C" w14:textId="77777777" w:rsidR="001666F9" w:rsidRDefault="00000000">
            <w:pPr>
              <w:spacing w:line="276" w:lineRule="auto"/>
            </w:pPr>
            <w:r>
              <w:rPr>
                <w:sz w:val="20"/>
                <w:szCs w:val="20"/>
              </w:rPr>
              <w:t>Iterative Verfeinerung und Wellbeing-Features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E8A62A" w14:textId="77777777" w:rsidR="001666F9" w:rsidRDefault="00000000">
            <w:pPr>
              <w:spacing w:line="276" w:lineRule="auto"/>
            </w:pPr>
            <w:r>
              <w:rPr>
                <w:sz w:val="20"/>
                <w:szCs w:val="20"/>
              </w:rPr>
              <w:t>Prototyp, Personalisierungs- und Transparenzkonzept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3B6E99" w14:textId="77777777" w:rsidR="001666F9" w:rsidRDefault="00000000">
            <w:pPr>
              <w:spacing w:line="276" w:lineRule="auto"/>
            </w:pPr>
            <w:r>
              <w:rPr>
                <w:sz w:val="20"/>
                <w:szCs w:val="20"/>
              </w:rPr>
              <w:t xml:space="preserve">Erweiterter Demonstrator mit </w:t>
            </w:r>
            <w:proofErr w:type="spellStart"/>
            <w:r>
              <w:rPr>
                <w:sz w:val="20"/>
                <w:szCs w:val="20"/>
              </w:rPr>
              <w:t>wellbeing</w:t>
            </w:r>
            <w:proofErr w:type="spellEnd"/>
            <w:r>
              <w:rPr>
                <w:sz w:val="20"/>
                <w:szCs w:val="20"/>
              </w:rPr>
              <w:t>-orientierten Features</w:t>
            </w:r>
          </w:p>
        </w:tc>
      </w:tr>
      <w:tr w:rsidR="001666F9" w14:paraId="3B458C92"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A18F10" w14:textId="77777777" w:rsidR="001666F9" w:rsidRDefault="00000000">
            <w:pPr>
              <w:spacing w:line="276" w:lineRule="auto"/>
            </w:pPr>
            <w:r>
              <w:rPr>
                <w:sz w:val="20"/>
                <w:szCs w:val="20"/>
              </w:rPr>
              <w:t>5</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FA36ED" w14:textId="77777777" w:rsidR="001666F9" w:rsidRDefault="00000000">
            <w:pPr>
              <w:spacing w:line="276" w:lineRule="auto"/>
            </w:pPr>
            <w:r>
              <w:rPr>
                <w:sz w:val="20"/>
                <w:szCs w:val="20"/>
              </w:rPr>
              <w:t>Pilottest (1-Wochen-Test)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19DAF7" w14:textId="77777777" w:rsidR="001666F9" w:rsidRDefault="00000000">
            <w:pPr>
              <w:spacing w:line="276" w:lineRule="auto"/>
            </w:pPr>
            <w:r>
              <w:rPr>
                <w:sz w:val="20"/>
                <w:szCs w:val="20"/>
              </w:rPr>
              <w:t>Demonstrator, ca. fünf Testpersonen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F230C3" w14:textId="77777777" w:rsidR="001666F9" w:rsidRDefault="00000000">
            <w:pPr>
              <w:spacing w:line="276" w:lineRule="auto"/>
            </w:pPr>
            <w:r>
              <w:rPr>
                <w:sz w:val="20"/>
                <w:szCs w:val="20"/>
              </w:rPr>
              <w:t>Nutzungsdaten, Wellbeing-Feedback, qualitative Erkenntnisse</w:t>
            </w:r>
          </w:p>
        </w:tc>
      </w:tr>
      <w:tr w:rsidR="001666F9" w14:paraId="0BF58181"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2E8DCF" w14:textId="77777777" w:rsidR="001666F9" w:rsidRDefault="00000000">
            <w:pPr>
              <w:spacing w:line="276" w:lineRule="auto"/>
            </w:pPr>
            <w:r>
              <w:rPr>
                <w:sz w:val="20"/>
                <w:szCs w:val="20"/>
              </w:rPr>
              <w:t>6</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03370E" w14:textId="77777777" w:rsidR="001666F9" w:rsidRDefault="00000000">
            <w:pPr>
              <w:spacing w:line="276" w:lineRule="auto"/>
            </w:pPr>
            <w:r>
              <w:rPr>
                <w:sz w:val="20"/>
                <w:szCs w:val="20"/>
              </w:rPr>
              <w:t>Evaluation und Validierung</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6413D6" w14:textId="77777777" w:rsidR="001666F9" w:rsidRDefault="00000000">
            <w:pPr>
              <w:spacing w:line="276" w:lineRule="auto"/>
            </w:pPr>
            <w:r>
              <w:rPr>
                <w:sz w:val="20"/>
                <w:szCs w:val="20"/>
              </w:rPr>
              <w:t>Testdaten, Erfolgskriterien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59ED67" w14:textId="77777777" w:rsidR="001666F9" w:rsidRDefault="00000000">
            <w:pPr>
              <w:spacing w:line="276" w:lineRule="auto"/>
            </w:pPr>
            <w:r>
              <w:rPr>
                <w:sz w:val="20"/>
                <w:szCs w:val="20"/>
              </w:rPr>
              <w:t>Machbarkeitsbeurteilung, Wellbeing-Evaluation</w:t>
            </w:r>
          </w:p>
        </w:tc>
      </w:tr>
      <w:tr w:rsidR="001666F9" w14:paraId="1D1F6018" w14:textId="77777777">
        <w:tblPrEx>
          <w:tblCellMar>
            <w:top w:w="0" w:type="dxa"/>
            <w:bottom w:w="0" w:type="dxa"/>
          </w:tblCellMar>
        </w:tblPrEx>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75F9B8" w14:textId="77777777" w:rsidR="001666F9" w:rsidRDefault="00000000">
            <w:pPr>
              <w:spacing w:line="276" w:lineRule="auto"/>
            </w:pPr>
            <w:r>
              <w:rPr>
                <w:sz w:val="20"/>
                <w:szCs w:val="20"/>
              </w:rPr>
              <w:t>7</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F9E91A" w14:textId="77777777" w:rsidR="001666F9" w:rsidRDefault="00000000">
            <w:pPr>
              <w:spacing w:line="276" w:lineRule="auto"/>
            </w:pPr>
            <w:r>
              <w:rPr>
                <w:sz w:val="20"/>
                <w:szCs w:val="20"/>
              </w:rPr>
              <w:t>Dokumentation und Abschluss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705B72" w14:textId="77777777" w:rsidR="001666F9" w:rsidRDefault="00000000">
            <w:pPr>
              <w:spacing w:line="276" w:lineRule="auto"/>
            </w:pPr>
            <w:r>
              <w:rPr>
                <w:sz w:val="20"/>
                <w:szCs w:val="20"/>
              </w:rPr>
              <w:t>Alle Artefakte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70E575" w14:textId="77777777" w:rsidR="001666F9" w:rsidRDefault="00000000">
            <w:pPr>
              <w:spacing w:line="276" w:lineRule="auto"/>
            </w:pPr>
            <w:r>
              <w:rPr>
                <w:sz w:val="20"/>
                <w:szCs w:val="20"/>
              </w:rPr>
              <w:t>Wissenschaftlicher Bericht, Code-Dokumentation</w:t>
            </w:r>
          </w:p>
        </w:tc>
      </w:tr>
    </w:tbl>
    <w:p w14:paraId="57B64119" w14:textId="77777777" w:rsidR="001666F9" w:rsidRDefault="001666F9">
      <w:pPr>
        <w:spacing w:after="160" w:line="360" w:lineRule="auto"/>
      </w:pPr>
    </w:p>
    <w:p w14:paraId="05EC47C2" w14:textId="77777777" w:rsidR="001666F9" w:rsidRDefault="00000000">
      <w:pPr>
        <w:spacing w:after="160" w:line="360" w:lineRule="auto"/>
      </w:pPr>
      <w:r>
        <w:t xml:space="preserve">Die Pakete AP1 bis AP4 bilden den Kern des Design Cycle, AP5 und AP6 schliessen den </w:t>
      </w:r>
      <w:proofErr w:type="spellStart"/>
      <w:r>
        <w:t>Relevance</w:t>
      </w:r>
      <w:proofErr w:type="spellEnd"/>
      <w:r>
        <w:t xml:space="preserve"> Cycle, und AP7 sichert die Anschlussfähigkeit für den Rigor Cycle. Der </w:t>
      </w:r>
      <w:r>
        <w:lastRenderedPageBreak/>
        <w:t xml:space="preserve">Zeitrahmen erstreckt sich über das offizielle </w:t>
      </w:r>
      <w:proofErr w:type="spellStart"/>
      <w:r>
        <w:t>BSc</w:t>
      </w:r>
      <w:proofErr w:type="spellEnd"/>
      <w:r>
        <w:t>-Thesis-Fenster von rund zehn Wochen, ergänzt um eine Vorbereitungsphase, in der erste Literaturrecherchen sowie technische Prototypen bereits vor dem offiziellen Projektstart durchgeführt wurden.</w:t>
      </w:r>
    </w:p>
    <w:p w14:paraId="548991A0" w14:textId="77777777" w:rsidR="001666F9" w:rsidRDefault="00000000">
      <w:pPr>
        <w:pStyle w:val="berschrift2"/>
      </w:pPr>
      <w:proofErr w:type="gramStart"/>
      <w:r>
        <w:t>5.4  Methoden</w:t>
      </w:r>
      <w:proofErr w:type="gramEnd"/>
      <w:r>
        <w:t xml:space="preserve"> der Datenerhebung</w:t>
      </w:r>
    </w:p>
    <w:p w14:paraId="3CA49126" w14:textId="77777777" w:rsidR="001666F9" w:rsidRDefault="00000000">
      <w:pPr>
        <w:spacing w:after="160" w:line="360" w:lineRule="auto"/>
      </w:pPr>
      <w:r>
        <w:t xml:space="preserve">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kombiniert vier Datenquellen, die sich gegenseitig stützen und </w:t>
      </w:r>
      <w:proofErr w:type="spellStart"/>
      <w:r>
        <w:t>triangulierbar</w:t>
      </w:r>
      <w:proofErr w:type="spellEnd"/>
      <w:r>
        <w:t xml:space="preserve"> sind.</w:t>
      </w:r>
    </w:p>
    <w:p w14:paraId="10613979" w14:textId="77777777" w:rsidR="001666F9" w:rsidRDefault="00000000">
      <w:pPr>
        <w:spacing w:after="160" w:line="360" w:lineRule="auto"/>
      </w:pPr>
      <w:r>
        <w:t>Erstens wird der System Usability Scale (SUS) eingesetzt, ein etabliertes, kurzes Selbstbewertungsinstrument zur Gebrauchstauglichkeit (Brooke, 1996). Bangor, Kortum und Miller (2008) liefern empirisch fundierte Vergleichswerte und Adjektivskalen, die die Interpretation der erreichten Punktzahl erleichtern. Der SUS adressiert insbesondere die Teilfrage T4 (Transparenz und Akzeptanz).</w:t>
      </w:r>
    </w:p>
    <w:p w14:paraId="7CE68230" w14:textId="77777777" w:rsidR="001666F9" w:rsidRDefault="00000000">
      <w:pPr>
        <w:spacing w:after="160" w:line="360" w:lineRule="auto"/>
      </w:pPr>
      <w:r>
        <w:t xml:space="preserve">Zweitens werden </w:t>
      </w:r>
      <w:proofErr w:type="spellStart"/>
      <w:r>
        <w:t>wellbeing</w:t>
      </w:r>
      <w:proofErr w:type="spellEnd"/>
      <w:r>
        <w:t xml:space="preserve">-bezogene Items eingesetzt, die in einem kurzen Tagesfragebogen den subjektiven Zustand der Nutzenden vor und nach der Sendung erfassen. Die konkrete </w:t>
      </w:r>
      <w:proofErr w:type="spellStart"/>
      <w:r>
        <w:t>Itembatterie</w:t>
      </w:r>
      <w:proofErr w:type="spellEnd"/>
      <w:r>
        <w:t xml:space="preserve"> wird in der Implementationsphase finalisiert und orientiert sich an den von Peters, Ahmadpour und Calvo (2020) zusammengetragenen </w:t>
      </w:r>
      <w:proofErr w:type="spellStart"/>
      <w:r>
        <w:t>wellbeing</w:t>
      </w:r>
      <w:proofErr w:type="spellEnd"/>
      <w:r>
        <w:t>-bezogenen Konstrukten sowie an der Definition von Vanden Abeele (2021). Diese Daten adressieren die Teilfragen T1 (Autonomie- und Kompetenzerleben) und T3 (Zeitempfinden und Nutzungskontrolle).</w:t>
      </w:r>
    </w:p>
    <w:p w14:paraId="321D6439" w14:textId="77777777" w:rsidR="001666F9" w:rsidRDefault="00000000">
      <w:pPr>
        <w:spacing w:after="160" w:line="360" w:lineRule="auto"/>
      </w:pPr>
      <w:r>
        <w:t>Drittens werden semistrukturierte Abschluss-Interviews geführt, um vertiefte Einsichten in die individuelle Nutzungserfahrung, den Vergleich zur gewohnten Mediennutzung und die wahrgenommene Personalisierungslogik zu gewinnen. Der Interviewleitfaden wird in Anhang A dokumentiert und folgt der Logik der vier Teilfragen.</w:t>
      </w:r>
    </w:p>
    <w:p w14:paraId="2C9AB10E" w14:textId="77777777" w:rsidR="001666F9" w:rsidRDefault="00000000">
      <w:pPr>
        <w:spacing w:after="160" w:line="360" w:lineRule="auto"/>
      </w:pPr>
      <w:r>
        <w:t>Viertens werden Nutzungslogs aus der Webapplikation ausgewertet: Anzahl, Dauer und Tageszeit der gestarteten Sendungen, Profilanpassungen, Abbrüche sowie Vorgänge, in denen Nutzende die Personalisierungslogik einsehen. Die Logs werden lokal und ohne personenbezogene Inhalte erhoben und ergänzen die Selbstauskunft um eine verhaltensnahe Perspektive.</w:t>
      </w:r>
    </w:p>
    <w:p w14:paraId="45873177" w14:textId="77777777" w:rsidR="001666F9" w:rsidRDefault="00000000">
      <w:pPr>
        <w:spacing w:after="160" w:line="360" w:lineRule="auto"/>
      </w:pPr>
      <w:r>
        <w:t xml:space="preserve">Der Pilottest läuft über eine Woche mit ca. fünf Testpersonen aus dem Bekanntenkreis des Autors. Die Probandengruppe ist gezielt klein gehalten, um eine intensive qualitative Auswertung zu ermöglichen. Der Ablauf – Onboarding, Nutzung im Alltag, </w:t>
      </w:r>
      <w:r>
        <w:lastRenderedPageBreak/>
        <w:t>Abschlussinterview – sowie die Einwilligung der Teilnehmenden werden in den Abschnitten 8.3 und 8.5 ausführlich beschrieben.</w:t>
      </w:r>
    </w:p>
    <w:p w14:paraId="6E8171BA" w14:textId="77777777" w:rsidR="001666F9" w:rsidRDefault="00000000">
      <w:pPr>
        <w:pStyle w:val="berschrift2"/>
      </w:pPr>
      <w:proofErr w:type="gramStart"/>
      <w:r>
        <w:t>5.5  Methoden</w:t>
      </w:r>
      <w:proofErr w:type="gramEnd"/>
      <w:r>
        <w:t xml:space="preserve"> der Auswertung</w:t>
      </w:r>
    </w:p>
    <w:p w14:paraId="76F4E20E" w14:textId="77777777" w:rsidR="001666F9" w:rsidRDefault="00000000">
      <w:pPr>
        <w:spacing w:after="160" w:line="360" w:lineRule="auto"/>
      </w:pPr>
      <w:r>
        <w:t>Die Auswertung folgt der Datenstruktur und kombiniert qualitative und deskriptive Verfahren. Ein bewusst zurückhaltender Auswertungsstil entspricht dem formativen Charakter der Studie und der kleinen Probandengruppe.</w:t>
      </w:r>
    </w:p>
    <w:p w14:paraId="2B912C19" w14:textId="77777777" w:rsidR="001666F9" w:rsidRDefault="00000000">
      <w:pPr>
        <w:spacing w:after="160" w:line="360" w:lineRule="auto"/>
      </w:pPr>
      <w:r>
        <w:t xml:space="preserve">Die qualitativen Daten aus den Interviews werden inhaltlich strukturiert ausgewertet. Aussagen werden entlang der vier Teilfragen kodiert und in thematische Cluster zusammengefasst (Autonomie- und Kompetenzerleben, Inhaltsdiversität, </w:t>
      </w:r>
      <w:proofErr w:type="spellStart"/>
      <w:r>
        <w:t>Sessiongestaltung</w:t>
      </w:r>
      <w:proofErr w:type="spellEnd"/>
      <w:r>
        <w:t>, Transparenz und Vertrauen). Aus den Clustern werden Kernmuster und repräsentative Zitate extrahiert, die den Befund illustrieren. Die Auswertung bleibt bewusst nahe an den Aussagen der Teilnehmenden und vermeidet überinterpretierende Kategorisierungen, was bei einer kleinen Stichprobe ohnehin angezeigt ist.</w:t>
      </w:r>
    </w:p>
    <w:p w14:paraId="7B557C0B" w14:textId="77777777" w:rsidR="001666F9" w:rsidRDefault="00000000">
      <w:pPr>
        <w:spacing w:after="160" w:line="360" w:lineRule="auto"/>
      </w:pPr>
      <w:r>
        <w:t>Die quantitativen Daten werden deskriptiv ausgewertet. Für den SUS werden Gesamtpunktzahl je Person, Mittelwert und Spannweite berichtet und mit den Referenzwerten von Bangor et al. (2008) verglichen; eine inferenzstatistische Prüfung ist bei n ≈ 5 nicht sinnvoll und wird daher unterlassen. Für die Wellbeing-Items werden Verläufe je Person dargestellt; aggregierende Aussagen werden nur dort gemacht, wo das Muster über alle Personen hinweg klar erkennbar ist. Die Logdaten werden als Profile pro Person berichtet (Nutzungshäufigkeit, Sendungsdauer, Profilinteraktionen) und mit den qualitativen Aussagen abgeglichen.</w:t>
      </w:r>
    </w:p>
    <w:p w14:paraId="19849E58" w14:textId="77777777" w:rsidR="001666F9" w:rsidRDefault="00000000">
      <w:pPr>
        <w:spacing w:after="160" w:line="360" w:lineRule="auto"/>
      </w:pPr>
      <w:r>
        <w:t>Zentrales Auswertungsprinzip ist die Triangulation zwischen Selbstauskunft (SUS, Wellbeing-Items), Erzählung (Interview) und Verhalten (Logs): Konvergierende Befunde sind belastbar, divergierende Befunde werden offengelegt und als Ausgangspunkt weiterführender Fragen interpretiert. Die Ergebnisse werden in Kapitel 9 entlang der Teilfragen aus Abschnitt 4.2 berichtet.</w:t>
      </w:r>
    </w:p>
    <w:p w14:paraId="0FBB62A0" w14:textId="77777777" w:rsidR="001666F9" w:rsidRDefault="00000000">
      <w:pPr>
        <w:pStyle w:val="berschrift2"/>
      </w:pPr>
      <w:proofErr w:type="gramStart"/>
      <w:r>
        <w:t>5.6  Reflexion</w:t>
      </w:r>
      <w:proofErr w:type="gramEnd"/>
      <w:r>
        <w:t xml:space="preserve"> zu Ressourcen und Kompetenzen</w:t>
      </w:r>
    </w:p>
    <w:p w14:paraId="22C340A2" w14:textId="77777777" w:rsidR="001666F9" w:rsidRDefault="00000000">
      <w:pPr>
        <w:spacing w:after="160" w:line="360" w:lineRule="auto"/>
      </w:pPr>
      <w:r>
        <w:t xml:space="preserve">Die Durchführung der Arbeit setzt ein Bündel an Kompetenzen voraus, die im Studienverlauf des Autors bereits angelegt sind, in einzelnen Bereichen aber gezielt vertieft werden. Die LLM-Integration mit Claude über das </w:t>
      </w:r>
      <w:proofErr w:type="spellStart"/>
      <w:r>
        <w:t>Vercel</w:t>
      </w:r>
      <w:proofErr w:type="spellEnd"/>
      <w:r>
        <w:t xml:space="preserve"> AI SDK sowie das Prompt-Engineering für Schweizer Hochdeutsch sind im Rahmen der Implementation neu erschlossene Themen; die Sprachsynthese mit </w:t>
      </w:r>
      <w:proofErr w:type="spellStart"/>
      <w:r>
        <w:t>ElevenLabs</w:t>
      </w:r>
      <w:proofErr w:type="spellEnd"/>
      <w:r>
        <w:t xml:space="preserve"> (eleven_multilingual_v2) erfordert eine Konfiguration der Stimmenprofile und der Aussprachekontrolle, die im Verlauf des Design Cycle iterativ </w:t>
      </w:r>
      <w:r>
        <w:lastRenderedPageBreak/>
        <w:t xml:space="preserve">angepasst wird. Die Webapplikation auf Basis von Next.js 15, React 19, </w:t>
      </w:r>
      <w:proofErr w:type="spellStart"/>
      <w:r>
        <w:t>TypeScript</w:t>
      </w:r>
      <w:proofErr w:type="spellEnd"/>
      <w:r>
        <w:t xml:space="preserve"> und </w:t>
      </w:r>
      <w:proofErr w:type="spellStart"/>
      <w:r>
        <w:t>Tailwind</w:t>
      </w:r>
      <w:proofErr w:type="spellEnd"/>
      <w:r>
        <w:t xml:space="preserve"> CSS 4 baut auf vorhandenen Erfahrungen auf, die </w:t>
      </w:r>
      <w:proofErr w:type="spellStart"/>
      <w:r>
        <w:t>agentische</w:t>
      </w:r>
      <w:proofErr w:type="spellEnd"/>
      <w:r>
        <w:t xml:space="preserve"> Pipeline-Steuerung erweitert sie um asynchrone Orchestrierungsmuster.</w:t>
      </w:r>
    </w:p>
    <w:p w14:paraId="37935CA5" w14:textId="77777777" w:rsidR="001666F9" w:rsidRDefault="00000000">
      <w:pPr>
        <w:spacing w:after="160" w:line="360" w:lineRule="auto"/>
      </w:pPr>
      <w:r>
        <w:t xml:space="preserve">Auf der Methodenseite kombiniert die Arbeit eine strukturierte Literaturrecherche (Abschnitt 5.1) mit einer formativen Nutzerstudie (Abschnitte 5.4 und 5.5). Die qualitative und deskriptive Auswertung ist mit Grundkenntnissen aus dem Studium gut zu leisten; die kleine Probandengruppe erlaubt eine sorgfältige Einzelfallbetrachtung, ohne dass komplexere statistische Verfahren erforderlich werden. Externe Werkzeuge (Claude für Recherche und Schreibhilfe, </w:t>
      </w:r>
      <w:proofErr w:type="spellStart"/>
      <w:r>
        <w:t>NotebookLM</w:t>
      </w:r>
      <w:proofErr w:type="spellEnd"/>
      <w:r>
        <w:t xml:space="preserve"> für die thematische Strukturierung, </w:t>
      </w:r>
      <w:proofErr w:type="spellStart"/>
      <w:r>
        <w:t>Zotero</w:t>
      </w:r>
      <w:proofErr w:type="spellEnd"/>
      <w:r>
        <w:t xml:space="preserve"> für die Quellenverwaltung, Cursor und GitHub Copilot für Teile der Code-Entwicklung) werden in der KI-Nutzungserklärung des Front Matter im Detail offengelegt.</w:t>
      </w:r>
    </w:p>
    <w:p w14:paraId="2B55FEF5" w14:textId="77777777" w:rsidR="001666F9" w:rsidRDefault="00000000">
      <w:pPr>
        <w:spacing w:after="160" w:line="360" w:lineRule="auto"/>
      </w:pPr>
      <w:r>
        <w:t xml:space="preserve">Insgesamt ist das Vorhaben in den verfügbaren Ressourcen – Zeitbudget von rund zehn Wochen, </w:t>
      </w:r>
      <w:proofErr w:type="spellStart"/>
      <w:r>
        <w:t>Einzelautorenschaft</w:t>
      </w:r>
      <w:proofErr w:type="spellEnd"/>
      <w:r>
        <w:t xml:space="preserve">, kleine Probandengruppe – bewusst so dimensioniert, dass die zentrale Forschungsfrage substanziell beantwortet werden kann, ohne den Rahmen einer </w:t>
      </w:r>
      <w:proofErr w:type="spellStart"/>
      <w:r>
        <w:t>BSc</w:t>
      </w:r>
      <w:proofErr w:type="spellEnd"/>
      <w:r>
        <w:t>-Thesis zu überschreiten.</w:t>
      </w:r>
    </w:p>
    <w:p w14:paraId="1D22CEC1" w14:textId="77777777" w:rsidR="001666F9" w:rsidRDefault="00000000">
      <w:pPr>
        <w:pStyle w:val="berschrift1"/>
        <w:pageBreakBefore/>
      </w:pPr>
      <w:proofErr w:type="gramStart"/>
      <w:r>
        <w:lastRenderedPageBreak/>
        <w:t>8  Validierung</w:t>
      </w:r>
      <w:proofErr w:type="gramEnd"/>
    </w:p>
    <w:p w14:paraId="5B627C1B" w14:textId="77777777" w:rsidR="001666F9" w:rsidRDefault="00000000">
      <w:pPr>
        <w:spacing w:after="160" w:line="360" w:lineRule="auto"/>
      </w:pPr>
      <w:r>
        <w:t>Das Kapitel klärt, wie das in den Kapiteln 6 und 7 entworfene und umgesetzte Artefakt validiert wird. Es definiert pro Validierungsstrang, was geprüft wird, und legt die Schwellwerte fest, an denen der Erfolg gemessen wird. Die methodische Grundlage – die einzelnen Datenquellen, der Pilottest-Ablauf und die Auswertungsverfahren – ist in Kapitel 5 (Abschnitte 5.4 und 5.5) ausführlich beschrieben; dieses Kapitel verweist darauf und ergänzt die strangbezogene Operationalisierung.</w:t>
      </w:r>
    </w:p>
    <w:p w14:paraId="6C400846" w14:textId="77777777" w:rsidR="001666F9" w:rsidRDefault="00000000">
      <w:pPr>
        <w:pStyle w:val="berschrift2"/>
      </w:pPr>
      <w:proofErr w:type="gramStart"/>
      <w:r>
        <w:t>8.1  Aufbau</w:t>
      </w:r>
      <w:proofErr w:type="gramEnd"/>
      <w:r>
        <w:t xml:space="preserve"> der Validierung</w:t>
      </w:r>
    </w:p>
    <w:p w14:paraId="6F8A57EB" w14:textId="7C6A0320" w:rsidR="001666F9" w:rsidRDefault="00000000">
      <w:pPr>
        <w:spacing w:after="160" w:line="360" w:lineRule="auto"/>
      </w:pPr>
      <w: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14:paraId="295BC131" w14:textId="77777777" w:rsidR="001666F9" w:rsidRDefault="00000000">
      <w:pPr>
        <w:spacing w:after="160" w:line="360" w:lineRule="auto"/>
      </w:pPr>
      <w:r>
        <w:t>Erhoben wird in zwei Studienformaten, die sich ergänzen. Format A umfasst eine 1-malige Nutzung mit anschliessender Befragung und erfasst den Erstkontakt-Eindruck. Format B umfasst eine Nutzungsphase über mindestens ein Wochenende, idealerweise eine Woche, mit Abschlussbefragung und erfasst den Gewohnheitseffekt. Personen, die beide Formate durchlaufen, beantworten den Fragebogen zweimal; der individuelle Vergleich der Antworten dient als Indikator für die Verschiebung vom Erstkontakt zur Gewohnheit. Stichprobengrösse, Rekrutierung, Pilottest-Ablauf und die zugrundeliegenden Erhebungsinstrumente – SUS, Wellbeing-Items, semistrukturierte Interviews und Nutzungslogs – sind in Abschnitt 5.4 dokumentiert.</w:t>
      </w:r>
    </w:p>
    <w:p w14:paraId="400F4127" w14:textId="77777777" w:rsidR="001666F9" w:rsidRDefault="00000000">
      <w:pPr>
        <w:pStyle w:val="berschrift2"/>
      </w:pPr>
      <w:proofErr w:type="gramStart"/>
      <w:r>
        <w:t>8.2  Machbarkeitsnachweis</w:t>
      </w:r>
      <w:proofErr w:type="gramEnd"/>
    </w:p>
    <w:p w14:paraId="24435288" w14:textId="77777777" w:rsidR="001666F9" w:rsidRDefault="00000000">
      <w:pPr>
        <w:spacing w:after="160" w:line="360" w:lineRule="auto"/>
      </w:pPr>
      <w:r>
        <w:t>Der Machbarkeitsnachweis erfolgt auf drei Ebenen. Erstens dient der lauffähige Prototyp als Demonstration: Ein End-</w:t>
      </w:r>
      <w:proofErr w:type="spellStart"/>
      <w:r>
        <w:t>to</w:t>
      </w:r>
      <w:proofErr w:type="spellEnd"/>
      <w:r>
        <w:t xml:space="preserve">-End-Durchlauf von der Profileingabe über Datenintegration, LLM-gestützte Textgenerierung und Sprachsynthese bis zur ausgespielten Sendung wird reproduzierbar dokumentiert; eine Beispielsendung findet sich in Anhang E. Zweitens werden für die zentralen Pipeline-Komponenten – Datenintegration, Personalisierung, LLM-Aufrufe und Sprachsynthese – automatisierte Tests geführt, die Normalfälle, Fehlerpfade und Grenzfälle abdecken. Drittens werden nicht-funktionale Eigenschaften gemessen: Latenz pro Pipeline-Schritt, Kosten pro Sendung in LLM-Tokens und TTS-Minuten, Fehlerraten (Halluzinationen, fehlgeschlagene API-Calls) und Stabilität bei wiederholter </w:t>
      </w:r>
      <w:r>
        <w:lastRenderedPageBreak/>
        <w:t>Ausführung. Die Messungen erfolgen über mindestens 20 generierte Sendungen mit unterschiedlichen Profilkonfigurationen, um Schwankungen sichtbar zu machen.</w:t>
      </w:r>
    </w:p>
    <w:p w14:paraId="45C1EB52" w14:textId="77777777" w:rsidR="001666F9" w:rsidRDefault="00000000">
      <w:pPr>
        <w:pStyle w:val="berschrift2"/>
      </w:pPr>
      <w:proofErr w:type="gramStart"/>
      <w:r>
        <w:t>8.3  Usability</w:t>
      </w:r>
      <w:proofErr w:type="gramEnd"/>
      <w:r>
        <w:t xml:space="preserve"> und Akzeptanz</w:t>
      </w:r>
    </w:p>
    <w:p w14:paraId="3B6D804E" w14:textId="77777777" w:rsidR="001666F9" w:rsidRDefault="00000000">
      <w:pPr>
        <w:spacing w:after="160" w:line="360" w:lineRule="auto"/>
      </w:pPr>
      <w:r>
        <w:t>Die Usability- und Akzeptanzmessung kombiniert das in Abschnitt 5.4 beschriebene SUS-Instrument mit eigenkonstruierten Items, die sich an TAM und UTAUT orientieren und gezielt die Einstellungsmöglichkeiten der Webapplikation adressieren. Diese Eigenkonstruktion ist methodisch begründet: Standardinstrumente prüfen Bedienbarkeit gegen einen abstrakten Idealnutzer, sie können aber nicht klären, ob konkrete Funktionen eines neuartigen Artefakts erwünscht sind. Pro Einstellungsmöglichkeit – Sendungslänge, Themenpräferenzen, Stimmenwahl, Diversifikationsgrad und Transparenzanzeige – wird ein dreigeteiltes Item-Set erhoben: was gefällt, was als unnötig empfunden wird, was zusätzlich gewünscht wäre. Die Items werden mit LLM-Unterstützung formuliert und vor dem Pilottest mit dem Betreuer abgestimmt. Der vollständige Item-Katalog ist in Anhang C dokumentiert.</w:t>
      </w:r>
    </w:p>
    <w:p w14:paraId="72E0102B" w14:textId="77777777" w:rsidR="001666F9" w:rsidRDefault="00000000">
      <w:pPr>
        <w:pStyle w:val="berschrift2"/>
      </w:pPr>
      <w:proofErr w:type="gramStart"/>
      <w:r>
        <w:t>8.4  Wirkung</w:t>
      </w:r>
      <w:proofErr w:type="gramEnd"/>
    </w:p>
    <w:p w14:paraId="18D927AD" w14:textId="77777777" w:rsidR="001666F9" w:rsidRDefault="00000000">
      <w:pPr>
        <w:spacing w:after="160" w:line="360" w:lineRule="auto"/>
      </w:pPr>
      <w:r>
        <w:t xml:space="preserve">Die Wirkungsitems werden direkt aus dem theoretischen Rahmen in Kapitel 2 abgeleitet, sodass die Studie die spezifischen Konstrukte prüft, mit denen das Artefakt begründet wurde. Erhoben werden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vor und nach der Nutzung in Anlehnung an die Wellbeing-Items aus Abschnitt 5.4 und das in Abschnitt 2.3.3 entwickelte Wellbeing-Verständnis. Die dritte Dimension erfasst die Aspekte der algorithmischen Souveränität – Transparenz, Steuerbarkeit und Vertrauen –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t>
      </w:r>
      <w:proofErr w:type="spellStart"/>
      <w:r>
        <w:t>Wohlbefindenswirkung</w:t>
      </w:r>
      <w:proofErr w:type="spellEnd"/>
      <w:r>
        <w:t xml:space="preserve"> nicht zulasten der Grundfunktionen erkauft wird) und Awareness-Items zu Filterblasen, Bias und Grenzen des Systems (als zentraler Anspruch des Artefakts). Eine Übersicht der Konstrukte mit Beispielitems findet sich in Anhang C; die genaue Itemformulierung wird vor dem Pilottest finalisiert.</w:t>
      </w:r>
    </w:p>
    <w:p w14:paraId="5DD3DA9B" w14:textId="77777777" w:rsidR="001666F9" w:rsidRDefault="00000000">
      <w:pPr>
        <w:pStyle w:val="berschrift2"/>
      </w:pPr>
      <w:proofErr w:type="gramStart"/>
      <w:r>
        <w:t>8.5  Operationalisierung</w:t>
      </w:r>
      <w:proofErr w:type="gramEnd"/>
      <w:r>
        <w:t xml:space="preserve"> der Erfolgskriterien und Ethik</w:t>
      </w:r>
    </w:p>
    <w:p w14:paraId="23766672" w14:textId="77777777" w:rsidR="001666F9" w:rsidRDefault="00000000">
      <w:pPr>
        <w:spacing w:after="160" w:line="360" w:lineRule="auto"/>
      </w:pPr>
      <w:r>
        <w:lastRenderedPageBreak/>
        <w:t>Die in Abschnitt 4.2 konzeptuell formulierten Erfolgskriterien werden für die Validierung pro Strang operationalisiert. Auf der Machbarkeitsebene gilt der End-</w:t>
      </w:r>
      <w:proofErr w:type="spellStart"/>
      <w:r>
        <w:t>to</w:t>
      </w:r>
      <w:proofErr w:type="spellEnd"/>
      <w:r>
        <w:t>-End-Durchlauf als erfolgreich, wenn er auf mindestens 95 Prozent der Versuche fehlerfrei terminiert, die Latenz pro Sendung unter einem mit dem Betreuer abgestimmten Schwellwert bleibt und die Unit-Test-Abdeckung pro Komponente mindestens 70 Prozent erreicht. Auf der Akzeptanzebene wird ein SUS-Score von mindestens 68 Punkten – dem industriellen Durchschnitt nach Bangor, Kortum und Miller (2008) –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p>
    <w:p w14:paraId="1044D9BE" w14:textId="77777777" w:rsidR="001666F9" w:rsidRDefault="00000000">
      <w:pPr>
        <w:spacing w:after="160" w:line="360" w:lineRule="auto"/>
      </w:pPr>
      <w:r>
        <w:t xml:space="preserve">Die konkreten Schwellwerte werden vor dem Pilottest mit dem Betreuer abgestimmt. Ethik, Einwilligung und Datenschutz </w:t>
      </w:r>
      <w:proofErr w:type="spellStart"/>
      <w:r>
        <w:t>folgen den</w:t>
      </w:r>
      <w:proofErr w:type="spellEnd"/>
      <w:r>
        <w:t xml:space="preserve"> ZHAW-Standards für studentische Forschung mit Personen: Vor Studienbeginn unterzeichnen alle Testpersonen eine Einwilligungserklärung (</w:t>
      </w:r>
      <w:proofErr w:type="spellStart"/>
      <w:r>
        <w:t>Informed</w:t>
      </w:r>
      <w:proofErr w:type="spellEnd"/>
      <w:r>
        <w:t xml:space="preserve"> Consent, siehe Anhang H), </w:t>
      </w:r>
      <w:proofErr w:type="gramStart"/>
      <w:r>
        <w:t>die Studienzweck</w:t>
      </w:r>
      <w:proofErr w:type="gramEnd"/>
      <w:r>
        <w:t>, Datenarten, Verwendung, Speicherdauer und Widerrufsrecht regelt. Nutzungsdaten werden lokal erhoben und sechs Monate nach Abgabe der Thesis gelöscht; ein clientseitiges Tracking findet nicht statt.</w:t>
      </w:r>
    </w:p>
    <w:p w14:paraId="3C61F596" w14:textId="77777777" w:rsidR="001666F9" w:rsidRDefault="00000000">
      <w:pPr>
        <w:pStyle w:val="berschrift1"/>
        <w:pageBreakBefore/>
      </w:pPr>
      <w:proofErr w:type="gramStart"/>
      <w:r>
        <w:lastRenderedPageBreak/>
        <w:t>10  Diskussion</w:t>
      </w:r>
      <w:proofErr w:type="gramEnd"/>
    </w:p>
    <w:p w14:paraId="151751BD" w14:textId="77777777" w:rsidR="001666F9" w:rsidRDefault="00000000">
      <w:pPr>
        <w:spacing w:after="160" w:line="360" w:lineRule="auto"/>
      </w:pPr>
      <w: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14:paraId="3AA775C2" w14:textId="77777777" w:rsidR="001666F9" w:rsidRDefault="00000000">
      <w:pPr>
        <w:pStyle w:val="berschrift2"/>
      </w:pPr>
      <w:proofErr w:type="gramStart"/>
      <w:r>
        <w:t>10.1  Beantwortung</w:t>
      </w:r>
      <w:proofErr w:type="gramEnd"/>
      <w:r>
        <w:t xml:space="preserve"> der Forschungsfrage</w:t>
      </w:r>
    </w:p>
    <w:p w14:paraId="455D72DC" w14:textId="77777777" w:rsidR="001666F9" w:rsidRDefault="00000000">
      <w:pPr>
        <w:spacing w:after="160" w:line="360" w:lineRule="auto"/>
      </w:pPr>
      <w:r>
        <w:t xml:space="preserve">[Stub – wird nach dem Pilottest auf Basis der Ergebnisse aus Kap. 9 verfasst.] Synthese über die drei Validierungsstränge: Was wurde nachgewiesen, was bleibt offen? Die Hauptforschungsfrage aus Kap. 4 wird hier </w:t>
      </w:r>
      <w:proofErr w:type="spellStart"/>
      <w:r>
        <w:t>ebenenübergreifend</w:t>
      </w:r>
      <w:proofErr w:type="spellEnd"/>
      <w:r>
        <w:t xml:space="preserve"> beantwortet, mit klarer Markierung dessen, was die kleine Stichprobe und der kurze Untersuchungszeitraum tragen.</w:t>
      </w:r>
    </w:p>
    <w:p w14:paraId="2D0C4487" w14:textId="77777777" w:rsidR="001666F9" w:rsidRDefault="00000000">
      <w:pPr>
        <w:pStyle w:val="berschrift2"/>
      </w:pPr>
      <w:proofErr w:type="gramStart"/>
      <w:r>
        <w:t>10.2  Diskussion</w:t>
      </w:r>
      <w:proofErr w:type="gramEnd"/>
      <w:r>
        <w:t xml:space="preserve"> der Machbarkeit</w:t>
      </w:r>
    </w:p>
    <w:p w14:paraId="4AADCA61" w14:textId="77777777" w:rsidR="001666F9" w:rsidRDefault="00000000">
      <w:pPr>
        <w:spacing w:after="160" w:line="360" w:lineRule="auto"/>
      </w:pPr>
      <w:r>
        <w:t>[Stub.] Reflexion der technischen Tragfähigkeit der Pipeline: Welche Komponenten sind kostentreibend, welche fehleranfällig? Skaliert das Konzept auf grössere Nutzerzahlen? Welche Architekturentscheidungen würden sich rückblickend anders darstellen?</w:t>
      </w:r>
    </w:p>
    <w:p w14:paraId="0839D531" w14:textId="77777777" w:rsidR="001666F9" w:rsidRDefault="00000000">
      <w:pPr>
        <w:pStyle w:val="berschrift2"/>
      </w:pPr>
      <w:proofErr w:type="gramStart"/>
      <w:r>
        <w:t>10.3  Diskussion</w:t>
      </w:r>
      <w:proofErr w:type="gramEnd"/>
      <w:r>
        <w:t xml:space="preserve"> der Usability und Akzeptanz</w:t>
      </w:r>
    </w:p>
    <w:p w14:paraId="2DB46622" w14:textId="77777777" w:rsidR="001666F9" w:rsidRDefault="00000000">
      <w:pPr>
        <w:spacing w:after="160" w:line="360" w:lineRule="auto"/>
      </w:pPr>
      <w:r>
        <w:t>[Stub.] Welche Einstellungsmöglichkeiten wurden besonders geschätzt, welche als überflüssig wahrgenommen, welche fehlen? Was sagt das über die Designentscheidungen aus Kap. 6 aus, und welche Entscheidungen waren möglicherweise zu stark theoriegetrieben?</w:t>
      </w:r>
    </w:p>
    <w:p w14:paraId="7CBEFC11" w14:textId="77777777" w:rsidR="001666F9" w:rsidRDefault="00000000">
      <w:pPr>
        <w:pStyle w:val="berschrift2"/>
      </w:pPr>
      <w:proofErr w:type="gramStart"/>
      <w:r>
        <w:t>10.4  Diskussion</w:t>
      </w:r>
      <w:proofErr w:type="gramEnd"/>
      <w:r>
        <w:t xml:space="preserve"> der Wirkung</w:t>
      </w:r>
    </w:p>
    <w:p w14:paraId="45D91096" w14:textId="77777777" w:rsidR="001666F9" w:rsidRDefault="00000000">
      <w:pPr>
        <w:spacing w:after="160" w:line="360" w:lineRule="auto"/>
      </w:pPr>
      <w:r>
        <w:t>[Stub.] Einordnung in den theoretischen Rahmen aus Kap. 2: Inwieweit wurden die SDT-Bedürfnisse adressiert? Wurden VSD-Werte erlebbar? Schärfte das Artefakt die Awareness für algorithmische Souveränität? Welche Wirkung blieb aus, welche überraschte?</w:t>
      </w:r>
    </w:p>
    <w:p w14:paraId="335E2070" w14:textId="77777777" w:rsidR="001666F9" w:rsidRDefault="00000000">
      <w:pPr>
        <w:pStyle w:val="berschrift2"/>
      </w:pPr>
      <w:proofErr w:type="gramStart"/>
      <w:r>
        <w:t>10.5  Implikationen</w:t>
      </w:r>
      <w:proofErr w:type="gramEnd"/>
      <w:r>
        <w:t xml:space="preserve"> für Design und Praxis</w:t>
      </w:r>
    </w:p>
    <w:p w14:paraId="3D0F2947" w14:textId="77777777" w:rsidR="001666F9" w:rsidRDefault="00000000">
      <w:pPr>
        <w:spacing w:after="160" w:line="360" w:lineRule="auto"/>
      </w:pPr>
      <w:r>
        <w:t xml:space="preserve">[Stub.] Welche Designentscheidungen sind übertragbar auf andere </w:t>
      </w:r>
      <w:proofErr w:type="spellStart"/>
      <w:r>
        <w:t>wellbeing</w:t>
      </w:r>
      <w:proofErr w:type="spellEnd"/>
      <w:r>
        <w:t xml:space="preserve">-orientierte Medienartefakte, welche radio-spezifisch? Welche Implikationen ergeben sich für die Praxis öffentlich-rechtlicher Medien, die ein </w:t>
      </w:r>
      <w:proofErr w:type="spellStart"/>
      <w:r>
        <w:t>wellbeing</w:t>
      </w:r>
      <w:proofErr w:type="spellEnd"/>
      <w:r>
        <w:t>-orientiertes Angebot prüfen?</w:t>
      </w:r>
    </w:p>
    <w:p w14:paraId="09AF524D" w14:textId="77777777" w:rsidR="001666F9" w:rsidRDefault="00000000">
      <w:pPr>
        <w:pStyle w:val="berschrift2"/>
      </w:pPr>
      <w:proofErr w:type="gramStart"/>
      <w:r>
        <w:t>10.6  Limitationen</w:t>
      </w:r>
      <w:proofErr w:type="gramEnd"/>
    </w:p>
    <w:p w14:paraId="25F50EB8" w14:textId="77777777" w:rsidR="001666F9" w:rsidRDefault="00000000">
      <w:pPr>
        <w:spacing w:after="160" w:line="360" w:lineRule="auto"/>
      </w:pPr>
      <w:r>
        <w:lastRenderedPageBreak/>
        <w:t>[Stub.] Kleine Stichprobe (mindestens drei, mehr wünschenswert); kurzer Untersuchungszeitraum (maximal eine Woche); Selbstauswahl der Testpersonen; mögliche Verzerrung durch zweimalige Befragung derselben Personen (Lerneffekt, Erwartungseffekt); technische Restriktionen (LLM- und TTS-Latenz, Lizenzfragen Musik); Selbstreport als einzige Wirkungsquelle.</w:t>
      </w:r>
    </w:p>
    <w:p w14:paraId="45426BE8" w14:textId="77777777" w:rsidR="001666F9" w:rsidRDefault="00000000">
      <w:pPr>
        <w:pStyle w:val="berschrift2"/>
      </w:pPr>
      <w:proofErr w:type="gramStart"/>
      <w:r>
        <w:t>10.7  Übertragbarkeit</w:t>
      </w:r>
      <w:proofErr w:type="gramEnd"/>
      <w:r>
        <w:t xml:space="preserve"> auf andere Medienkontexte</w:t>
      </w:r>
    </w:p>
    <w:p w14:paraId="20326C90" w14:textId="77777777" w:rsidR="001666F9" w:rsidRDefault="00000000">
      <w:pPr>
        <w:spacing w:after="160" w:line="360" w:lineRule="auto"/>
      </w:pPr>
      <w:r>
        <w:t xml:space="preserve">[Stub.] Inwiefern lassen sich die Befunde auf Streaming, Podcast-Empfehlungen oder News-Aggregatoren übertragen? Welche Eigenschaften von Radio 25 sind generisch (definierte </w:t>
      </w:r>
      <w:proofErr w:type="spellStart"/>
      <w:r>
        <w:t>Sessionlänge</w:t>
      </w:r>
      <w:proofErr w:type="spellEnd"/>
      <w:r>
        <w:t>, explizite Präferenzangabe, Transparenzanzeige), welche formatspezifisch (auditive Modalität, eingebettete Musikauswahl)?</w:t>
      </w:r>
    </w:p>
    <w:p w14:paraId="497B9C84" w14:textId="77777777" w:rsidR="001666F9" w:rsidRDefault="00000000">
      <w:pPr>
        <w:pStyle w:val="berschrift1"/>
        <w:pageBreakBefore/>
      </w:pPr>
      <w:r>
        <w:lastRenderedPageBreak/>
        <w:t>Literaturverzeichnis (vorläufig)</w:t>
      </w:r>
    </w:p>
    <w:p w14:paraId="26304361" w14:textId="77777777" w:rsidR="001666F9" w:rsidRDefault="00000000">
      <w:pPr>
        <w:spacing w:after="160" w:line="360" w:lineRule="auto"/>
      </w:pPr>
      <w:r>
        <w:t xml:space="preserve">Die folgende Liste enthält die in den Kapiteln 1 und 2 zitierten Quellen. Sie wird im weiteren Verlauf der Arbeit ergänzt und vollständig in </w:t>
      </w:r>
      <w:proofErr w:type="spellStart"/>
      <w:r>
        <w:t>Zotero</w:t>
      </w:r>
      <w:proofErr w:type="spellEnd"/>
      <w:r>
        <w:t xml:space="preserve"> verwaltet.</w:t>
      </w:r>
    </w:p>
    <w:p w14:paraId="2495A865" w14:textId="77777777" w:rsidR="001666F9" w:rsidRPr="000C4A8B" w:rsidRDefault="00000000">
      <w:pPr>
        <w:spacing w:after="120" w:line="360" w:lineRule="auto"/>
        <w:ind w:left="720" w:hanging="720"/>
        <w:rPr>
          <w:lang w:val="en-US"/>
        </w:rPr>
      </w:pPr>
      <w:r>
        <w:t xml:space="preserve">Bangor, A., Kortum, P. T., &amp; Miller, J. T. (2008). </w:t>
      </w:r>
      <w:r w:rsidRPr="000C4A8B">
        <w:rPr>
          <w:lang w:val="en-US"/>
        </w:rPr>
        <w:t>An empirical evaluation of the System Usability Scale. International Journal of Human-Computer Interaction, 24(6), 574–594. https://doi.org/10.1080/10447310802205776</w:t>
      </w:r>
    </w:p>
    <w:p w14:paraId="1C6A0176" w14:textId="77777777" w:rsidR="001666F9" w:rsidRPr="000C4A8B" w:rsidRDefault="00000000">
      <w:pPr>
        <w:spacing w:after="120" w:line="360" w:lineRule="auto"/>
        <w:ind w:left="720" w:hanging="720"/>
        <w:rPr>
          <w:lang w:val="en-US"/>
        </w:rPr>
      </w:pPr>
      <w:r w:rsidRPr="000C4A8B">
        <w:rPr>
          <w:lang w:val="en-US"/>
        </w:rPr>
        <w:t xml:space="preserve">Brooke, J. (1996). SUS: A «quick and dirty» usability scale. In P. W. Jordan, B. Thomas, I. L. McClelland &amp; B. </w:t>
      </w:r>
      <w:proofErr w:type="spellStart"/>
      <w:r w:rsidRPr="000C4A8B">
        <w:rPr>
          <w:lang w:val="en-US"/>
        </w:rPr>
        <w:t>Weerdmeester</w:t>
      </w:r>
      <w:proofErr w:type="spellEnd"/>
      <w:r w:rsidRPr="000C4A8B">
        <w:rPr>
          <w:lang w:val="en-US"/>
        </w:rPr>
        <w:t xml:space="preserve"> (</w:t>
      </w:r>
      <w:proofErr w:type="spellStart"/>
      <w:r w:rsidRPr="000C4A8B">
        <w:rPr>
          <w:lang w:val="en-US"/>
        </w:rPr>
        <w:t>Hrsg</w:t>
      </w:r>
      <w:proofErr w:type="spellEnd"/>
      <w:r w:rsidRPr="000C4A8B">
        <w:rPr>
          <w:lang w:val="en-US"/>
        </w:rPr>
        <w:t>.), Usability evaluation in industry (S. 189–194). Taylor &amp; Francis.</w:t>
      </w:r>
    </w:p>
    <w:p w14:paraId="29C6CC62" w14:textId="77777777" w:rsidR="001666F9" w:rsidRPr="000C4A8B" w:rsidRDefault="00000000">
      <w:pPr>
        <w:spacing w:after="120" w:line="360" w:lineRule="auto"/>
        <w:ind w:left="720" w:hanging="720"/>
        <w:rPr>
          <w:lang w:val="en-US"/>
        </w:rPr>
      </w:pPr>
      <w:r w:rsidRPr="000C4A8B">
        <w:rPr>
          <w:lang w:val="en-US"/>
        </w:rPr>
        <w:t xml:space="preserve">Burr, C., Taddeo, M., &amp; </w:t>
      </w:r>
      <w:proofErr w:type="spellStart"/>
      <w:r w:rsidRPr="000C4A8B">
        <w:rPr>
          <w:lang w:val="en-US"/>
        </w:rPr>
        <w:t>Floridi</w:t>
      </w:r>
      <w:proofErr w:type="spellEnd"/>
      <w:r w:rsidRPr="000C4A8B">
        <w:rPr>
          <w:lang w:val="en-US"/>
        </w:rPr>
        <w:t>, L. (2020). The ethics of digital well-being: A thematic review. Science and Engineering Ethics, 26, 2441–2460. https://doi.org/10.1007/s11948-020-00175-8</w:t>
      </w:r>
    </w:p>
    <w:p w14:paraId="4A9B8E23" w14:textId="77777777" w:rsidR="001666F9" w:rsidRPr="000C4A8B" w:rsidRDefault="00000000">
      <w:pPr>
        <w:spacing w:after="120" w:line="360" w:lineRule="auto"/>
        <w:ind w:left="720" w:hanging="720"/>
        <w:rPr>
          <w:lang w:val="en-US"/>
        </w:rPr>
      </w:pPr>
      <w:r w:rsidRPr="000C4A8B">
        <w:rPr>
          <w:lang w:val="en-US"/>
        </w:rPr>
        <w:t>Calvo, R. A., &amp; Peters, D. (2014). Positive computing: Technology for wellbeing and human potential. MIT Press.</w:t>
      </w:r>
    </w:p>
    <w:p w14:paraId="4CA8B9F1" w14:textId="77777777" w:rsidR="001666F9" w:rsidRDefault="00000000">
      <w:pPr>
        <w:spacing w:after="120" w:line="360" w:lineRule="auto"/>
        <w:ind w:left="720" w:hanging="720"/>
      </w:pPr>
      <w:r w:rsidRPr="000C4A8B">
        <w:rPr>
          <w:lang w:val="en-US"/>
        </w:rPr>
        <w:t xml:space="preserve">Fogg, B. J. (2003). The functional triad: Computers in persuasive roles. In Persuasive technology: Using computers to change what we think and do (Kap. 2, S. 23–29). </w:t>
      </w:r>
      <w:r>
        <w:t>Morgan Kaufmann. https://doi.org/10.1016/B978-1-55860-643-2.X5000-8</w:t>
      </w:r>
    </w:p>
    <w:p w14:paraId="7FF23B99" w14:textId="77777777" w:rsidR="001666F9" w:rsidRPr="000C4A8B" w:rsidRDefault="00000000">
      <w:pPr>
        <w:spacing w:after="120" w:line="360" w:lineRule="auto"/>
        <w:ind w:left="720" w:hanging="720"/>
        <w:rPr>
          <w:lang w:val="en-US"/>
        </w:rPr>
      </w:pPr>
      <w:r>
        <w:t xml:space="preserve">Geschke, D., Lorenz, J., &amp; Holtz, P. (2019). </w:t>
      </w:r>
      <w:r w:rsidRPr="000C4A8B">
        <w:rPr>
          <w:lang w:val="en-US"/>
        </w:rPr>
        <w:t>The triple-filter bubble: Using agent-based modelling to test a meta-theoretical framework for the emergence of filter bubbles and echo chambers. British Journal of Social Psychology, 58(1), 129–149. https://doi.org/10.1111/bjso.12286</w:t>
      </w:r>
    </w:p>
    <w:p w14:paraId="0AE54FC0" w14:textId="77777777" w:rsidR="001666F9" w:rsidRPr="000C4A8B" w:rsidRDefault="00000000">
      <w:pPr>
        <w:spacing w:after="120" w:line="360" w:lineRule="auto"/>
        <w:ind w:left="720" w:hanging="720"/>
        <w:rPr>
          <w:lang w:val="en-US"/>
        </w:rPr>
      </w:pPr>
      <w:r w:rsidRPr="000C4A8B">
        <w:rPr>
          <w:lang w:val="en-US"/>
        </w:rPr>
        <w:t>Hendry, D. G., Friedman, B., &amp; Ballard, S. (2021). Value sensitive design as a formative framework. Ethics and Information Technology, 23(1), 39–44. https://doi.org/10.1007/s10676-021-09579-x</w:t>
      </w:r>
    </w:p>
    <w:p w14:paraId="1A313346" w14:textId="77777777" w:rsidR="001666F9" w:rsidRPr="000C4A8B" w:rsidRDefault="00000000">
      <w:pPr>
        <w:spacing w:after="120" w:line="360" w:lineRule="auto"/>
        <w:ind w:left="720" w:hanging="720"/>
        <w:rPr>
          <w:lang w:val="en-US"/>
        </w:rPr>
      </w:pPr>
      <w:r w:rsidRPr="000C4A8B">
        <w:rPr>
          <w:lang w:val="en-US"/>
        </w:rPr>
        <w:t xml:space="preserve">Hevner, A. R. (2007). A </w:t>
      </w:r>
      <w:proofErr w:type="gramStart"/>
      <w:r w:rsidRPr="000C4A8B">
        <w:rPr>
          <w:lang w:val="en-US"/>
        </w:rPr>
        <w:t>three cycle</w:t>
      </w:r>
      <w:proofErr w:type="gramEnd"/>
      <w:r w:rsidRPr="000C4A8B">
        <w:rPr>
          <w:lang w:val="en-US"/>
        </w:rPr>
        <w:t xml:space="preserve"> view of design science research. Scandinavian Journal of Information Systems, 19(2), 87–92.</w:t>
      </w:r>
    </w:p>
    <w:p w14:paraId="6C88B295" w14:textId="77777777" w:rsidR="001666F9" w:rsidRPr="000C4A8B" w:rsidRDefault="00000000">
      <w:pPr>
        <w:spacing w:after="120" w:line="360" w:lineRule="auto"/>
        <w:ind w:left="720" w:hanging="720"/>
        <w:rPr>
          <w:lang w:val="en-US"/>
        </w:rPr>
      </w:pPr>
      <w:r w:rsidRPr="000C4A8B">
        <w:rPr>
          <w:lang w:val="en-US"/>
        </w:rPr>
        <w:t>Hevner, A. R., March, S. T., Park, J., &amp; Ram, S. (2004). Design science in information systems research. MIS Quarterly, 28(1), 75–105. https://doi.org/10.2307/25148625</w:t>
      </w:r>
    </w:p>
    <w:p w14:paraId="5337FA22" w14:textId="77777777" w:rsidR="001666F9" w:rsidRPr="000C4A8B" w:rsidRDefault="00000000">
      <w:pPr>
        <w:spacing w:after="120" w:line="360" w:lineRule="auto"/>
        <w:ind w:left="720" w:hanging="720"/>
        <w:rPr>
          <w:lang w:val="en-US"/>
        </w:rPr>
      </w:pPr>
      <w:r w:rsidRPr="000C4A8B">
        <w:rPr>
          <w:lang w:val="en-US"/>
        </w:rPr>
        <w:t xml:space="preserve">Katz, E., </w:t>
      </w:r>
      <w:proofErr w:type="spellStart"/>
      <w:r w:rsidRPr="000C4A8B">
        <w:rPr>
          <w:lang w:val="en-US"/>
        </w:rPr>
        <w:t>Blumler</w:t>
      </w:r>
      <w:proofErr w:type="spellEnd"/>
      <w:r w:rsidRPr="000C4A8B">
        <w:rPr>
          <w:lang w:val="en-US"/>
        </w:rPr>
        <w:t>, J. G., &amp; Gurevitch, M. (1973). Uses and gratifications research. Public Opinion Quarterly, 37(4), 509–523. https://doi.org/10.1086/268109</w:t>
      </w:r>
    </w:p>
    <w:p w14:paraId="2583DBDF" w14:textId="77777777" w:rsidR="001666F9" w:rsidRPr="000C4A8B" w:rsidRDefault="00000000">
      <w:pPr>
        <w:spacing w:after="120" w:line="360" w:lineRule="auto"/>
        <w:ind w:left="720" w:hanging="720"/>
        <w:rPr>
          <w:lang w:val="en-US"/>
        </w:rPr>
      </w:pPr>
      <w:r w:rsidRPr="000C4A8B">
        <w:rPr>
          <w:lang w:val="en-US"/>
        </w:rPr>
        <w:t xml:space="preserve">Milano, S., Taddeo, M., &amp; </w:t>
      </w:r>
      <w:proofErr w:type="spellStart"/>
      <w:r w:rsidRPr="000C4A8B">
        <w:rPr>
          <w:lang w:val="en-US"/>
        </w:rPr>
        <w:t>Floridi</w:t>
      </w:r>
      <w:proofErr w:type="spellEnd"/>
      <w:r w:rsidRPr="000C4A8B">
        <w:rPr>
          <w:lang w:val="en-US"/>
        </w:rPr>
        <w:t>, L. (2020). Recommender systems and their ethical challenges. AI &amp; Society, 35, 957–967. https://doi.org/10.1007/s00146-020-00950-y</w:t>
      </w:r>
    </w:p>
    <w:p w14:paraId="4E96B49B" w14:textId="77777777" w:rsidR="001666F9" w:rsidRPr="000C4A8B" w:rsidRDefault="00000000">
      <w:pPr>
        <w:spacing w:after="120" w:line="360" w:lineRule="auto"/>
        <w:ind w:left="720" w:hanging="720"/>
        <w:rPr>
          <w:lang w:val="en-US"/>
        </w:rPr>
      </w:pPr>
      <w:r w:rsidRPr="000C4A8B">
        <w:rPr>
          <w:lang w:val="en-US"/>
        </w:rPr>
        <w:lastRenderedPageBreak/>
        <w:t>Montag, C., &amp; Elhai, J. D. (2023). On social media design, (online-)time well-spent and addictive behaviors in the age of surveillance capitalism. Current Addiction Reports, 10(4), 384–395. https://doi.org/10.1007/s40429-023-00494-3</w:t>
      </w:r>
    </w:p>
    <w:p w14:paraId="069B79CD" w14:textId="77777777" w:rsidR="001666F9" w:rsidRPr="000C4A8B" w:rsidRDefault="00000000">
      <w:pPr>
        <w:spacing w:after="120" w:line="360" w:lineRule="auto"/>
        <w:ind w:left="720" w:hanging="720"/>
        <w:rPr>
          <w:lang w:val="en-US"/>
        </w:rPr>
      </w:pPr>
      <w:r w:rsidRPr="000C4A8B">
        <w:rPr>
          <w:lang w:val="en-US"/>
        </w:rPr>
        <w:t>Montag, C., Lachmann, B., Herrlich, M., &amp; Zweig, K. (2019). Addictive features of social media/messenger platforms and freemium games against the background of psychological and economic theories. International Journal of Environmental Research and Public Health, 16(14), 2612. https://doi.org/10.3390/ijerph16142612</w:t>
      </w:r>
    </w:p>
    <w:p w14:paraId="159C58A2" w14:textId="77777777" w:rsidR="001666F9" w:rsidRPr="000C4A8B" w:rsidRDefault="00000000">
      <w:pPr>
        <w:spacing w:after="120" w:line="360" w:lineRule="auto"/>
        <w:ind w:left="720" w:hanging="720"/>
        <w:rPr>
          <w:lang w:val="en-US"/>
        </w:rPr>
      </w:pPr>
      <w:r>
        <w:t xml:space="preserve">Nguyen, T. T., Hui, P.-M., Harper, F. M., Terveen, L., &amp; </w:t>
      </w:r>
      <w:proofErr w:type="spellStart"/>
      <w:r>
        <w:t>Konstan</w:t>
      </w:r>
      <w:proofErr w:type="spellEnd"/>
      <w:r>
        <w:t xml:space="preserve">, J. A. (2014). </w:t>
      </w:r>
      <w:r w:rsidRPr="000C4A8B">
        <w:rPr>
          <w:lang w:val="en-US"/>
        </w:rPr>
        <w:t>Exploring the filter bubble: The effect of using recommender systems on content diversity. In Proceedings of the 23rd International Conference on World Wide Web (S. 677–686). ACM. https://doi.org/10.1145/2566486.2568012</w:t>
      </w:r>
    </w:p>
    <w:p w14:paraId="2A010A4E" w14:textId="77777777" w:rsidR="001666F9" w:rsidRPr="000C4A8B" w:rsidRDefault="00000000">
      <w:pPr>
        <w:spacing w:after="120" w:line="360" w:lineRule="auto"/>
        <w:ind w:left="720" w:hanging="720"/>
        <w:rPr>
          <w:lang w:val="en-US"/>
        </w:rPr>
      </w:pPr>
      <w:r w:rsidRPr="000C4A8B">
        <w:rPr>
          <w:lang w:val="en-US"/>
        </w:rPr>
        <w:t>Orben, A. (2020). Teenagers, screens and social media: A narrative review of reviews and key studies. Social Psychiatry and Psychiatric Epidemiology, 55(4), 407–414. https://doi.org/10.1007/s00127-019-01825-4</w:t>
      </w:r>
    </w:p>
    <w:p w14:paraId="04F528CF" w14:textId="77777777" w:rsidR="001666F9" w:rsidRPr="000C4A8B" w:rsidRDefault="00000000">
      <w:pPr>
        <w:spacing w:after="120" w:line="360" w:lineRule="auto"/>
        <w:ind w:left="720" w:hanging="720"/>
        <w:rPr>
          <w:lang w:val="en-US"/>
        </w:rPr>
      </w:pPr>
      <w:r w:rsidRPr="000C4A8B">
        <w:rPr>
          <w:lang w:val="en-US"/>
        </w:rPr>
        <w:t>Pariser, E. (2011). The filter bubble: What the internet is hiding from you. Penguin Press.</w:t>
      </w:r>
    </w:p>
    <w:p w14:paraId="4C2B31D7" w14:textId="77777777" w:rsidR="001666F9" w:rsidRPr="000C4A8B" w:rsidRDefault="00000000">
      <w:pPr>
        <w:spacing w:after="120" w:line="360" w:lineRule="auto"/>
        <w:ind w:left="720" w:hanging="720"/>
        <w:rPr>
          <w:lang w:val="en-US"/>
        </w:rPr>
      </w:pPr>
      <w:r w:rsidRPr="000C4A8B">
        <w:rPr>
          <w:lang w:val="en-US"/>
        </w:rPr>
        <w:t xml:space="preserve">Peffers, K., </w:t>
      </w:r>
      <w:proofErr w:type="spellStart"/>
      <w:r w:rsidRPr="000C4A8B">
        <w:rPr>
          <w:lang w:val="en-US"/>
        </w:rPr>
        <w:t>Tuunanen</w:t>
      </w:r>
      <w:proofErr w:type="spellEnd"/>
      <w:r w:rsidRPr="000C4A8B">
        <w:rPr>
          <w:lang w:val="en-US"/>
        </w:rPr>
        <w:t>, T., Rothenberger, M. A., &amp; Chatterjee, S. (2007). A design science research methodology for information systems research. Journal of Management Information Systems, 24(3), 45–77. https://doi.org/10.2753/MIS0742-1222240302</w:t>
      </w:r>
    </w:p>
    <w:p w14:paraId="3023D821" w14:textId="77777777" w:rsidR="001666F9" w:rsidRPr="000C4A8B" w:rsidRDefault="00000000">
      <w:pPr>
        <w:spacing w:after="120" w:line="360" w:lineRule="auto"/>
        <w:ind w:left="720" w:hanging="720"/>
        <w:rPr>
          <w:lang w:val="en-US"/>
        </w:rPr>
      </w:pPr>
      <w:r w:rsidRPr="000C4A8B">
        <w:rPr>
          <w:lang w:val="en-US"/>
        </w:rPr>
        <w:t xml:space="preserve">Peters, D., Ahmadpour, N., &amp; Calvo, R. A. (2020). Tools for </w:t>
      </w:r>
      <w:proofErr w:type="gramStart"/>
      <w:r w:rsidRPr="000C4A8B">
        <w:rPr>
          <w:lang w:val="en-US"/>
        </w:rPr>
        <w:t>wellbeing</w:t>
      </w:r>
      <w:proofErr w:type="gramEnd"/>
      <w:r w:rsidRPr="000C4A8B">
        <w:rPr>
          <w:lang w:val="en-US"/>
        </w:rPr>
        <w:t>-supportive design: Features, characteristics, and prototypes. Multimodal Technologies and Interaction, 4(3), 40. https://doi.org/10.3390/mti4030040</w:t>
      </w:r>
    </w:p>
    <w:p w14:paraId="6A27275A" w14:textId="77777777" w:rsidR="001666F9" w:rsidRPr="000C4A8B" w:rsidRDefault="00000000">
      <w:pPr>
        <w:spacing w:after="120" w:line="360" w:lineRule="auto"/>
        <w:ind w:left="720" w:hanging="720"/>
        <w:rPr>
          <w:lang w:val="en-US"/>
        </w:rPr>
      </w:pPr>
      <w:r w:rsidRPr="000C4A8B">
        <w:rPr>
          <w:lang w:val="en-US"/>
        </w:rPr>
        <w:t xml:space="preserve">Peters, D., Calvo, R. A., &amp; Ryan, R. M. (2018). </w:t>
      </w:r>
      <w:proofErr w:type="gramStart"/>
      <w:r w:rsidRPr="000C4A8B">
        <w:rPr>
          <w:lang w:val="en-US"/>
        </w:rPr>
        <w:t>Designing for</w:t>
      </w:r>
      <w:proofErr w:type="gramEnd"/>
      <w:r w:rsidRPr="000C4A8B">
        <w:rPr>
          <w:lang w:val="en-US"/>
        </w:rPr>
        <w:t xml:space="preserve"> motivation, engagement and wellbeing in digital experience. Frontiers in Psychology, 9, 797. https://doi.org/10.3389/fpsyg.2018.00797</w:t>
      </w:r>
    </w:p>
    <w:p w14:paraId="7B1D9ED4" w14:textId="77777777" w:rsidR="001666F9" w:rsidRPr="000C4A8B" w:rsidRDefault="00000000">
      <w:pPr>
        <w:spacing w:after="120" w:line="360" w:lineRule="auto"/>
        <w:ind w:left="720" w:hanging="720"/>
        <w:rPr>
          <w:lang w:val="en-US"/>
        </w:rPr>
      </w:pPr>
      <w:proofErr w:type="spellStart"/>
      <w:r w:rsidRPr="000C4A8B">
        <w:rPr>
          <w:lang w:val="en-US"/>
        </w:rPr>
        <w:t>Reviglio</w:t>
      </w:r>
      <w:proofErr w:type="spellEnd"/>
      <w:r w:rsidRPr="000C4A8B">
        <w:rPr>
          <w:lang w:val="en-US"/>
        </w:rPr>
        <w:t xml:space="preserve">, U., &amp; Agosti, C. (2020). Thinking outside the </w:t>
      </w:r>
      <w:proofErr w:type="gramStart"/>
      <w:r w:rsidRPr="000C4A8B">
        <w:rPr>
          <w:lang w:val="en-US"/>
        </w:rPr>
        <w:t>black-box</w:t>
      </w:r>
      <w:proofErr w:type="gramEnd"/>
      <w:r w:rsidRPr="000C4A8B">
        <w:rPr>
          <w:lang w:val="en-US"/>
        </w:rPr>
        <w:t xml:space="preserve">: The case for «algorithmic sovereignty» in social media. </w:t>
      </w:r>
      <w:proofErr w:type="gramStart"/>
      <w:r w:rsidRPr="000C4A8B">
        <w:rPr>
          <w:lang w:val="en-US"/>
        </w:rPr>
        <w:t>Social Media</w:t>
      </w:r>
      <w:proofErr w:type="gramEnd"/>
      <w:r w:rsidRPr="000C4A8B">
        <w:rPr>
          <w:lang w:val="en-US"/>
        </w:rPr>
        <w:t xml:space="preserve"> + Society, 6(2), 1–12. https://doi.org/10.1177/2056305120915613</w:t>
      </w:r>
    </w:p>
    <w:p w14:paraId="3A6323E0" w14:textId="77777777" w:rsidR="001666F9" w:rsidRDefault="00000000">
      <w:pPr>
        <w:spacing w:after="120" w:line="360" w:lineRule="auto"/>
        <w:ind w:left="720" w:hanging="720"/>
      </w:pPr>
      <w:r w:rsidRPr="000C4A8B">
        <w:rPr>
          <w:lang w:val="en-US"/>
        </w:rPr>
        <w:t>Ricci, F., Rokach, L., &amp; Shapira, B. (</w:t>
      </w:r>
      <w:proofErr w:type="spellStart"/>
      <w:r w:rsidRPr="000C4A8B">
        <w:rPr>
          <w:lang w:val="en-US"/>
        </w:rPr>
        <w:t>Hrsg</w:t>
      </w:r>
      <w:proofErr w:type="spellEnd"/>
      <w:r w:rsidRPr="000C4A8B">
        <w:rPr>
          <w:lang w:val="en-US"/>
        </w:rPr>
        <w:t xml:space="preserve">.). </w:t>
      </w:r>
      <w:r>
        <w:t xml:space="preserve">(2015). </w:t>
      </w:r>
      <w:proofErr w:type="spellStart"/>
      <w:r>
        <w:t>Recommender</w:t>
      </w:r>
      <w:proofErr w:type="spellEnd"/>
      <w:r>
        <w:t xml:space="preserve"> </w:t>
      </w:r>
      <w:proofErr w:type="spellStart"/>
      <w:r>
        <w:t>systems</w:t>
      </w:r>
      <w:proofErr w:type="spellEnd"/>
      <w:r>
        <w:t xml:space="preserve"> </w:t>
      </w:r>
      <w:proofErr w:type="spellStart"/>
      <w:r>
        <w:t>handbook</w:t>
      </w:r>
      <w:proofErr w:type="spellEnd"/>
      <w:r>
        <w:t xml:space="preserve"> (2. Aufl.). Springer. https://doi.org/10.1007/978-1-4899-7637-6</w:t>
      </w:r>
    </w:p>
    <w:p w14:paraId="086421C5" w14:textId="77777777" w:rsidR="001666F9" w:rsidRPr="000C4A8B" w:rsidRDefault="00000000">
      <w:pPr>
        <w:spacing w:after="120" w:line="360" w:lineRule="auto"/>
        <w:ind w:left="720" w:hanging="720"/>
        <w:rPr>
          <w:lang w:val="en-US"/>
        </w:rPr>
      </w:pPr>
      <w:r w:rsidRPr="000C4A8B">
        <w:rPr>
          <w:lang w:val="en-US"/>
        </w:rPr>
        <w:t>Ryan, R. M., &amp; Deci, E. L. (2000). Self-determination theory and the facilitation of intrinsic motivation, social development, and well-being. American Psychologist, 55(1), 68–78. https://doi.org/10.1037/0003-066X.55.1.68</w:t>
      </w:r>
    </w:p>
    <w:p w14:paraId="04702A6F" w14:textId="77777777" w:rsidR="001666F9" w:rsidRPr="000C4A8B" w:rsidRDefault="00000000">
      <w:pPr>
        <w:spacing w:after="120" w:line="360" w:lineRule="auto"/>
        <w:ind w:left="720" w:hanging="720"/>
        <w:rPr>
          <w:lang w:val="en-US"/>
        </w:rPr>
      </w:pPr>
      <w:r w:rsidRPr="000C4A8B">
        <w:rPr>
          <w:lang w:val="en-US"/>
        </w:rPr>
        <w:lastRenderedPageBreak/>
        <w:t>Sunstein, C. R. (2017). Polarization. In #Republic: Divided democracy in the age of social media (Kap. 3, S. 59–97). Princeton University Press.</w:t>
      </w:r>
    </w:p>
    <w:p w14:paraId="5E1889B6" w14:textId="77777777" w:rsidR="001666F9" w:rsidRPr="000C4A8B" w:rsidRDefault="00000000">
      <w:pPr>
        <w:spacing w:after="120" w:line="360" w:lineRule="auto"/>
        <w:ind w:left="720" w:hanging="720"/>
        <w:rPr>
          <w:lang w:val="en-US"/>
        </w:rPr>
      </w:pPr>
      <w:r w:rsidRPr="000C4A8B">
        <w:rPr>
          <w:lang w:val="en-US"/>
        </w:rPr>
        <w:t xml:space="preserve">Vanden Abeele, M. M. P. (2021). Digital wellbeing </w:t>
      </w:r>
      <w:proofErr w:type="gramStart"/>
      <w:r w:rsidRPr="000C4A8B">
        <w:rPr>
          <w:lang w:val="en-US"/>
        </w:rPr>
        <w:t>as</w:t>
      </w:r>
      <w:proofErr w:type="gramEnd"/>
      <w:r w:rsidRPr="000C4A8B">
        <w:rPr>
          <w:lang w:val="en-US"/>
        </w:rPr>
        <w:t xml:space="preserve"> a dynamic construct. Communication Theory, 31(4), 932–955. https://doi.org/10.1093/ct/qtaa024</w:t>
      </w:r>
    </w:p>
    <w:p w14:paraId="6E67FD75" w14:textId="77777777" w:rsidR="001666F9" w:rsidRPr="000C4A8B" w:rsidRDefault="00000000">
      <w:pPr>
        <w:spacing w:after="120" w:line="360" w:lineRule="auto"/>
        <w:ind w:left="720" w:hanging="720"/>
        <w:rPr>
          <w:lang w:val="en-US"/>
        </w:rPr>
      </w:pPr>
      <w:r w:rsidRPr="000C4A8B">
        <w:rPr>
          <w:lang w:val="en-US"/>
        </w:rPr>
        <w:t xml:space="preserve">Verduyn, P., Lee, D. S., Park, J., </w:t>
      </w:r>
      <w:proofErr w:type="spellStart"/>
      <w:r w:rsidRPr="000C4A8B">
        <w:rPr>
          <w:lang w:val="en-US"/>
        </w:rPr>
        <w:t>Shablack</w:t>
      </w:r>
      <w:proofErr w:type="spellEnd"/>
      <w:r w:rsidRPr="000C4A8B">
        <w:rPr>
          <w:lang w:val="en-US"/>
        </w:rPr>
        <w:t>, H., Orvell, A., Bayer, J., Ybarra, O., Jonides, J., &amp; Kross, E. (2015). Passive Facebook usage undermines affective well-being: Experimental and longitudinal evidence. Journal of Experimental Psychology: General, 144(2), 480–488. https://doi.org/10.1037/xge0000057</w:t>
      </w:r>
    </w:p>
    <w:p w14:paraId="26735263" w14:textId="77777777" w:rsidR="001666F9" w:rsidRDefault="00000000">
      <w:pPr>
        <w:spacing w:after="120" w:line="360" w:lineRule="auto"/>
        <w:ind w:left="720" w:hanging="720"/>
      </w:pPr>
      <w:r w:rsidRPr="000C4A8B">
        <w:rPr>
          <w:lang w:val="en-US"/>
        </w:rPr>
        <w:t xml:space="preserve">Vosoughi, S., Roy, D., &amp; Aral, S. (2018). The spread of true and false news online. </w:t>
      </w:r>
      <w:r>
        <w:t>Science, 359(6380), 1146–1151. https://doi.org/10.1126/science.aap9559</w:t>
      </w:r>
    </w:p>
    <w:p w14:paraId="312C748F" w14:textId="77777777" w:rsidR="001666F9" w:rsidRPr="000C4A8B" w:rsidRDefault="00000000">
      <w:pPr>
        <w:spacing w:after="120" w:line="360" w:lineRule="auto"/>
        <w:ind w:left="720" w:hanging="720"/>
        <w:rPr>
          <w:lang w:val="en-US"/>
        </w:rPr>
      </w:pPr>
      <w:r>
        <w:t xml:space="preserve">Weinmann, M., Schneider, C., &amp; vom Brocke, J. (2016). </w:t>
      </w:r>
      <w:r w:rsidRPr="000C4A8B">
        <w:rPr>
          <w:lang w:val="en-US"/>
        </w:rPr>
        <w:t>Digital nudging. Business &amp; Information Systems Engineering, 58(6), 433–436. https://doi.org/10.1007/s12599-016-0453-3</w:t>
      </w:r>
    </w:p>
    <w:p w14:paraId="11806E90" w14:textId="77777777" w:rsidR="001666F9" w:rsidRDefault="00000000">
      <w:pPr>
        <w:spacing w:after="120" w:line="360" w:lineRule="auto"/>
        <w:ind w:left="720" w:hanging="720"/>
      </w:pPr>
      <w:r w:rsidRPr="000C4A8B">
        <w:rPr>
          <w:lang w:val="en-US"/>
        </w:rPr>
        <w:t xml:space="preserve">Zuboff, S. (2019). The discovery of behavioral surplus. In The age of surveillance capitalism: The fight for a human future at the new frontier of power (Kap. 3, S. 63–97). </w:t>
      </w:r>
      <w:proofErr w:type="spellStart"/>
      <w:r>
        <w:t>PublicAffairs</w:t>
      </w:r>
      <w:proofErr w:type="spellEnd"/>
      <w:r>
        <w:t>.</w:t>
      </w:r>
    </w:p>
    <w:sectPr w:rsidR="001666F9">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7C1C2" w14:textId="77777777" w:rsidR="005C13F7" w:rsidRDefault="005C13F7">
      <w:r>
        <w:separator/>
      </w:r>
    </w:p>
  </w:endnote>
  <w:endnote w:type="continuationSeparator" w:id="0">
    <w:p w14:paraId="05B815C7" w14:textId="77777777" w:rsidR="005C13F7" w:rsidRDefault="005C13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29CCE" w14:textId="77777777" w:rsidR="001666F9" w:rsidRDefault="00000000">
    <w:pPr>
      <w:jc w:val="center"/>
    </w:pPr>
    <w:r>
      <w:rPr>
        <w:sz w:val="20"/>
        <w:szCs w:val="20"/>
      </w:rPr>
      <w:t xml:space="preserve">Seite </w:t>
    </w:r>
    <w:r>
      <w:rPr>
        <w:sz w:val="20"/>
        <w:szCs w:val="20"/>
      </w:rPr>
      <w:fldChar w:fldCharType="begin"/>
    </w:r>
    <w:r>
      <w:rPr>
        <w:sz w:val="20"/>
        <w:szCs w:val="20"/>
      </w:rPr>
      <w:instrText>PAGE</w:instrText>
    </w:r>
    <w:r>
      <w:rPr>
        <w:sz w:val="20"/>
        <w:szCs w:val="20"/>
      </w:rPr>
      <w:fldChar w:fldCharType="separate"/>
    </w:r>
    <w:r w:rsidR="000C4A8B">
      <w:rPr>
        <w:noProof/>
        <w:sz w:val="20"/>
        <w:szCs w:val="20"/>
      </w:rPr>
      <w:t>1</w:t>
    </w:r>
    <w:r>
      <w:rPr>
        <w:sz w:val="20"/>
        <w:szCs w:val="20"/>
      </w:rPr>
      <w:fldChar w:fldCharType="end"/>
    </w:r>
    <w:r>
      <w:rPr>
        <w:sz w:val="20"/>
        <w:szCs w:val="20"/>
      </w:rPr>
      <w:t xml:space="preserve"> von </w:t>
    </w:r>
    <w:r>
      <w:rPr>
        <w:sz w:val="20"/>
        <w:szCs w:val="20"/>
      </w:rPr>
      <w:fldChar w:fldCharType="begin"/>
    </w:r>
    <w:r>
      <w:rPr>
        <w:sz w:val="20"/>
        <w:szCs w:val="20"/>
      </w:rPr>
      <w:instrText>NUMPAGES</w:instrText>
    </w:r>
    <w:r>
      <w:rPr>
        <w:sz w:val="20"/>
        <w:szCs w:val="20"/>
      </w:rPr>
      <w:fldChar w:fldCharType="separate"/>
    </w:r>
    <w:r w:rsidR="000C4A8B">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F14C6" w14:textId="77777777" w:rsidR="005C13F7" w:rsidRDefault="005C13F7">
      <w:r>
        <w:separator/>
      </w:r>
    </w:p>
  </w:footnote>
  <w:footnote w:type="continuationSeparator" w:id="0">
    <w:p w14:paraId="3526BC92" w14:textId="77777777" w:rsidR="005C13F7" w:rsidRDefault="005C13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C5544"/>
    <w:multiLevelType w:val="hybridMultilevel"/>
    <w:tmpl w:val="96C46B96"/>
    <w:lvl w:ilvl="0" w:tplc="BD70F164">
      <w:start w:val="1"/>
      <w:numFmt w:val="bullet"/>
      <w:lvlText w:val="•"/>
      <w:lvlJc w:val="left"/>
      <w:pPr>
        <w:ind w:left="720" w:hanging="360"/>
      </w:pPr>
    </w:lvl>
    <w:lvl w:ilvl="1" w:tplc="11404A8C">
      <w:numFmt w:val="decimal"/>
      <w:lvlText w:val=""/>
      <w:lvlJc w:val="left"/>
    </w:lvl>
    <w:lvl w:ilvl="2" w:tplc="36420304">
      <w:numFmt w:val="decimal"/>
      <w:lvlText w:val=""/>
      <w:lvlJc w:val="left"/>
    </w:lvl>
    <w:lvl w:ilvl="3" w:tplc="33ACA0CE">
      <w:numFmt w:val="decimal"/>
      <w:lvlText w:val=""/>
      <w:lvlJc w:val="left"/>
    </w:lvl>
    <w:lvl w:ilvl="4" w:tplc="AA5E4B22">
      <w:numFmt w:val="decimal"/>
      <w:lvlText w:val=""/>
      <w:lvlJc w:val="left"/>
    </w:lvl>
    <w:lvl w:ilvl="5" w:tplc="C69A865A">
      <w:numFmt w:val="decimal"/>
      <w:lvlText w:val=""/>
      <w:lvlJc w:val="left"/>
    </w:lvl>
    <w:lvl w:ilvl="6" w:tplc="9628F6A0">
      <w:numFmt w:val="decimal"/>
      <w:lvlText w:val=""/>
      <w:lvlJc w:val="left"/>
    </w:lvl>
    <w:lvl w:ilvl="7" w:tplc="172EC7E0">
      <w:numFmt w:val="decimal"/>
      <w:lvlText w:val=""/>
      <w:lvlJc w:val="left"/>
    </w:lvl>
    <w:lvl w:ilvl="8" w:tplc="6480D844">
      <w:numFmt w:val="decimal"/>
      <w:lvlText w:val=""/>
      <w:lvlJc w:val="left"/>
    </w:lvl>
  </w:abstractNum>
  <w:abstractNum w:abstractNumId="1" w15:restartNumberingAfterBreak="0">
    <w:nsid w:val="591E2927"/>
    <w:multiLevelType w:val="hybridMultilevel"/>
    <w:tmpl w:val="332686FA"/>
    <w:lvl w:ilvl="0" w:tplc="B2226A54">
      <w:start w:val="1"/>
      <w:numFmt w:val="bullet"/>
      <w:lvlText w:val="●"/>
      <w:lvlJc w:val="left"/>
      <w:pPr>
        <w:ind w:left="720" w:hanging="360"/>
      </w:pPr>
    </w:lvl>
    <w:lvl w:ilvl="1" w:tplc="76285EA0">
      <w:start w:val="1"/>
      <w:numFmt w:val="bullet"/>
      <w:lvlText w:val="○"/>
      <w:lvlJc w:val="left"/>
      <w:pPr>
        <w:ind w:left="1440" w:hanging="360"/>
      </w:pPr>
    </w:lvl>
    <w:lvl w:ilvl="2" w:tplc="ADC26F3C">
      <w:start w:val="1"/>
      <w:numFmt w:val="bullet"/>
      <w:lvlText w:val="■"/>
      <w:lvlJc w:val="left"/>
      <w:pPr>
        <w:ind w:left="2160" w:hanging="360"/>
      </w:pPr>
    </w:lvl>
    <w:lvl w:ilvl="3" w:tplc="D88C0972">
      <w:start w:val="1"/>
      <w:numFmt w:val="bullet"/>
      <w:lvlText w:val="●"/>
      <w:lvlJc w:val="left"/>
      <w:pPr>
        <w:ind w:left="2880" w:hanging="360"/>
      </w:pPr>
    </w:lvl>
    <w:lvl w:ilvl="4" w:tplc="9586BEE8">
      <w:start w:val="1"/>
      <w:numFmt w:val="bullet"/>
      <w:lvlText w:val="○"/>
      <w:lvlJc w:val="left"/>
      <w:pPr>
        <w:ind w:left="3600" w:hanging="360"/>
      </w:pPr>
    </w:lvl>
    <w:lvl w:ilvl="5" w:tplc="43E29B78">
      <w:start w:val="1"/>
      <w:numFmt w:val="bullet"/>
      <w:lvlText w:val="■"/>
      <w:lvlJc w:val="left"/>
      <w:pPr>
        <w:ind w:left="4320" w:hanging="360"/>
      </w:pPr>
    </w:lvl>
    <w:lvl w:ilvl="6" w:tplc="DB060BB2">
      <w:start w:val="1"/>
      <w:numFmt w:val="bullet"/>
      <w:lvlText w:val="●"/>
      <w:lvlJc w:val="left"/>
      <w:pPr>
        <w:ind w:left="5040" w:hanging="360"/>
      </w:pPr>
    </w:lvl>
    <w:lvl w:ilvl="7" w:tplc="070E1E92">
      <w:start w:val="1"/>
      <w:numFmt w:val="bullet"/>
      <w:lvlText w:val="●"/>
      <w:lvlJc w:val="left"/>
      <w:pPr>
        <w:ind w:left="5760" w:hanging="360"/>
      </w:pPr>
    </w:lvl>
    <w:lvl w:ilvl="8" w:tplc="1BBE9DC2">
      <w:start w:val="1"/>
      <w:numFmt w:val="bullet"/>
      <w:lvlText w:val="●"/>
      <w:lvlJc w:val="left"/>
      <w:pPr>
        <w:ind w:left="6480" w:hanging="360"/>
      </w:pPr>
    </w:lvl>
  </w:abstractNum>
  <w:num w:numId="1" w16cid:durableId="1998723147">
    <w:abstractNumId w:val="1"/>
    <w:lvlOverride w:ilvl="0">
      <w:startOverride w:val="1"/>
    </w:lvlOverride>
  </w:num>
  <w:num w:numId="2" w16cid:durableId="14742479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6F9"/>
    <w:rsid w:val="000C4A8B"/>
    <w:rsid w:val="001666F9"/>
    <w:rsid w:val="0027210F"/>
    <w:rsid w:val="005C13F7"/>
    <w:rsid w:val="00804A5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9D6D4"/>
  <w15:docId w15:val="{74BCFCF2-007B-4DD4-B56D-35A194491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000000"/>
      <w:sz w:val="32"/>
      <w:szCs w:val="32"/>
    </w:rPr>
  </w:style>
  <w:style w:type="paragraph" w:styleId="berschrift2">
    <w:name w:val="heading 2"/>
    <w:uiPriority w:val="9"/>
    <w:unhideWhenUsed/>
    <w:qFormat/>
    <w:pPr>
      <w:spacing w:before="320" w:after="160"/>
      <w:outlineLvl w:val="1"/>
    </w:pPr>
    <w:rPr>
      <w:b/>
      <w:bCs/>
      <w:color w:val="000000"/>
      <w:sz w:val="28"/>
      <w:szCs w:val="28"/>
    </w:rPr>
  </w:style>
  <w:style w:type="paragraph" w:styleId="berschrift3">
    <w:name w:val="heading 3"/>
    <w:uiPriority w:val="9"/>
    <w:unhideWhenUsed/>
    <w:qFormat/>
    <w:pPr>
      <w:spacing w:before="240" w:after="120"/>
      <w:outlineLvl w:val="2"/>
    </w:pPr>
    <w:rPr>
      <w:b/>
      <w:bCs/>
      <w:color w:val="000000"/>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10510</Words>
  <Characters>66215</Characters>
  <Application>Microsoft Office Word</Application>
  <DocSecurity>0</DocSecurity>
  <Lines>551</Lines>
  <Paragraphs>153</Paragraphs>
  <ScaleCrop>false</ScaleCrop>
  <HeadingPairs>
    <vt:vector size="2" baseType="variant">
      <vt:variant>
        <vt:lpstr>Titel</vt:lpstr>
      </vt:variant>
      <vt:variant>
        <vt:i4>1</vt:i4>
      </vt:variant>
    </vt:vector>
  </HeadingPairs>
  <TitlesOfParts>
    <vt:vector size="1" baseType="lpstr">
      <vt:lpstr>Radio 25 - BSc Thesis Hauptdokument</vt:lpstr>
    </vt:vector>
  </TitlesOfParts>
  <Company/>
  <LinksUpToDate>false</LinksUpToDate>
  <CharactersWithSpaces>76572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creator>Michael Möckli</dc:creator>
  <cp:lastModifiedBy>Michael Möckli</cp:lastModifiedBy>
  <cp:revision>2</cp:revision>
  <dcterms:created xsi:type="dcterms:W3CDTF">2026-04-25T15:59:00Z</dcterms:created>
  <dcterms:modified xsi:type="dcterms:W3CDTF">2026-05-07T08:55:00Z</dcterms:modified>
</cp:coreProperties>
</file>