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4EF9" w14:textId="77777777" w:rsidR="001666F9" w:rsidRDefault="00000000">
      <w:pPr>
        <w:spacing w:before="800" w:after="200"/>
        <w:jc w:val="center"/>
      </w:pPr>
      <w:r>
        <w:rPr>
          <w:b/>
          <w:bCs/>
        </w:rPr>
        <w:t>ZHAW Zürcher Hochschule für Angewandte Wissenschaften</w:t>
      </w:r>
    </w:p>
    <w:p w14:paraId="28669CD8" w14:textId="77777777" w:rsidR="001666F9" w:rsidRDefault="00000000">
      <w:pPr>
        <w:spacing w:after="1200"/>
        <w:jc w:val="center"/>
      </w:pPr>
      <w:r>
        <w:t>Institut für Wirtschaftsinformatik</w:t>
      </w:r>
    </w:p>
    <w:p w14:paraId="039BE403" w14:textId="77777777" w:rsidR="001666F9" w:rsidRDefault="00000000">
      <w:pPr>
        <w:spacing w:after="600"/>
        <w:jc w:val="center"/>
      </w:pPr>
      <w:r>
        <w:rPr>
          <w:b/>
          <w:bCs/>
          <w:sz w:val="28"/>
          <w:szCs w:val="28"/>
        </w:rPr>
        <w:t>BSc-Thesis</w:t>
      </w:r>
    </w:p>
    <w:p w14:paraId="0E86FCE4" w14:textId="77777777" w:rsidR="001666F9" w:rsidRDefault="00000000">
      <w:pPr>
        <w:spacing w:after="80"/>
        <w:jc w:val="center"/>
      </w:pPr>
      <w:r>
        <w:rPr>
          <w:b/>
          <w:bCs/>
          <w:sz w:val="44"/>
          <w:szCs w:val="44"/>
        </w:rPr>
        <w:t>Attune: Nutzerzentrierte Personalisierung</w:t>
      </w:r>
    </w:p>
    <w:p w14:paraId="6BA07A56" w14:textId="77777777" w:rsidR="001666F9" w:rsidRDefault="00000000">
      <w:pPr>
        <w:spacing w:after="80"/>
        <w:jc w:val="center"/>
      </w:pPr>
      <w:r>
        <w:rPr>
          <w:b/>
          <w:bCs/>
          <w:sz w:val="44"/>
          <w:szCs w:val="44"/>
        </w:rPr>
        <w:t>im vollautomatisierten Radio</w:t>
      </w:r>
    </w:p>
    <w:p w14:paraId="06822856" w14:textId="77777777" w:rsidR="001666F9" w:rsidRDefault="00000000">
      <w:pPr>
        <w:spacing w:after="1200"/>
        <w:jc w:val="center"/>
      </w:pPr>
      <w:r>
        <w:rPr>
          <w:i/>
          <w:iCs/>
          <w:sz w:val="28"/>
          <w:szCs w:val="28"/>
        </w:rPr>
        <w:t>Eine Konzeptstudie im Kontext von Digital Wellbeing</w:t>
      </w:r>
    </w:p>
    <w:p w14:paraId="4A521EB8" w14:textId="77777777" w:rsidR="001666F9" w:rsidRDefault="00000000">
      <w:pPr>
        <w:spacing w:after="80"/>
        <w:jc w:val="center"/>
      </w:pPr>
      <w:r>
        <w:t>Autor: Michael Möckli</w:t>
      </w:r>
    </w:p>
    <w:p w14:paraId="4B714A84" w14:textId="77777777" w:rsidR="001666F9" w:rsidRDefault="00000000">
      <w:pPr>
        <w:spacing w:after="80"/>
        <w:jc w:val="center"/>
      </w:pPr>
      <w:r>
        <w:t>Betreuer: Alexandre de Spindler</w:t>
      </w:r>
    </w:p>
    <w:p w14:paraId="54448357" w14:textId="77777777" w:rsidR="001666F9" w:rsidRDefault="00000000">
      <w:pPr>
        <w:spacing w:after="200"/>
        <w:jc w:val="center"/>
      </w:pPr>
      <w:r>
        <w:t>Stand: 25. April 2026</w:t>
      </w:r>
    </w:p>
    <w:p w14:paraId="636F9531" w14:textId="77777777" w:rsidR="001666F9" w:rsidRDefault="00000000">
      <w:pPr>
        <w:pStyle w:val="berschrift1"/>
        <w:pageBreakBefore/>
      </w:pPr>
      <w:r>
        <w:lastRenderedPageBreak/>
        <w:t>1  Motivation</w:t>
      </w:r>
    </w:p>
    <w:p w14:paraId="4ABB6AEB"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1301855A"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C658837" w14:textId="77777777" w:rsidR="001666F9" w:rsidRDefault="00000000">
      <w:pPr>
        <w:pStyle w:val="berschrift2"/>
      </w:pPr>
      <w:r>
        <w:t>1.1  Das Spannungsfeld zwischen Nutzer und Anbieter</w:t>
      </w:r>
    </w:p>
    <w:p w14:paraId="1E277A81"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B935624"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0E5C9486"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10BA8C75" w14:textId="77777777" w:rsidR="001666F9" w:rsidRDefault="00000000">
      <w:pPr>
        <w:pStyle w:val="berschrift2"/>
      </w:pPr>
      <w:r>
        <w:t>1.2  Das Geschäftsmodell der Aufmerksamkeitsökonomie</w:t>
      </w:r>
    </w:p>
    <w:p w14:paraId="5FAB2BA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4B7C7D8"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597A7931" w14:textId="77777777" w:rsidR="001666F9" w:rsidRDefault="00000000">
      <w:pPr>
        <w:pStyle w:val="berschrift2"/>
      </w:pPr>
      <w:r>
        <w:t>1.3  Manipulative Designmuster</w:t>
      </w:r>
    </w:p>
    <w:p w14:paraId="4A8830D4"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65C621A9"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D0638C4"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72BCB860"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4CFA40C5"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3793B62F"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38C10324"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5FA23C4A" w14:textId="77777777" w:rsidR="001666F9" w:rsidRDefault="00000000">
      <w:pPr>
        <w:pStyle w:val="berschrift2"/>
      </w:pPr>
      <w:r>
        <w:t>1.4  Filterblasen, Echokammern und Polarisierung</w:t>
      </w:r>
    </w:p>
    <w:p w14:paraId="6DEFD645"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24FC0AC8"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74365BEA" w14:textId="77777777" w:rsidR="001666F9" w:rsidRDefault="00000000">
      <w:pPr>
        <w:pStyle w:val="berschrift2"/>
      </w:pPr>
      <w:r>
        <w:t>1.5  Psychisches Wohlbefinden und Suchtverhalten</w:t>
      </w:r>
    </w:p>
    <w:p w14:paraId="6471283A"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64211B99"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652CB75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7F816621" w14:textId="77777777" w:rsidR="001666F9" w:rsidRDefault="00000000">
      <w:pPr>
        <w:pStyle w:val="berschrift2"/>
      </w:pPr>
      <w:r>
        <w:t>1.6  Verlust der Nutzerautonomie</w:t>
      </w:r>
    </w:p>
    <w:p w14:paraId="2237F9AD"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587214B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2B91E3DC" w14:textId="77777777" w:rsidR="001666F9" w:rsidRDefault="00000000">
      <w:pPr>
        <w:pStyle w:val="berschrift2"/>
      </w:pPr>
      <w:r>
        <w:t>1.7  Zwischenfazit: Der Kern des Problems</w:t>
      </w:r>
    </w:p>
    <w:p w14:paraId="16DF42EB"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lastRenderedPageBreak/>
        <w:t>Unterhaltung gedacht waren, haben sich zu Systemen entwickelt, die primär ihre eigene Nutzungszeit maximieren, häufig auf Kosten der Nutzenden.</w:t>
      </w:r>
    </w:p>
    <w:p w14:paraId="0E16FC9A"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22E56182"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54DA8F98" w14:textId="77777777" w:rsidR="001666F9" w:rsidRDefault="00000000">
      <w:pPr>
        <w:pStyle w:val="berschrift1"/>
        <w:pageBreakBefore/>
      </w:pPr>
      <w:r>
        <w:lastRenderedPageBreak/>
        <w:t>2  Background</w:t>
      </w:r>
    </w:p>
    <w:p w14:paraId="5FC38C1D"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6BE322D4" w14:textId="77777777" w:rsidR="001666F9" w:rsidRDefault="00000000">
      <w:pPr>
        <w:pStyle w:val="berschrift2"/>
      </w:pPr>
      <w:r>
        <w:t>2.1  Bedürfnisse und Motivationen der Akteure</w:t>
      </w:r>
    </w:p>
    <w:p w14:paraId="03BC073F" w14:textId="77777777" w:rsidR="001666F9" w:rsidRDefault="00000000">
      <w:pPr>
        <w:pStyle w:val="berschrift3"/>
      </w:pPr>
      <w:r>
        <w:t>2.1.1  Anbieterseite</w:t>
      </w:r>
    </w:p>
    <w:p w14:paraId="5F6EA279" w14:textId="77777777" w:rsidR="001666F9" w:rsidRDefault="00000000">
      <w:pPr>
        <w:spacing w:after="160" w:line="360" w:lineRule="auto"/>
      </w:pPr>
      <w:r>
        <w:t>Anbieter digitaler Medien verfolgen unterschiedliche Motive, die sich drei idealtypischen Kategorien zuordnen lassen.</w:t>
      </w:r>
    </w:p>
    <w:p w14:paraId="325BEAB4"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0B47C0B4"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5AB86D8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704F312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291DA632" w14:textId="77777777" w:rsidR="001666F9" w:rsidRDefault="00000000">
      <w:pPr>
        <w:pStyle w:val="berschrift3"/>
      </w:pPr>
      <w:r>
        <w:t>2.1.2  Nutzerseite</w:t>
      </w:r>
    </w:p>
    <w:p w14:paraId="717D9DE8"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7B1FD400"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0F14F49F"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31F92B8A" w14:textId="77777777" w:rsidR="001666F9" w:rsidRDefault="00000000">
      <w:pPr>
        <w:pStyle w:val="Listenabsatz"/>
        <w:numPr>
          <w:ilvl w:val="0"/>
          <w:numId w:val="2"/>
        </w:numPr>
        <w:spacing w:after="80" w:line="360" w:lineRule="auto"/>
      </w:pPr>
      <w:r>
        <w:t>Kompetenz: das Gefühl, wirksam zu sein und Herausforderungen bewältigen zu können;</w:t>
      </w:r>
    </w:p>
    <w:p w14:paraId="3F081451"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34003055"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064AFC9B"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05C983FA" w14:textId="77777777" w:rsidR="001666F9" w:rsidRDefault="00000000">
      <w:pPr>
        <w:pStyle w:val="berschrift2"/>
      </w:pPr>
      <w:r>
        <w:t>2.2  Mechanismen digitaler Medienangebote</w:t>
      </w:r>
    </w:p>
    <w:p w14:paraId="1ED8D41B"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7F4DD1D1" w14:textId="77777777" w:rsidR="001666F9" w:rsidRDefault="00000000">
      <w:pPr>
        <w:pStyle w:val="berschrift3"/>
      </w:pPr>
      <w:r>
        <w:t>2.2.1  Klassifikation und Ontologien</w:t>
      </w:r>
    </w:p>
    <w:p w14:paraId="6777401A"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64E304FA" w14:textId="77777777" w:rsidR="001666F9" w:rsidRDefault="00000000">
      <w:pPr>
        <w:pStyle w:val="berschrift3"/>
      </w:pPr>
      <w:r>
        <w:t>2.2.2  Suche</w:t>
      </w:r>
    </w:p>
    <w:p w14:paraId="7442DB5C"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3E651E1" w14:textId="77777777" w:rsidR="001666F9" w:rsidRDefault="00000000">
      <w:pPr>
        <w:pStyle w:val="berschrift3"/>
      </w:pPr>
      <w:r>
        <w:t>2.2.3  Empfehlungssysteme</w:t>
      </w:r>
    </w:p>
    <w:p w14:paraId="75E00F82"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2FBFE83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703C2E5D"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FCBA251"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21ED311"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394249F" w14:textId="77777777" w:rsidR="001666F9" w:rsidRDefault="00000000">
      <w:pPr>
        <w:pStyle w:val="berschrift3"/>
      </w:pPr>
      <w:r>
        <w:t>2.2.4  Personalisierung und Feed-Kuration</w:t>
      </w:r>
    </w:p>
    <w:p w14:paraId="654D9B63"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D4F0492" w14:textId="77777777" w:rsidR="001666F9" w:rsidRDefault="00000000">
      <w:pPr>
        <w:pStyle w:val="berschrift3"/>
      </w:pPr>
      <w:r>
        <w:t>2.2.5  Sharing und soziale Mechanismen</w:t>
      </w:r>
    </w:p>
    <w:p w14:paraId="0B6F4C8E"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lastRenderedPageBreak/>
        <w:t>und wirken damit auf die in Abschnitt 1.4 beschriebene Triple-Filter-Bubble (Geschke et al., 2019; Sunstein, 2017).</w:t>
      </w:r>
    </w:p>
    <w:p w14:paraId="47D88C46" w14:textId="77777777" w:rsidR="001666F9" w:rsidRDefault="00000000">
      <w:pPr>
        <w:pStyle w:val="berschrift3"/>
      </w:pPr>
      <w:r>
        <w:t>2.2.6  Persuasive Design und Nudging</w:t>
      </w:r>
    </w:p>
    <w:p w14:paraId="598A251B"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23BE682F"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5AAF91B7" w14:textId="77777777" w:rsidR="001666F9" w:rsidRDefault="00000000">
      <w:pPr>
        <w:pStyle w:val="berschrift3"/>
      </w:pPr>
      <w:r>
        <w:t>2.2.7  Monetarisierungsmechanismen</w:t>
      </w:r>
    </w:p>
    <w:p w14:paraId="1C75EDA1"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7329EC49" w14:textId="77777777" w:rsidR="001666F9" w:rsidRDefault="00000000">
      <w:pPr>
        <w:pStyle w:val="berschrift2"/>
      </w:pPr>
      <w:r>
        <w:t>2.3  Beurteilungsgrundlagen</w:t>
      </w:r>
    </w:p>
    <w:p w14:paraId="2A5AB291"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74813CDD" w14:textId="77777777" w:rsidR="001666F9" w:rsidRDefault="00000000">
      <w:pPr>
        <w:pStyle w:val="berschrift3"/>
      </w:pPr>
      <w:r>
        <w:t>2.3.1  Self-Determination Theory (SDT)</w:t>
      </w:r>
    </w:p>
    <w:p w14:paraId="1D08E279"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78E4FCEB"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03C7AFB9" w14:textId="77777777" w:rsidR="001666F9" w:rsidRDefault="00000000">
      <w:pPr>
        <w:pStyle w:val="berschrift3"/>
      </w:pPr>
      <w:r>
        <w:t>2.3.2  Value-Sensitive Design (VSD)</w:t>
      </w:r>
    </w:p>
    <w:p w14:paraId="1EACF27F"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6BDFC501" w14:textId="77777777" w:rsidR="001666F9" w:rsidRDefault="00000000">
      <w:pPr>
        <w:pStyle w:val="berschrift3"/>
      </w:pPr>
      <w:r>
        <w:t>2.3.3  Digital Wellbeing</w:t>
      </w:r>
    </w:p>
    <w:p w14:paraId="0295B386"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4414CE68" w14:textId="77777777" w:rsidR="001666F9" w:rsidRDefault="00000000">
      <w:pPr>
        <w:pStyle w:val="berschrift3"/>
      </w:pPr>
      <w:r>
        <w:t>2.3.4  Ethik von Empfehlungssystemen und algorithmische Souveränität</w:t>
      </w:r>
    </w:p>
    <w:p w14:paraId="6D3F447F"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F33AF61" w14:textId="77777777" w:rsidR="001666F9" w:rsidRDefault="00000000">
      <w:pPr>
        <w:pStyle w:val="berschrift3"/>
      </w:pPr>
      <w:r>
        <w:t>2.3.5  Gebrauchstauglichkeit und Akzeptanz</w:t>
      </w:r>
    </w:p>
    <w:p w14:paraId="6CDBDDCC"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49D8D8D7" w14:textId="77777777" w:rsidR="001666F9" w:rsidRDefault="00000000">
      <w:pPr>
        <w:pStyle w:val="berschrift2"/>
      </w:pPr>
      <w:r>
        <w:t>2.4  Gegenüberstellung der Medienmodelle</w:t>
      </w:r>
    </w:p>
    <w:p w14:paraId="1F038227"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4A4E80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158C10D1"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5668141"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879683D"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4A0CCE5"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7E133C5" w14:textId="77777777" w:rsidR="001666F9" w:rsidRDefault="00000000">
            <w:r>
              <w:rPr>
                <w:b/>
                <w:bCs/>
                <w:sz w:val="20"/>
                <w:szCs w:val="20"/>
              </w:rPr>
              <w:t>Wellbeing-orientiertes Modell</w:t>
            </w:r>
          </w:p>
        </w:tc>
      </w:tr>
      <w:tr w:rsidR="001666F9" w14:paraId="287D67B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6DEC55"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03A84"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1B84B"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27BCA8" w14:textId="77777777" w:rsidR="001666F9" w:rsidRDefault="00000000">
            <w:r>
              <w:rPr>
                <w:sz w:val="20"/>
                <w:szCs w:val="20"/>
              </w:rPr>
              <w:t>Algorithmisch, auf Nutzerwohl optimiert</w:t>
            </w:r>
          </w:p>
        </w:tc>
      </w:tr>
      <w:tr w:rsidR="001666F9" w14:paraId="7A7CF0C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0022CE"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441E71"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509437"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2E08B" w14:textId="77777777" w:rsidR="001666F9" w:rsidRDefault="00000000">
            <w:r>
              <w:rPr>
                <w:sz w:val="20"/>
                <w:szCs w:val="20"/>
              </w:rPr>
              <w:t>Nachvollziehbare Kriterien, offene Logik</w:t>
            </w:r>
          </w:p>
        </w:tc>
      </w:tr>
      <w:tr w:rsidR="001666F9" w14:paraId="40C0293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2F3DDF"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655379"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04364"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6625AD" w14:textId="77777777" w:rsidR="001666F9" w:rsidRDefault="00000000">
            <w:r>
              <w:rPr>
                <w:sz w:val="20"/>
                <w:szCs w:val="20"/>
              </w:rPr>
              <w:t>Aktiv (Themen, Filter, Intensität)</w:t>
            </w:r>
          </w:p>
        </w:tc>
      </w:tr>
      <w:tr w:rsidR="001666F9" w14:paraId="6CBF31F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A6592"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176129"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75AE7"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67373F" w14:textId="77777777" w:rsidR="001666F9" w:rsidRDefault="00000000">
            <w:r>
              <w:rPr>
                <w:sz w:val="20"/>
                <w:szCs w:val="20"/>
              </w:rPr>
              <w:t>Bewusste Diversifikation, Serendipität</w:t>
            </w:r>
          </w:p>
        </w:tc>
      </w:tr>
      <w:tr w:rsidR="001666F9" w14:paraId="6B7A253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BE461"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A56AED"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03F285"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7BABC9" w14:textId="77777777" w:rsidR="001666F9" w:rsidRDefault="00000000">
            <w:r>
              <w:rPr>
                <w:sz w:val="20"/>
                <w:szCs w:val="20"/>
              </w:rPr>
              <w:t>Definierte Länge, natürliche Pausen</w:t>
            </w:r>
          </w:p>
        </w:tc>
      </w:tr>
      <w:tr w:rsidR="001666F9" w14:paraId="718C210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F1CD93"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685526"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756FE"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10CFE" w14:textId="77777777" w:rsidR="001666F9" w:rsidRDefault="00000000">
            <w:r>
              <w:rPr>
                <w:sz w:val="20"/>
                <w:szCs w:val="20"/>
              </w:rPr>
              <w:t>Variabel (Gebühren, Abo, Stiftung)</w:t>
            </w:r>
          </w:p>
        </w:tc>
      </w:tr>
      <w:tr w:rsidR="001666F9" w14:paraId="09FD1B5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BB83A"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742D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C0DAA"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5319C" w14:textId="77777777" w:rsidR="001666F9" w:rsidRDefault="00000000">
            <w:r>
              <w:rPr>
                <w:sz w:val="20"/>
                <w:szCs w:val="20"/>
              </w:rPr>
              <w:t>Nutzerwohl, Autonomie</w:t>
            </w:r>
          </w:p>
        </w:tc>
      </w:tr>
    </w:tbl>
    <w:p w14:paraId="4E0FBBFD" w14:textId="77777777" w:rsidR="001666F9" w:rsidRDefault="00000000">
      <w:pPr>
        <w:pStyle w:val="berschrift2"/>
      </w:pPr>
      <w:r>
        <w:t>2.5  Forschungslücke</w:t>
      </w:r>
    </w:p>
    <w:p w14:paraId="4CABC6C1"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74F4BEE4"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6C4C166E" w14:textId="77777777" w:rsidR="001666F9" w:rsidRDefault="00000000">
      <w:pPr>
        <w:pStyle w:val="berschrift1"/>
        <w:pageBreakBefore/>
      </w:pPr>
      <w:r>
        <w:lastRenderedPageBreak/>
        <w:t>3  Attune als Forschungsartefakt</w:t>
      </w:r>
    </w:p>
    <w:p w14:paraId="3E055F7D"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Dieses Kapitel begründet die Wahl des Mediums, beschreibt den geplanten Untersuchungsgegenstand und ordnet die zu untersuchenden Mechanismen den in Kapitel 2 entwickelten Beurteilungsgrundlagen zu.</w:t>
      </w:r>
    </w:p>
    <w:p w14:paraId="6F2D1D0B" w14:textId="41DD6E66" w:rsidR="001666F9" w:rsidRDefault="00000000">
      <w:pPr>
        <w:pStyle w:val="berschrift2"/>
      </w:pPr>
      <w:r>
        <w:t>3.1  Warum dieses Untersuchungsmedium?</w:t>
      </w:r>
    </w:p>
    <w:p w14:paraId="30C018A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547E504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DA819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35A9865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4393C2AC" w14:textId="77777777" w:rsidR="001666F9" w:rsidRDefault="00000000">
      <w:pPr>
        <w:spacing w:after="160" w:line="360" w:lineRule="auto"/>
      </w:pPr>
      <w:r>
        <w:t xml:space="preserve">Viertens lässt sich an einem vollautomatisierten Radio die gesamte Wertschöpfungskette technisch beherrschen. Die Inhalte werden nicht aus einem geschlossenen Empfehlungssystem eines Drittanbieters bezogen, sondern in einer eigenen Pipeline aus </w:t>
        <w:lastRenderedPageBreak/>
        <w:t>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16A01F1F"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217FF80C"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455BA433"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7B7091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73E401DB"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0D28143D" w14:textId="77777777" w:rsidR="001666F9" w:rsidRDefault="00000000">
      <w:pPr>
        <w:pStyle w:val="berschrift2"/>
      </w:pPr>
      <w:r>
        <w:lastRenderedPageBreak/>
        <w:t>3.3  Was an Attune konkret umgesetzt wird</w:t>
      </w:r>
    </w:p>
    <w:p w14:paraId="559D2E5E"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0A08AD8F" w14:textId="77777777" w:rsidR="001666F9" w:rsidRDefault="00000000">
      <w:pPr>
        <w:pStyle w:val="berschrift3"/>
      </w:pPr>
      <w:r>
        <w:t>3.3.1  Explizite Präferenzangaben und Profilkonstruktion</w:t>
      </w:r>
    </w:p>
    <w:p w14:paraId="09F6FF86"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63B57079" w14:textId="77777777" w:rsidR="001666F9" w:rsidRDefault="00000000">
      <w:pPr>
        <w:pStyle w:val="berschrift3"/>
      </w:pPr>
      <w:r>
        <w:t>3.3.2  Vollautomatisierte Sendungspipeline</w:t>
      </w:r>
    </w:p>
    <w:p w14:paraId="42A8C605"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5FC19584" w14:textId="77777777" w:rsidR="001666F9" w:rsidRDefault="00000000">
      <w:pPr>
        <w:pStyle w:val="berschrift3"/>
      </w:pPr>
      <w:r>
        <w:t>3.3.3  Kuratierungs- und Empfehlungslogik mit alternativem Zielwert</w:t>
      </w:r>
    </w:p>
    <w:p w14:paraId="2091D1C8"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15299D8E" w14:textId="77777777" w:rsidR="001666F9" w:rsidRDefault="00000000">
      <w:pPr>
        <w:pStyle w:val="berschrift3"/>
      </w:pPr>
      <w:r>
        <w:t>3.3.4  Definierte Sessiongestaltung statt endlosem Strom</w:t>
      </w:r>
    </w:p>
    <w:p w14:paraId="788E1764"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E244A1D" w14:textId="77777777" w:rsidR="001666F9" w:rsidRDefault="00000000">
      <w:pPr>
        <w:pStyle w:val="berschrift3"/>
      </w:pPr>
      <w:r>
        <w:lastRenderedPageBreak/>
        <w:t>3.3.5  Transparenz über Quellen, Logik und Personalisierung</w:t>
      </w:r>
    </w:p>
    <w:p w14:paraId="513C453A"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1038A44E" w14:textId="77777777" w:rsidR="001666F9" w:rsidRDefault="00000000">
      <w:pPr>
        <w:pStyle w:val="berschrift2"/>
      </w:pPr>
      <w:r>
        <w:t>3.4  Welche Mechanismen am Radio untersucht und verbessert werden</w:t>
      </w:r>
    </w:p>
    <w:p w14:paraId="6803FCD4"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7C074F91"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3F8465DC"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5544903F"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425EAD3C"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4528A34C"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30D85E8"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78D6F350" w14:textId="77777777" w:rsidR="001666F9" w:rsidRDefault="00000000">
      <w:pPr>
        <w:pStyle w:val="berschrift2"/>
      </w:pPr>
      <w:r>
        <w:t>3.5  Abgrenzung des Untersuchungsumfangs</w:t>
      </w:r>
    </w:p>
    <w:p w14:paraId="694142B0" w14:textId="77777777" w:rsidR="001666F9" w:rsidRDefault="00000000">
      <w:pPr>
        <w:spacing w:after="160" w:line="360" w:lineRule="auto"/>
      </w:pPr>
      <w:r>
        <w:lastRenderedPageBreak/>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07A8593F" w14:textId="77777777" w:rsidR="001666F9" w:rsidRDefault="00000000">
      <w:pPr>
        <w:pStyle w:val="berschrift1"/>
        <w:pageBreakBefore/>
      </w:pPr>
      <w:r>
        <w:lastRenderedPageBreak/>
        <w:t>4  Forschungsfrage und Zielsetzung</w:t>
      </w:r>
    </w:p>
    <w:p w14:paraId="60746A4D"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6D1EF073" w14:textId="77777777" w:rsidR="001666F9" w:rsidRDefault="00000000">
      <w:pPr>
        <w:pStyle w:val="berschrift2"/>
      </w:pPr>
      <w:r>
        <w:t>4.1  Forschungsfrage</w:t>
      </w:r>
    </w:p>
    <w:p w14:paraId="56FB5BDE"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040049A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1A16B575"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743C13E8"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3FD49348" w14:textId="77777777" w:rsidR="001666F9" w:rsidRDefault="00000000">
      <w:pPr>
        <w:pStyle w:val="berschrift2"/>
      </w:pPr>
      <w:r>
        <w:t>4.2  Teilfragen</w:t>
      </w:r>
    </w:p>
    <w:p w14:paraId="59230F7D"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3116228D"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39384387"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3E8376BF"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546F5C05"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4F2A1577"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C86546B" w14:textId="77777777" w:rsidR="001666F9" w:rsidRDefault="00000000">
      <w:pPr>
        <w:pStyle w:val="berschrift2"/>
      </w:pPr>
      <w:r>
        <w:t>4.3  Goal und Objective</w:t>
      </w:r>
    </w:p>
    <w:p w14:paraId="68614CB5"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7C8B2A9"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97B07B6"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FE3B6F2" w14:textId="77777777" w:rsidR="001666F9" w:rsidRDefault="00000000">
      <w:pPr>
        <w:spacing w:after="160" w:line="360" w:lineRule="auto"/>
      </w:pPr>
      <w:r>
        <w:t>Aus Goal und Objective leiten sich die Erfolgskriterien der Arbeit ab, die in Abschnitt 8.4 operationalisiert werden.</w:t>
      </w:r>
    </w:p>
    <w:p w14:paraId="4DEE35FC" w14:textId="77777777" w:rsidR="001666F9" w:rsidRDefault="00000000">
      <w:pPr>
        <w:pStyle w:val="berschrift2"/>
      </w:pPr>
      <w:r>
        <w:t>4.4  Nutzen</w:t>
      </w:r>
    </w:p>
    <w:p w14:paraId="16D01AD5"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C1CF6DB"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lastRenderedPageBreak/>
        <w:t>wellbeing-orientierter Personalisierung und liefert eine methodische Vorlage, an der sich grössere Folgestudien orientieren können.</w:t>
      </w:r>
    </w:p>
    <w:p w14:paraId="2AAAE234"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78B4A028" w14:textId="77777777" w:rsidR="001666F9" w:rsidRDefault="00000000">
      <w:pPr>
        <w:pStyle w:val="berschrift2"/>
      </w:pPr>
      <w:r>
        <w:t>4.5  Abgrenzung</w:t>
      </w:r>
    </w:p>
    <w:p w14:paraId="4471125F"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40DA9975"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D3DFA45"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6DB6D798"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1A79DAB5"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4FC8083A"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lastRenderedPageBreak/>
        <w:t>Adaption werden im Ausblick (Abschnitt 11.3) gestreift, nicht aber empirisch untersucht.</w:t>
      </w:r>
    </w:p>
    <w:p w14:paraId="47F074E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6EC2C2D2" w14:textId="77777777" w:rsidR="001666F9" w:rsidRDefault="00000000">
      <w:pPr>
        <w:pStyle w:val="berschrift1"/>
        <w:pageBreakBefore/>
      </w:pPr>
      <w:r>
        <w:lastRenderedPageBreak/>
        <w:t>5  Methodik</w:t>
      </w:r>
    </w:p>
    <w:p w14:paraId="40B8F5DD"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12BCF7A1" w14:textId="77777777" w:rsidR="001666F9" w:rsidRDefault="00000000">
      <w:pPr>
        <w:pStyle w:val="berschrift2"/>
      </w:pPr>
      <w:r>
        <w:t>5.1  Vorgehen der Literaturrecherche</w:t>
      </w:r>
    </w:p>
    <w:p w14:paraId="767494E1"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180812F"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9E8D53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lastRenderedPageBreak/>
        <w:t>Swisscovery, im Verlagskatalog oder über den Digital Object Identifier verifiziert und als Originaldokument bezogen. Kein Inhalt wurde ohne Gegenprüfung übernommen.</w:t>
      </w:r>
    </w:p>
    <w:p w14:paraId="24499E64"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374E2743"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4C451360" w14:textId="77777777" w:rsidR="001666F9" w:rsidRDefault="00000000">
      <w:pPr>
        <w:pStyle w:val="berschrift2"/>
      </w:pPr>
      <w:r>
        <w:t>5.2  Forschungsdesign</w:t>
      </w:r>
    </w:p>
    <w:p w14:paraId="11052225"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CFB97DF"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2AFE02DB"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6DC051EA" w14:textId="77777777" w:rsidR="001666F9" w:rsidRDefault="00000000">
      <w:pPr>
        <w:pStyle w:val="berschrift2"/>
      </w:pPr>
      <w:r>
        <w:t>5.3  Vorgehen im Überblick</w:t>
      </w:r>
    </w:p>
    <w:p w14:paraId="06136D5B"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82C55C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256EC8A"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BD319D"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42538D1"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301692B" w14:textId="77777777" w:rsidR="001666F9" w:rsidRDefault="00000000">
            <w:pPr>
              <w:spacing w:line="276" w:lineRule="auto"/>
            </w:pPr>
            <w:r>
              <w:rPr>
                <w:b/>
                <w:bCs/>
                <w:sz w:val="20"/>
                <w:szCs w:val="20"/>
              </w:rPr>
              <w:t>Output</w:t>
            </w:r>
          </w:p>
        </w:tc>
      </w:tr>
      <w:tr w:rsidR="001666F9" w14:paraId="3915AF8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3DE95"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DEB673"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0A15B8"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019AB" w14:textId="77777777" w:rsidR="001666F9" w:rsidRDefault="00000000">
            <w:pPr>
              <w:spacing w:line="276" w:lineRule="auto"/>
            </w:pPr>
            <w:r>
              <w:rPr>
                <w:sz w:val="20"/>
                <w:szCs w:val="20"/>
              </w:rPr>
              <w:t>Theoretischer Rahmen, Gegenüberstellung der Medienmodelle</w:t>
            </w:r>
          </w:p>
        </w:tc>
      </w:tr>
      <w:tr w:rsidR="001666F9" w14:paraId="3F8A35A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FCACE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3183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45264"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199588" w14:textId="77777777" w:rsidR="001666F9" w:rsidRDefault="00000000">
            <w:pPr>
              <w:spacing w:line="276" w:lineRule="auto"/>
            </w:pPr>
            <w:r>
              <w:rPr>
                <w:sz w:val="20"/>
                <w:szCs w:val="20"/>
              </w:rPr>
              <w:t>Systemarchitektur mit Personalisierungsmodul</w:t>
            </w:r>
          </w:p>
        </w:tc>
      </w:tr>
      <w:tr w:rsidR="001666F9" w14:paraId="584B068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39512A"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B77A6"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59E869"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5B419" w14:textId="77777777" w:rsidR="001666F9" w:rsidRDefault="00000000">
            <w:pPr>
              <w:spacing w:line="276" w:lineRule="auto"/>
            </w:pPr>
            <w:r>
              <w:rPr>
                <w:sz w:val="20"/>
                <w:szCs w:val="20"/>
              </w:rPr>
              <w:t>Lauffähiger Minimalprototyp</w:t>
            </w:r>
          </w:p>
        </w:tc>
      </w:tr>
      <w:tr w:rsidR="001666F9" w14:paraId="340EDF8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5AADA"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B8502C"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E8A62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B6E99" w14:textId="77777777" w:rsidR="001666F9" w:rsidRDefault="00000000">
            <w:pPr>
              <w:spacing w:line="276" w:lineRule="auto"/>
            </w:pPr>
            <w:r>
              <w:rPr>
                <w:sz w:val="20"/>
                <w:szCs w:val="20"/>
              </w:rPr>
              <w:t>Erweiterter Demonstrator mit wellbeing-orientierten Features</w:t>
            </w:r>
          </w:p>
        </w:tc>
      </w:tr>
      <w:tr w:rsidR="001666F9" w14:paraId="3B458C9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18F1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A36ED"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9DAF7"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F230C3" w14:textId="77777777" w:rsidR="001666F9" w:rsidRDefault="00000000">
            <w:pPr>
              <w:spacing w:line="276" w:lineRule="auto"/>
            </w:pPr>
            <w:r>
              <w:rPr>
                <w:sz w:val="20"/>
                <w:szCs w:val="20"/>
              </w:rPr>
              <w:t>Nutzungsdaten, Wellbeing-Feedback, qualitative Erkenntnisse</w:t>
            </w:r>
          </w:p>
        </w:tc>
      </w:tr>
      <w:tr w:rsidR="001666F9" w14:paraId="0BF5818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E8DCF"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3370E"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413D6"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59ED67" w14:textId="77777777" w:rsidR="001666F9" w:rsidRDefault="00000000">
            <w:pPr>
              <w:spacing w:line="276" w:lineRule="auto"/>
            </w:pPr>
            <w:r>
              <w:rPr>
                <w:sz w:val="20"/>
                <w:szCs w:val="20"/>
              </w:rPr>
              <w:t>Machbarkeitsbeurteilung, Wellbeing-Evaluation</w:t>
            </w:r>
          </w:p>
        </w:tc>
      </w:tr>
      <w:tr w:rsidR="001666F9" w14:paraId="1D1F601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5F9B8"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F9E91A"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705B72"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70E575" w14:textId="77777777" w:rsidR="001666F9" w:rsidRDefault="00000000">
            <w:pPr>
              <w:spacing w:line="276" w:lineRule="auto"/>
            </w:pPr>
            <w:r>
              <w:rPr>
                <w:sz w:val="20"/>
                <w:szCs w:val="20"/>
              </w:rPr>
              <w:t>Wissenschaftlicher Bericht, Code-Dokumentation</w:t>
            </w:r>
          </w:p>
        </w:tc>
      </w:tr>
    </w:tbl>
    <w:p w14:paraId="57B64119" w14:textId="77777777" w:rsidR="001666F9" w:rsidRDefault="001666F9">
      <w:pPr>
        <w:spacing w:after="160" w:line="360" w:lineRule="auto"/>
      </w:pPr>
    </w:p>
    <w:p w14:paraId="05EC47C2"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548991A0" w14:textId="77777777" w:rsidR="001666F9" w:rsidRDefault="00000000">
      <w:pPr>
        <w:pStyle w:val="berschrift2"/>
      </w:pPr>
      <w:r>
        <w:t>5.4  Methoden der Datenerhebung</w:t>
      </w:r>
    </w:p>
    <w:p w14:paraId="3CA49126"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10613979"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7CE68230"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321D6439"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2C9AB10E"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45873177"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lastRenderedPageBreak/>
        <w:t>Abschlussinterview – sowie die Einwilligung der Teilnehmenden werden in den Abschnitten 8.3 und 8.5 ausführlich beschrieben.</w:t>
      </w:r>
    </w:p>
    <w:p w14:paraId="6E8171BA" w14:textId="77777777" w:rsidR="001666F9" w:rsidRDefault="00000000">
      <w:pPr>
        <w:pStyle w:val="berschrift2"/>
      </w:pPr>
      <w:r>
        <w:t>5.5  Methoden der Auswertung</w:t>
      </w:r>
    </w:p>
    <w:p w14:paraId="76F4E20E"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2B912C19"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7B557C0B"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19849E58"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0FBB62A0" w14:textId="77777777" w:rsidR="001666F9" w:rsidRDefault="00000000">
      <w:pPr>
        <w:pStyle w:val="berschrift2"/>
      </w:pPr>
      <w:r>
        <w:t>5.6  Reflexion zu Ressourcen und Kompetenzen</w:t>
      </w:r>
    </w:p>
    <w:p w14:paraId="22C340A2"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lastRenderedPageBreak/>
        <w:t>angepasst wird. Die Webapplikation auf Basis von Next.js 15, React 19, TypeScript und Tailwind CSS 4 baut auf vorhandenen Erfahrungen auf, die agentische Pipeline-Steuerung erweitert sie um asynchrone Orchestrierungsmuster.</w:t>
      </w:r>
    </w:p>
    <w:p w14:paraId="37935CA5"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2B55FEF5"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1D22CEC1" w14:textId="77777777" w:rsidR="001666F9" w:rsidRDefault="00000000">
      <w:pPr>
        <w:pStyle w:val="berschrift1"/>
        <w:pageBreakBefore/>
      </w:pPr>
      <w:r>
        <w:lastRenderedPageBreak/>
        <w:t>8  Validierung</w:t>
      </w:r>
    </w:p>
    <w:p w14:paraId="5B627C1B"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6C400846" w14:textId="77777777" w:rsidR="001666F9" w:rsidRDefault="00000000">
      <w:pPr>
        <w:pStyle w:val="berschrift2"/>
      </w:pPr>
      <w:r>
        <w:t>8.1  Aufbau der Validierung</w:t>
      </w:r>
    </w:p>
    <w:p w14:paraId="6F8A57EB" w14:textId="7C6A0320"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95BC131" w14:textId="77777777" w:rsidR="001666F9" w:rsidRDefault="00000000">
      <w:pPr>
        <w:spacing w:after="160" w:line="360" w:lineRule="auto"/>
      </w:pPr>
      <w:r>
        <w:t>Erhoben wird in zwei Studienformaten, die sich ergänzen. Format A umfasst eine 1-malige Nutzung mit anschliessender Befragung und erfasst den Erstkontakt-Eindruck. Format B umfasst eine Nutzungsphase über mindestens ein Wochenende, idealerweise eine Woche, mit Abschlussbefragung und erfasst den Gewohnheitseffekt. Personen, die beide Formate durchlaufen, beantworten den Fragebogen zweimal; der individuelle Vergleich der Antworten dient als Indikator für die Verschiebung vom Erstkontakt zur Gewohnheit. Stichprobengrösse, Rekrutierung, Pilottest-Ablauf und die zugrundeliegenden Erhebungsinstrumente – SUS, Wellbeing-Items, semistrukturierte Interviews und Nutzungslogs – sind in Abschnitt 5.4 dokumentiert.</w:t>
      </w:r>
    </w:p>
    <w:p w14:paraId="400F4127" w14:textId="77777777" w:rsidR="001666F9" w:rsidRDefault="00000000">
      <w:pPr>
        <w:pStyle w:val="berschrift2"/>
      </w:pPr>
      <w:r>
        <w:t>8.2  Machbarkeitsnachweis</w:t>
      </w:r>
    </w:p>
    <w:p w14:paraId="24435288" w14:textId="77777777"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w:t>
        <w:lastRenderedPageBreak/>
        <w:t>Ausführung. Die Messungen erfolgen über mindestens 20 generierte Sendungen mit unterschiedlichen Profilkonfigurationen, um Schwankungen sichtbar zu machen.</w:t>
      </w:r>
    </w:p>
    <w:p w14:paraId="45C1EB52" w14:textId="77777777" w:rsidR="001666F9" w:rsidRDefault="00000000">
      <w:pPr>
        <w:pStyle w:val="berschrift2"/>
      </w:pPr>
      <w:r>
        <w:t>8.3  Usability und Akzeptanz</w:t>
      </w:r>
    </w:p>
    <w:p w14:paraId="3B6D804E" w14:textId="77777777" w:rsidR="001666F9" w:rsidRDefault="00000000">
      <w:pPr>
        <w:spacing w:after="160" w:line="360" w:lineRule="auto"/>
      </w:pPr>
      <w:r>
        <w:t>Die Usability- und Akzeptanzmessung kombiniert das in Abschnitt 5.4 beschriebene SUS-Instrument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wird ein dreigeteiltes Item-Set erhoben: was gefällt, was als unnötig empfunden wird, was zusätzlich gewünscht wäre. Die Items werden mit LLM-Unterstützung formuliert und vor dem Pilottest mit dem Betreuer abgestimmt. Der vollständige Item-Katalog ist in Anhang C dokumentiert.</w:t>
      </w:r>
    </w:p>
    <w:p w14:paraId="72E0102B" w14:textId="77777777" w:rsidR="001666F9" w:rsidRDefault="00000000">
      <w:pPr>
        <w:pStyle w:val="berschrift2"/>
      </w:pPr>
      <w:r>
        <w:t>8.4  Wirkung</w:t>
      </w:r>
    </w:p>
    <w:p w14:paraId="18D927AD" w14:textId="77777777" w:rsidR="001666F9" w:rsidRDefault="00000000">
      <w:pPr>
        <w:spacing w:after="160" w:line="360" w:lineRule="auto"/>
      </w:pPr>
      <w:r>
        <w:t>Die Wirkungsitems werden direkt aus dem theoretischen Rahmen in Kapitel 2 abgeleitet, sodass die Studie die spezifischen Konstrukte prüft, mit denen das Artefakt begründet wurde. Erhoben werden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vor und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genaue Itemformulierung wird vor dem Pilottest finalisiert.</w:t>
      </w:r>
    </w:p>
    <w:p w14:paraId="5DD3DA9B" w14:textId="77777777" w:rsidR="001666F9" w:rsidRDefault="00000000">
      <w:pPr>
        <w:pStyle w:val="berschrift2"/>
      </w:pPr>
      <w:r>
        <w:t>8.5  Operationalisierung der Erfolgskriterien und Ethik</w:t>
      </w:r>
    </w:p>
    <w:p w14:paraId="23766672" w14:textId="77777777" w:rsidR="001666F9" w:rsidRDefault="00000000">
      <w:pPr>
        <w:spacing w:after="160" w:line="360" w:lineRule="auto"/>
      </w:pPr>
      <w:r>
        <w:lastRenderedPageBreak/>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1044D9BE" w14:textId="77777777" w:rsidR="001666F9" w:rsidRDefault="00000000">
      <w:pPr>
        <w:spacing w:after="160" w:line="360" w:lineRule="auto"/>
      </w:pPr>
      <w:r>
        <w:t>Die konkreten Schwellwerte werden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3C61F596" w14:textId="77777777" w:rsidR="001666F9" w:rsidRDefault="00000000">
      <w:pPr>
        <w:pStyle w:val="berschrift1"/>
        <w:pageBreakBefore/>
      </w:pPr>
      <w:r>
        <w:lastRenderedPageBreak/>
        <w:t>10  Diskussion</w:t>
      </w:r>
    </w:p>
    <w:p w14:paraId="151751BD"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AA775C2" w14:textId="77777777" w:rsidR="001666F9" w:rsidRDefault="00000000">
      <w:pPr>
        <w:pStyle w:val="berschrift2"/>
      </w:pPr>
      <w:r>
        <w:t>10.1  Beantwortung der Forschungsfrage</w:t>
      </w:r>
    </w:p>
    <w:p w14:paraId="455D72DC" w14:textId="77777777" w:rsidR="001666F9" w:rsidRDefault="00000000">
      <w:pPr>
        <w:spacing w:after="160" w:line="360" w:lineRule="auto"/>
      </w:pPr>
      <w:r>
        <w:t>[Stub – wird nach dem Pilottest auf Basis der Ergebnisse aus Kap. 9 verfasst.] Synthese über die drei Validierungsstränge: Was wurde nachgewiesen, was bleibt offen? Die Hauptforschungsfrage aus Kap. 4 wird hier ebenenübergreifend beantwortet, mit klarer Markierung dessen, was die kleine Stichprobe und der kurze Untersuchungszeitraum tragen.</w:t>
      </w:r>
    </w:p>
    <w:p w14:paraId="2D0C4487" w14:textId="77777777" w:rsidR="001666F9" w:rsidRDefault="00000000">
      <w:pPr>
        <w:pStyle w:val="berschrift2"/>
      </w:pPr>
      <w:r>
        <w:t>10.2  Diskussion der Machbarkeit</w:t>
      </w:r>
    </w:p>
    <w:p w14:paraId="4AADCA61" w14:textId="77777777" w:rsidR="001666F9" w:rsidRDefault="00000000">
      <w:pPr>
        <w:spacing w:after="160" w:line="360" w:lineRule="auto"/>
      </w:pPr>
      <w:r>
        <w:t>[Stub.] Reflexion der technischen Tragfähigkeit der Pipeline: Welche Komponenten sind kostentreibend, welche fehleranfällig? Skaliert das Konzept auf grössere Nutzerzahlen? Welche Architekturentscheidungen würden sich rückblickend anders darstellen?</w:t>
      </w:r>
    </w:p>
    <w:p w14:paraId="0839D531" w14:textId="77777777" w:rsidR="001666F9" w:rsidRDefault="00000000">
      <w:pPr>
        <w:pStyle w:val="berschrift2"/>
      </w:pPr>
      <w:r>
        <w:t>10.3  Diskussion der Usability und Akzeptanz</w:t>
      </w:r>
    </w:p>
    <w:p w14:paraId="2DB46622" w14:textId="77777777" w:rsidR="001666F9" w:rsidRDefault="00000000">
      <w:pPr>
        <w:spacing w:after="160" w:line="360" w:lineRule="auto"/>
      </w:pPr>
      <w:r>
        <w:t>[Stub.] Welche Einstellungsmöglichkeiten wurden besonders geschätzt, welche als überflüssig wahrgenommen, welche fehlen? Was sagt das über die Designentscheidungen aus Kap. 6 aus, und welche Entscheidungen waren möglicherweise zu stark theoriegetrieben?</w:t>
      </w:r>
    </w:p>
    <w:p w14:paraId="7CBEFC11" w14:textId="77777777" w:rsidR="001666F9" w:rsidRDefault="00000000">
      <w:pPr>
        <w:pStyle w:val="berschrift2"/>
      </w:pPr>
      <w:r>
        <w:t>10.4  Diskussion der Wirkung</w:t>
      </w:r>
    </w:p>
    <w:p w14:paraId="45D91096" w14:textId="77777777" w:rsidR="001666F9" w:rsidRDefault="00000000">
      <w:pPr>
        <w:spacing w:after="160" w:line="360" w:lineRule="auto"/>
      </w:pPr>
      <w:r>
        <w:t>[Stub.] Einordnung in den theoretischen Rahmen aus Kap. 2: Inwieweit wurden die SDT-Bedürfnisse adressiert? Wurden VSD-Werte erlebbar? Schärfte das Artefakt die Awareness für algorithmische Souveränität? Welche Wirkung blieb aus, welche überraschte?</w:t>
      </w:r>
    </w:p>
    <w:p w14:paraId="335E2070" w14:textId="77777777" w:rsidR="001666F9" w:rsidRDefault="00000000">
      <w:pPr>
        <w:pStyle w:val="berschrift2"/>
      </w:pPr>
      <w:r>
        <w:t>10.5  Implikationen für Design und Praxis</w:t>
      </w:r>
    </w:p>
    <w:p w14:paraId="3D0F2947" w14:textId="77777777" w:rsidR="001666F9" w:rsidRDefault="00000000">
      <w:pPr>
        <w:spacing w:after="160" w:line="360" w:lineRule="auto"/>
      </w:pPr>
      <w:r>
        <w:t>[Stub.] Welche Designentscheidungen sind übertragbar auf andere wellbeing-orientierte Medienartefakte, welche radio-spezifisch? Welche Implikationen ergeben sich für die Praxis öffentlich-rechtlicher Medien, die ein wellbeing-orientiertes Angebot prüfen?</w:t>
      </w:r>
    </w:p>
    <w:p w14:paraId="09AF524D" w14:textId="77777777" w:rsidR="001666F9" w:rsidRDefault="00000000">
      <w:pPr>
        <w:pStyle w:val="berschrift2"/>
      </w:pPr>
      <w:r>
        <w:t>10.6  Limitationen</w:t>
      </w:r>
    </w:p>
    <w:p w14:paraId="25F50EB8" w14:textId="77777777" w:rsidR="001666F9" w:rsidRDefault="00000000">
      <w:pPr>
        <w:spacing w:after="160" w:line="360" w:lineRule="auto"/>
      </w:pPr>
      <w:r>
        <w:lastRenderedPageBreak/>
        <w:t>[Stub.] Kleine Stichprobe (mindestens drei, mehr wünschenswert); kurzer Untersuchungszeitraum (maximal eine Woche); Selbstauswahl der Testpersonen; mögliche Verzerrung durch zweimalige Befragung derselben Personen (Lerneffekt, Erwartungseffekt); technische Restriktionen (LLM- und TTS-Latenz, Lizenzfragen Musik); Selbstreport als einzige Wirkungsquelle.</w:t>
      </w:r>
    </w:p>
    <w:p w14:paraId="45426BE8" w14:textId="77777777" w:rsidR="001666F9" w:rsidRDefault="00000000">
      <w:pPr>
        <w:pStyle w:val="berschrift2"/>
      </w:pPr>
      <w:r>
        <w:t>10.7  Übertragbarkeit auf andere Medienkontexte</w:t>
      </w:r>
    </w:p>
    <w:p w14:paraId="20326C90" w14:textId="77777777" w:rsidR="001666F9" w:rsidRDefault="00000000">
      <w:pPr>
        <w:spacing w:after="160" w:line="360" w:lineRule="auto"/>
      </w:pPr>
      <w:r>
        <w:t>[Stub.] Inwiefern lassen sich die Befunde auf Streaming, Podcast-Empfehlungen oder News-Aggregatoren übertragen? Welche Eigenschaften von Attune sind generisch (definierte Sessionlänge, explizite Präferenzangabe, Transparenzanzeige), welche formatspezifisch (auditive Modalität, eingebettete Musikauswahl)?</w:t>
      </w:r>
    </w:p>
    <w:p w14:paraId="497B9C84" w14:textId="77777777" w:rsidR="001666F9" w:rsidRDefault="00000000">
      <w:pPr>
        <w:pStyle w:val="berschrift1"/>
        <w:pageBreakBefore/>
      </w:pPr>
      <w:r>
        <w:lastRenderedPageBreak/>
        <w:t>Literaturverzeichnis (vorläufig)</w:t>
      </w:r>
    </w:p>
    <w:p w14:paraId="26304361"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2495A865"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1C6A0176"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9C6CC62"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4A9B8E23"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4CA8B9F1"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7FF23B99"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AE54FC0"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1A313346"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6C88B295"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5337FA22"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2583DBDF"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4E96B49B"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69B79CD"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159C58A2"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2A010A4E"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04F528CF"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4C2B31D7"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3023D821"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6A27275A"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7B1D9ED4"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A6323E0"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086421C5"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04702A6F"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E1889B6"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E67FD75"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673526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312C748F"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1806E90"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C1C2" w14:textId="77777777" w:rsidR="005C13F7" w:rsidRDefault="005C13F7">
      <w:r>
        <w:separator/>
      </w:r>
    </w:p>
  </w:endnote>
  <w:endnote w:type="continuationSeparator" w:id="0">
    <w:p w14:paraId="05B815C7" w14:textId="77777777" w:rsidR="005C13F7" w:rsidRDefault="005C1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29CCE"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14C6" w14:textId="77777777" w:rsidR="005C13F7" w:rsidRDefault="005C13F7">
      <w:r>
        <w:separator/>
      </w:r>
    </w:p>
  </w:footnote>
  <w:footnote w:type="continuationSeparator" w:id="0">
    <w:p w14:paraId="3526BC92" w14:textId="77777777" w:rsidR="005C13F7" w:rsidRDefault="005C1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7210F"/>
    <w:rsid w:val="005C13F7"/>
    <w:rsid w:val="00804A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10510</Words>
  <Characters>66215</Characters>
  <Application>Microsoft Office Word</Application>
  <DocSecurity>0</DocSecurity>
  <Lines>551</Lines>
  <Paragraphs>153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76572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2</cp:revision>
  <dcterms:created xsi:type="dcterms:W3CDTF">2026-04-25T15:59:00Z</dcterms:created>
  <dcterms:modified xsi:type="dcterms:W3CDTF">2026-05-07T08:55:00Z</dcterms:modified>
</cp:coreProperties>
</file>