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EBA1" w14:textId="77777777" w:rsidR="001666F9" w:rsidRDefault="00000000">
      <w:pPr>
        <w:spacing w:before="800" w:after="200"/>
        <w:jc w:val="center"/>
      </w:pPr>
      <w:r>
        <w:rPr>
          <w:b/>
          <w:bCs/>
        </w:rPr>
        <w:t>ZHAW Zürcher Hochschule für Angewandte Wissenschaften</w:t>
      </w:r>
    </w:p>
    <w:p w14:paraId="24643DFB" w14:textId="77777777" w:rsidR="001666F9" w:rsidRDefault="00000000">
      <w:pPr>
        <w:spacing w:after="1200"/>
        <w:jc w:val="center"/>
      </w:pPr>
      <w:r>
        <w:t>Institut für Wirtschaftsinformatik</w:t>
      </w:r>
    </w:p>
    <w:p w14:paraId="34AA8C64" w14:textId="77777777" w:rsidR="001666F9" w:rsidRDefault="00000000">
      <w:pPr>
        <w:spacing w:after="600"/>
        <w:jc w:val="center"/>
      </w:pPr>
      <w:r>
        <w:rPr>
          <w:b/>
          <w:bCs/>
          <w:sz w:val="28"/>
          <w:szCs w:val="28"/>
        </w:rPr>
        <w:t>BSc-Thesis</w:t>
      </w:r>
    </w:p>
    <w:p w14:paraId="0DD8B9BD" w14:textId="77777777" w:rsidR="001666F9" w:rsidRDefault="00000000">
      <w:pPr>
        <w:spacing w:after="80"/>
        <w:jc w:val="center"/>
      </w:pPr>
      <w:r>
        <w:rPr>
          <w:b/>
          <w:bCs/>
          <w:sz w:val="44"/>
          <w:szCs w:val="44"/>
        </w:rPr>
        <w:t>Attune: Nutzerzentrierte Personalisierung</w:t>
      </w:r>
    </w:p>
    <w:p w14:paraId="4E5A403B" w14:textId="77777777" w:rsidR="001666F9" w:rsidRDefault="00000000">
      <w:pPr>
        <w:spacing w:after="80"/>
        <w:jc w:val="center"/>
      </w:pPr>
      <w:r>
        <w:rPr>
          <w:b/>
          <w:bCs/>
          <w:sz w:val="44"/>
          <w:szCs w:val="44"/>
        </w:rPr>
        <w:t>im vollautomatisierten Radio</w:t>
      </w:r>
    </w:p>
    <w:p w14:paraId="775EF697" w14:textId="77777777" w:rsidR="001666F9" w:rsidRDefault="00000000">
      <w:pPr>
        <w:spacing w:after="1200"/>
        <w:jc w:val="center"/>
      </w:pPr>
      <w:r>
        <w:rPr>
          <w:i/>
          <w:iCs/>
          <w:sz w:val="28"/>
          <w:szCs w:val="28"/>
        </w:rPr>
        <w:t>Eine Konzeptstudie im Kontext von Digital Wellbeing</w:t>
      </w:r>
    </w:p>
    <w:p w14:paraId="1126F2EC" w14:textId="77777777" w:rsidR="001666F9" w:rsidRDefault="00000000">
      <w:pPr>
        <w:spacing w:after="80"/>
        <w:jc w:val="center"/>
      </w:pPr>
      <w:r>
        <w:t>Autor: Michael Möckli</w:t>
      </w:r>
    </w:p>
    <w:p w14:paraId="1E420926" w14:textId="77777777" w:rsidR="001666F9" w:rsidRDefault="00000000">
      <w:pPr>
        <w:spacing w:after="80"/>
        <w:jc w:val="center"/>
      </w:pPr>
      <w:r>
        <w:t>Betreuer: Alexandre de Spindler</w:t>
      </w:r>
    </w:p>
    <w:p w14:paraId="6665C03B" w14:textId="77777777" w:rsidR="001666F9" w:rsidRDefault="00000000">
      <w:pPr>
        <w:spacing w:after="200"/>
        <w:jc w:val="center"/>
      </w:pPr>
      <w:r>
        <w:t>Stand: 25. April 2026</w:t>
      </w:r>
    </w:p>
    <w:p w14:paraId="688C97EF" w14:textId="77777777" w:rsidR="001666F9" w:rsidRDefault="00000000">
      <w:pPr>
        <w:pStyle w:val="berschrift1"/>
        <w:pageBreakBefore/>
      </w:pPr>
      <w:r>
        <w:lastRenderedPageBreak/>
        <w:t>1  Motivation</w:t>
      </w:r>
    </w:p>
    <w:p w14:paraId="74AD995E"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2E19A6B"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3EDCAAB" w14:textId="77777777" w:rsidR="001666F9" w:rsidRDefault="00000000">
      <w:pPr>
        <w:pStyle w:val="berschrift2"/>
      </w:pPr>
      <w:r>
        <w:t>1.1  Das Spannungsfeld zwischen Nutzer und Anbieter</w:t>
      </w:r>
    </w:p>
    <w:p w14:paraId="3484ED1F"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6A89806C"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381097FC"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6FA375D6" w14:textId="77777777" w:rsidR="001666F9" w:rsidRDefault="00000000">
      <w:pPr>
        <w:pStyle w:val="berschrift2"/>
      </w:pPr>
      <w:r>
        <w:t>1.2  Das Geschäftsmodell der Aufmerksamkeitsökonomie</w:t>
      </w:r>
    </w:p>
    <w:p w14:paraId="6CEC8408"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48921952"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27E246B7" w14:textId="77777777" w:rsidR="001666F9" w:rsidRDefault="00000000">
      <w:pPr>
        <w:pStyle w:val="berschrift2"/>
      </w:pPr>
      <w:r>
        <w:t>1.3  Manipulative Designmuster</w:t>
      </w:r>
    </w:p>
    <w:p w14:paraId="2EBFB1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0B16A3B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7E9404DC"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0F8B7A84"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74E7C08A"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79D25CE0"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641E933"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799C0BB0" w14:textId="77777777" w:rsidR="001666F9" w:rsidRDefault="00000000">
      <w:pPr>
        <w:pStyle w:val="berschrift2"/>
      </w:pPr>
      <w:r>
        <w:t>1.4  Filterblasen, Echokammern und Polarisierung</w:t>
      </w:r>
    </w:p>
    <w:p w14:paraId="727947AF"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1C00261"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E281C2E" w14:textId="77777777" w:rsidR="001666F9" w:rsidRDefault="00000000">
      <w:pPr>
        <w:pStyle w:val="berschrift2"/>
      </w:pPr>
      <w:r>
        <w:t>1.5  Psychisches Wohlbefinden und Suchtverhalten</w:t>
      </w:r>
    </w:p>
    <w:p w14:paraId="53CDDB7D"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B6A2EE4"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5395AA8F"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2FBCFF99" w14:textId="77777777" w:rsidR="001666F9" w:rsidRDefault="00000000">
      <w:pPr>
        <w:pStyle w:val="berschrift2"/>
      </w:pPr>
      <w:r>
        <w:t>1.6  Verlust der Nutzerautonomie</w:t>
      </w:r>
    </w:p>
    <w:p w14:paraId="00A66DA6"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0BC91D59"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3D77A0F9" w14:textId="77777777" w:rsidR="001666F9" w:rsidRDefault="00000000">
      <w:pPr>
        <w:pStyle w:val="berschrift2"/>
      </w:pPr>
      <w:r>
        <w:t>1.7  Zwischenfazit: Der Kern des Problems</w:t>
      </w:r>
    </w:p>
    <w:p w14:paraId="316733EE"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5F400DEC"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3762F61E"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6A88BF80" w14:textId="77777777" w:rsidR="001666F9" w:rsidRDefault="00000000">
      <w:pPr>
        <w:pStyle w:val="berschrift1"/>
        <w:pageBreakBefore/>
      </w:pPr>
      <w:r>
        <w:lastRenderedPageBreak/>
        <w:t>2  Background</w:t>
      </w:r>
    </w:p>
    <w:p w14:paraId="1B279334"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5846F57A" w14:textId="77777777" w:rsidR="001666F9" w:rsidRDefault="00000000">
      <w:pPr>
        <w:pStyle w:val="berschrift2"/>
      </w:pPr>
      <w:r>
        <w:t>2.1  Bedürfnisse und Motivationen der Akteure</w:t>
      </w:r>
    </w:p>
    <w:p w14:paraId="35441D04" w14:textId="77777777" w:rsidR="001666F9" w:rsidRDefault="00000000">
      <w:pPr>
        <w:pStyle w:val="berschrift3"/>
      </w:pPr>
      <w:r>
        <w:t>2.1.1  Anbieterseite</w:t>
      </w:r>
    </w:p>
    <w:p w14:paraId="1119F82D" w14:textId="77777777" w:rsidR="001666F9" w:rsidRDefault="00000000">
      <w:pPr>
        <w:spacing w:after="160" w:line="360" w:lineRule="auto"/>
      </w:pPr>
      <w:r>
        <w:t>Anbieter digitaler Medien verfolgen unterschiedliche Motive, die sich drei idealtypischen Kategorien zuordnen lassen.</w:t>
      </w:r>
    </w:p>
    <w:p w14:paraId="2C528208"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745342C5"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393585EA"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555F2FB5"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FB61A74" w14:textId="77777777" w:rsidR="001666F9" w:rsidRDefault="00000000">
      <w:pPr>
        <w:pStyle w:val="berschrift3"/>
      </w:pPr>
      <w:r>
        <w:t>2.1.2  Nutzerseite</w:t>
      </w:r>
    </w:p>
    <w:p w14:paraId="4821BCF7"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515B2DFD"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32003015"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4C41620E"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35B976B"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6BCC9FA9"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241614A7"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7E2300B0" w14:textId="77777777" w:rsidR="001666F9" w:rsidRDefault="00000000">
      <w:pPr>
        <w:pStyle w:val="berschrift2"/>
      </w:pPr>
      <w:r>
        <w:t>2.2  Mechanismen digitaler Medienangebote</w:t>
      </w:r>
    </w:p>
    <w:p w14:paraId="1FDE5EB8"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30E47935" w14:textId="77777777" w:rsidR="001666F9" w:rsidRDefault="00000000">
      <w:pPr>
        <w:pStyle w:val="berschrift3"/>
      </w:pPr>
      <w:r>
        <w:t>2.2.1  Klassifikation und Ontologien</w:t>
      </w:r>
    </w:p>
    <w:p w14:paraId="480AC137"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5FA34873" w14:textId="77777777" w:rsidR="001666F9" w:rsidRDefault="00000000">
      <w:pPr>
        <w:pStyle w:val="berschrift3"/>
      </w:pPr>
      <w:r>
        <w:t>2.2.2  Suche</w:t>
      </w:r>
    </w:p>
    <w:p w14:paraId="161F4C15"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9B66F1C" w14:textId="77777777" w:rsidR="001666F9" w:rsidRDefault="00000000">
      <w:pPr>
        <w:pStyle w:val="berschrift3"/>
      </w:pPr>
      <w:r>
        <w:t>2.2.3  Empfehlungssysteme</w:t>
      </w:r>
    </w:p>
    <w:p w14:paraId="76D168D3"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5AAF56D2"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13A28CFC"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5E075917"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AF1B460"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05A1ABBB" w14:textId="77777777" w:rsidR="001666F9" w:rsidRDefault="00000000">
      <w:pPr>
        <w:pStyle w:val="berschrift3"/>
      </w:pPr>
      <w:r>
        <w:t>2.2.4  Personalisierung und Feed-Kuration</w:t>
      </w:r>
    </w:p>
    <w:p w14:paraId="2645EB2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635AA57C" w14:textId="77777777" w:rsidR="001666F9" w:rsidRDefault="00000000">
      <w:pPr>
        <w:pStyle w:val="berschrift3"/>
      </w:pPr>
      <w:r>
        <w:t>2.2.5  Sharing und soziale Mechanismen</w:t>
      </w:r>
    </w:p>
    <w:p w14:paraId="278B64FC"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29ADD058" w14:textId="77777777" w:rsidR="001666F9" w:rsidRDefault="00000000">
      <w:pPr>
        <w:pStyle w:val="berschrift3"/>
      </w:pPr>
      <w:r>
        <w:t>2.2.6  Persuasive Design und Nudging</w:t>
      </w:r>
    </w:p>
    <w:p w14:paraId="0C1E8DAC"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0B2DC0D3"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754B211C" w14:textId="77777777" w:rsidR="001666F9" w:rsidRDefault="00000000">
      <w:pPr>
        <w:pStyle w:val="berschrift3"/>
      </w:pPr>
      <w:r>
        <w:t>2.2.7  Monetarisierungsmechanismen</w:t>
      </w:r>
    </w:p>
    <w:p w14:paraId="5E4233CB"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2CC9E011" w14:textId="77777777" w:rsidR="001666F9" w:rsidRDefault="00000000">
      <w:pPr>
        <w:pStyle w:val="berschrift2"/>
      </w:pPr>
      <w:r>
        <w:t>2.3  Beurteilungsgrundlagen</w:t>
      </w:r>
    </w:p>
    <w:p w14:paraId="57A5C68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0DBE7839" w14:textId="77777777" w:rsidR="001666F9" w:rsidRDefault="00000000">
      <w:pPr>
        <w:pStyle w:val="berschrift3"/>
      </w:pPr>
      <w:r>
        <w:t>2.3.1  Self-Determination Theory (SDT)</w:t>
      </w:r>
    </w:p>
    <w:p w14:paraId="5F16DF3F"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0B7F6B1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323C778C" w14:textId="77777777" w:rsidR="001666F9" w:rsidRDefault="00000000">
      <w:pPr>
        <w:pStyle w:val="berschrift3"/>
      </w:pPr>
      <w:r>
        <w:t>2.3.2  Value-Sensitive Design (VSD)</w:t>
      </w:r>
    </w:p>
    <w:p w14:paraId="54C30B0D"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598BDFB7" w14:textId="77777777" w:rsidR="001666F9" w:rsidRDefault="00000000">
      <w:pPr>
        <w:pStyle w:val="berschrift3"/>
      </w:pPr>
      <w:r>
        <w:t>2.3.3  Digital Wellbeing</w:t>
      </w:r>
    </w:p>
    <w:p w14:paraId="66126232"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6A4DF586" w14:textId="77777777" w:rsidR="001666F9" w:rsidRDefault="00000000">
      <w:pPr>
        <w:pStyle w:val="berschrift3"/>
      </w:pPr>
      <w:r>
        <w:t>2.3.4  Ethik von Empfehlungssystemen und algorithmische Souveränität</w:t>
      </w:r>
    </w:p>
    <w:p w14:paraId="4BD0FBF5"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B5EBD86" w14:textId="77777777" w:rsidR="001666F9" w:rsidRDefault="00000000">
      <w:pPr>
        <w:pStyle w:val="berschrift3"/>
      </w:pPr>
      <w:r>
        <w:t>2.3.5  Gebrauchstauglichkeit und Akzeptanz</w:t>
      </w:r>
    </w:p>
    <w:p w14:paraId="6C997726"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567CD2DB" w14:textId="77777777" w:rsidR="001666F9" w:rsidRDefault="00000000">
      <w:pPr>
        <w:pStyle w:val="berschrift2"/>
      </w:pPr>
      <w:r>
        <w:t>2.4  Gegenüberstellung der Medienmodelle</w:t>
      </w:r>
    </w:p>
    <w:p w14:paraId="0DB204B0"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016A8159"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A79B1E1"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DF0E9A7"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E409FF5"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0455BC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FDF096F" w14:textId="77777777" w:rsidR="001666F9" w:rsidRDefault="00000000">
            <w:r>
              <w:rPr>
                <w:b/>
                <w:bCs/>
                <w:sz w:val="20"/>
                <w:szCs w:val="20"/>
              </w:rPr>
              <w:t>Wellbeing-orientiertes Modell</w:t>
            </w:r>
          </w:p>
        </w:tc>
      </w:tr>
      <w:tr w:rsidR="001666F9" w14:paraId="7CFD500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9D450"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42D728"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4E80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8748B6" w14:textId="77777777" w:rsidR="001666F9" w:rsidRDefault="00000000">
            <w:r>
              <w:rPr>
                <w:sz w:val="20"/>
                <w:szCs w:val="20"/>
              </w:rPr>
              <w:t>Algorithmisch, auf Nutzerwohl optimiert</w:t>
            </w:r>
          </w:p>
        </w:tc>
      </w:tr>
      <w:tr w:rsidR="001666F9" w14:paraId="43F818D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4C5B6"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19993"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DA106"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975080" w14:textId="77777777" w:rsidR="001666F9" w:rsidRDefault="00000000">
            <w:r>
              <w:rPr>
                <w:sz w:val="20"/>
                <w:szCs w:val="20"/>
              </w:rPr>
              <w:t>Nachvollziehbare Kriterien, offene Logik</w:t>
            </w:r>
          </w:p>
        </w:tc>
      </w:tr>
      <w:tr w:rsidR="001666F9" w14:paraId="18D835E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EB260"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DC96B"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4DEB8"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1124E" w14:textId="77777777" w:rsidR="001666F9" w:rsidRDefault="00000000">
            <w:r>
              <w:rPr>
                <w:sz w:val="20"/>
                <w:szCs w:val="20"/>
              </w:rPr>
              <w:t>Aktiv (Themen, Filter, Intensität)</w:t>
            </w:r>
          </w:p>
        </w:tc>
      </w:tr>
      <w:tr w:rsidR="001666F9" w14:paraId="7A3021E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9859E6"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D9FE0"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B2D9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1C6B0" w14:textId="77777777" w:rsidR="001666F9" w:rsidRDefault="00000000">
            <w:r>
              <w:rPr>
                <w:sz w:val="20"/>
                <w:szCs w:val="20"/>
              </w:rPr>
              <w:t>Bewusste Diversifikation, Serendipität</w:t>
            </w:r>
          </w:p>
        </w:tc>
      </w:tr>
      <w:tr w:rsidR="001666F9" w14:paraId="5A40899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2990E"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66FA6"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60AAB"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43A62" w14:textId="77777777" w:rsidR="001666F9" w:rsidRDefault="00000000">
            <w:r>
              <w:rPr>
                <w:sz w:val="20"/>
                <w:szCs w:val="20"/>
              </w:rPr>
              <w:t>Definierte Länge, natürliche Pausen</w:t>
            </w:r>
          </w:p>
        </w:tc>
      </w:tr>
      <w:tr w:rsidR="001666F9" w14:paraId="54550EE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BEE80"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9939F"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0FC9F"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B85300" w14:textId="77777777" w:rsidR="001666F9" w:rsidRDefault="00000000">
            <w:r>
              <w:rPr>
                <w:sz w:val="20"/>
                <w:szCs w:val="20"/>
              </w:rPr>
              <w:t>Variabel (Gebühren, Abo, Stiftung)</w:t>
            </w:r>
          </w:p>
        </w:tc>
      </w:tr>
      <w:tr w:rsidR="001666F9" w14:paraId="30E6C27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2A7176"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FB421"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E1DEC"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EA899" w14:textId="77777777" w:rsidR="001666F9" w:rsidRDefault="00000000">
            <w:r>
              <w:rPr>
                <w:sz w:val="20"/>
                <w:szCs w:val="20"/>
              </w:rPr>
              <w:t>Nutzerwohl, Autonomie</w:t>
            </w:r>
          </w:p>
        </w:tc>
      </w:tr>
    </w:tbl>
    <w:p w14:paraId="1FBEEA48" w14:textId="77777777" w:rsidR="001666F9" w:rsidRDefault="00000000">
      <w:pPr>
        <w:pStyle w:val="berschrift2"/>
      </w:pPr>
      <w:r>
        <w:t>2.5  Forschungslücke</w:t>
      </w:r>
    </w:p>
    <w:p w14:paraId="7A2E9595"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82D75A1"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33068F1C" w14:textId="77777777" w:rsidR="001666F9" w:rsidRDefault="00000000">
      <w:pPr>
        <w:pStyle w:val="berschrift1"/>
        <w:pageBreakBefore/>
      </w:pPr>
      <w:r>
        <w:lastRenderedPageBreak/>
        <w:t>3  Attune als Forschungsartefakt</w:t>
      </w:r>
    </w:p>
    <w:p w14:paraId="1DACF50C"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0F4198F7" w14:textId="77777777" w:rsidR="001666F9" w:rsidRDefault="00000000">
      <w:pPr>
        <w:pStyle w:val="berschrift2"/>
      </w:pPr>
      <w:r>
        <w:t>3.1  Warum dieses Untersuchungsmedium?</w:t>
      </w:r>
    </w:p>
    <w:p w14:paraId="6295F9C5"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E9BE3B1"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2D7AD112"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BB37C39"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0FB18B00" w14:textId="77777777" w:rsidR="001666F9" w:rsidRDefault="00000000">
      <w:pPr>
        <w:spacing w:after="160" w:line="360" w:lineRule="auto"/>
      </w:pPr>
      <w:r>
        <w:lastRenderedPageBreak/>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92E2EE2"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6BC94A33"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243065EA"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FC27E53"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13751876"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w:t>
      </w:r>
      <w:r>
        <w:lastRenderedPageBreak/>
        <w:t>kann dennoch Personalisierung, Inhaltsdiversität, Transparenz und Zeitgestaltung in einem konsistenten Erlebnis kombinieren.</w:t>
      </w:r>
    </w:p>
    <w:p w14:paraId="0E382656" w14:textId="77777777" w:rsidR="001666F9" w:rsidRDefault="00000000">
      <w:pPr>
        <w:pStyle w:val="berschrift2"/>
      </w:pPr>
      <w:r>
        <w:t>3.3  Was an Attune konkret umgesetzt wird</w:t>
      </w:r>
    </w:p>
    <w:p w14:paraId="1B235EF3"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6FE6279" w14:textId="77777777" w:rsidR="001666F9" w:rsidRDefault="00000000">
      <w:pPr>
        <w:pStyle w:val="berschrift3"/>
      </w:pPr>
      <w:r>
        <w:t>3.3.1  Explizite Präferenzangaben und Profilkonstruktion</w:t>
      </w:r>
    </w:p>
    <w:p w14:paraId="58149FC3"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2A41D395" w14:textId="77777777" w:rsidR="001666F9" w:rsidRDefault="00000000">
      <w:pPr>
        <w:pStyle w:val="berschrift3"/>
      </w:pPr>
      <w:r>
        <w:t>3.3.2  Vollautomatisierte Sendungspipeline</w:t>
      </w:r>
    </w:p>
    <w:p w14:paraId="3A5EC981"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6165338D" w14:textId="77777777" w:rsidR="001666F9" w:rsidRDefault="00000000">
      <w:pPr>
        <w:pStyle w:val="berschrift3"/>
      </w:pPr>
      <w:r>
        <w:t>3.3.3  Kuratierungs- und Empfehlungslogik mit alternativem Zielwert</w:t>
      </w:r>
    </w:p>
    <w:p w14:paraId="0277925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4035356C" w14:textId="77777777" w:rsidR="001666F9" w:rsidRDefault="00000000">
      <w:pPr>
        <w:pStyle w:val="berschrift3"/>
      </w:pPr>
      <w:r>
        <w:t>3.3.4  Definierte Sessiongestaltung statt endlosem Strom</w:t>
      </w:r>
    </w:p>
    <w:p w14:paraId="544F3DB6" w14:textId="77777777" w:rsidR="001666F9" w:rsidRDefault="00000000">
      <w:pPr>
        <w:spacing w:after="160" w:line="360" w:lineRule="auto"/>
      </w:pPr>
      <w: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w:t>
      </w:r>
      <w:r>
        <w:lastRenderedPageBreak/>
        <w:t>Designmuster und übersetzt die METUX-Forderung nach Autonomie auf der Verhaltensebene (Peters et al., 2018) in ein konkretes Sendungsformat.</w:t>
      </w:r>
    </w:p>
    <w:p w14:paraId="7EFF58EA" w14:textId="77777777" w:rsidR="001666F9" w:rsidRDefault="00000000">
      <w:pPr>
        <w:pStyle w:val="berschrift3"/>
      </w:pPr>
      <w:r>
        <w:t>3.3.5  Transparenz über Quellen, Logik und Personalisierung</w:t>
      </w:r>
    </w:p>
    <w:p w14:paraId="2502F522"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7D82D105" w14:textId="77777777" w:rsidR="001666F9" w:rsidRDefault="00000000">
      <w:pPr>
        <w:pStyle w:val="berschrift2"/>
      </w:pPr>
      <w:r>
        <w:t>3.4  Welche Mechanismen am Radio untersucht und verbessert werden</w:t>
      </w:r>
    </w:p>
    <w:p w14:paraId="1E99AB73"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8530D5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753426D6"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6CC2C438"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06EE888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07F7E049"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4B640A10"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57E2F4D5" w14:textId="77777777" w:rsidR="001666F9" w:rsidRDefault="00000000">
      <w:pPr>
        <w:pStyle w:val="berschrift2"/>
      </w:pPr>
      <w:r>
        <w:lastRenderedPageBreak/>
        <w:t>3.5  Abgrenzung des Untersuchungsumfangs</w:t>
      </w:r>
    </w:p>
    <w:p w14:paraId="38D7743C"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3C92E801" w14:textId="77777777" w:rsidR="001666F9" w:rsidRDefault="00000000">
      <w:pPr>
        <w:pStyle w:val="berschrift1"/>
        <w:pageBreakBefore/>
      </w:pPr>
      <w:r>
        <w:lastRenderedPageBreak/>
        <w:t>4  Forschungsfrage und Zielsetzung</w:t>
      </w:r>
    </w:p>
    <w:p w14:paraId="6ADB4FC5"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A90177F" w14:textId="77777777" w:rsidR="001666F9" w:rsidRDefault="00000000">
      <w:pPr>
        <w:pStyle w:val="berschrift2"/>
      </w:pPr>
      <w:r>
        <w:t>4.1  Forschungsfrage</w:t>
      </w:r>
    </w:p>
    <w:p w14:paraId="04E268BD"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7CD8C90A"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23A56F2F"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1CA71CF1"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520E0C3C" w14:textId="77777777" w:rsidR="001666F9" w:rsidRDefault="00000000">
      <w:pPr>
        <w:pStyle w:val="berschrift2"/>
      </w:pPr>
      <w:r>
        <w:t>4.2  Teilfragen</w:t>
      </w:r>
    </w:p>
    <w:p w14:paraId="7FF84CF5"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73AD5A2C"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5C693DE6"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4C787A65"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FC465D"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1D24372D"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11658793" w14:textId="77777777" w:rsidR="001666F9" w:rsidRDefault="00000000">
      <w:pPr>
        <w:pStyle w:val="berschrift2"/>
      </w:pPr>
      <w:r>
        <w:t>4.3  Goal und Objective</w:t>
      </w:r>
    </w:p>
    <w:p w14:paraId="7F0EDE27"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786D7081"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19820C43"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2D1D2282" w14:textId="77777777" w:rsidR="001666F9" w:rsidRDefault="00000000">
      <w:pPr>
        <w:spacing w:after="160" w:line="360" w:lineRule="auto"/>
      </w:pPr>
      <w:r>
        <w:t>Aus Goal und Objective leiten sich die Erfolgskriterien der Arbeit ab, die in Abschnitt 8.4 operationalisiert werden.</w:t>
      </w:r>
    </w:p>
    <w:p w14:paraId="51C1A998" w14:textId="77777777" w:rsidR="001666F9" w:rsidRDefault="00000000">
      <w:pPr>
        <w:pStyle w:val="berschrift2"/>
      </w:pPr>
      <w:r>
        <w:t>4.4  Nutzen</w:t>
      </w:r>
    </w:p>
    <w:p w14:paraId="0D941A4B"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05C15C35"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65FB1021"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6BA6A8A3" w14:textId="77777777" w:rsidR="001666F9" w:rsidRDefault="00000000">
      <w:pPr>
        <w:pStyle w:val="berschrift2"/>
      </w:pPr>
      <w:r>
        <w:t>4.5  Abgrenzung</w:t>
      </w:r>
    </w:p>
    <w:p w14:paraId="73A06F92"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CE525B4"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2DE4595C"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2C44F8B6"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6D06333C"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21E86BD3"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6C7D4E33"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1E2DDE7C" w14:textId="77777777" w:rsidR="001666F9" w:rsidRDefault="00000000">
      <w:pPr>
        <w:pStyle w:val="berschrift1"/>
        <w:pageBreakBefore/>
      </w:pPr>
      <w:r>
        <w:lastRenderedPageBreak/>
        <w:t>5  Methodik</w:t>
      </w:r>
    </w:p>
    <w:p w14:paraId="60BCFA82"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14:paraId="4CE347A9" w14:textId="77777777" w:rsidR="001666F9" w:rsidRDefault="00000000">
      <w:pPr>
        <w:pStyle w:val="berschrift2"/>
      </w:pPr>
      <w:r>
        <w:t>5.1  Vorgehen der Literaturrecherche</w:t>
      </w:r>
    </w:p>
    <w:p w14:paraId="4640F097"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445AB4A9"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6D18F22"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106D0018"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40A94C0B"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39D72C18" w14:textId="77777777" w:rsidR="001666F9" w:rsidRDefault="00000000">
      <w:pPr>
        <w:pStyle w:val="berschrift2"/>
      </w:pPr>
      <w:r>
        <w:t>5.2  Forschungsdesign</w:t>
      </w:r>
    </w:p>
    <w:p w14:paraId="0EC3765B"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7BA0282B"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4A31F2C8" w14:textId="77777777" w:rsidR="001666F9" w:rsidRDefault="00000000">
      <w:pPr>
        <w:spacing w:after="160" w:line="360" w:lineRule="auto"/>
      </w:pPr>
      <w:r>
        <w:t xml:space="preserve">Auf die vorliegende Arbeit übertragen bedeutet dies: Der Relevance Cycle ist in den Kapiteln 1 und 3 sowie im Pilottest (Abschnitt 8.3)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93BB18D" w14:textId="77777777" w:rsidR="001666F9" w:rsidRDefault="00000000">
      <w:pPr>
        <w:pStyle w:val="berschrift2"/>
      </w:pPr>
      <w:r>
        <w:t>5.3  Vorgehen im Überblick</w:t>
      </w:r>
    </w:p>
    <w:p w14:paraId="021778B2"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3A660688"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97DEB8D"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C2647A"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2958E84"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E890A8A" w14:textId="77777777" w:rsidR="001666F9" w:rsidRDefault="00000000">
            <w:pPr>
              <w:spacing w:line="276" w:lineRule="auto"/>
            </w:pPr>
            <w:r>
              <w:rPr>
                <w:b/>
                <w:bCs/>
                <w:sz w:val="20"/>
                <w:szCs w:val="20"/>
              </w:rPr>
              <w:t>Output</w:t>
            </w:r>
          </w:p>
        </w:tc>
      </w:tr>
      <w:tr w:rsidR="001666F9" w14:paraId="70100DE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5644C"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5B019"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1658D"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D473" w14:textId="77777777" w:rsidR="001666F9" w:rsidRDefault="00000000">
            <w:pPr>
              <w:spacing w:line="276" w:lineRule="auto"/>
            </w:pPr>
            <w:r>
              <w:rPr>
                <w:sz w:val="20"/>
                <w:szCs w:val="20"/>
              </w:rPr>
              <w:t>Theoretischer Rahmen, Gegenüberstellung der Medienmodelle</w:t>
            </w:r>
          </w:p>
        </w:tc>
      </w:tr>
      <w:tr w:rsidR="001666F9" w14:paraId="5EBF8F47"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F3283F"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BC923"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00BCC"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160E9" w14:textId="77777777" w:rsidR="001666F9" w:rsidRDefault="00000000">
            <w:pPr>
              <w:spacing w:line="276" w:lineRule="auto"/>
            </w:pPr>
            <w:r>
              <w:rPr>
                <w:sz w:val="20"/>
                <w:szCs w:val="20"/>
              </w:rPr>
              <w:t>Systemarchitektur mit Personalisierungsmodul</w:t>
            </w:r>
          </w:p>
        </w:tc>
      </w:tr>
      <w:tr w:rsidR="001666F9" w14:paraId="6D5E08E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87F51"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692F2C"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3A8C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F2653" w14:textId="77777777" w:rsidR="001666F9" w:rsidRDefault="00000000">
            <w:pPr>
              <w:spacing w:line="276" w:lineRule="auto"/>
            </w:pPr>
            <w:r>
              <w:rPr>
                <w:sz w:val="20"/>
                <w:szCs w:val="20"/>
              </w:rPr>
              <w:t>Lauffähiger Minimalprototyp</w:t>
            </w:r>
          </w:p>
        </w:tc>
      </w:tr>
      <w:tr w:rsidR="001666F9" w14:paraId="2EBC7B2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8976F0"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A4C55A"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340AAE"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A67C9" w14:textId="77777777" w:rsidR="001666F9" w:rsidRDefault="00000000">
            <w:pPr>
              <w:spacing w:line="276" w:lineRule="auto"/>
            </w:pPr>
            <w:r>
              <w:rPr>
                <w:sz w:val="20"/>
                <w:szCs w:val="20"/>
              </w:rPr>
              <w:t>Erweiterter Demonstrator mit wellbeing-orientierten Features</w:t>
            </w:r>
          </w:p>
        </w:tc>
      </w:tr>
      <w:tr w:rsidR="001666F9" w14:paraId="2ADD3F95"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DB860"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7049A" w14:textId="77777777" w:rsidR="001666F9" w:rsidRDefault="00000000">
            <w:pPr>
              <w:spacing w:line="276" w:lineRule="auto"/>
            </w:pPr>
            <w:r>
              <w:rPr>
                <w:sz w:val="20"/>
                <w:szCs w:val="20"/>
              </w:rPr>
              <w:t>Pilottest (1-Wochen-Test)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E87DF6" w14:textId="77777777" w:rsidR="001666F9" w:rsidRDefault="00000000">
            <w:pPr>
              <w:spacing w:line="276" w:lineRule="auto"/>
            </w:pPr>
            <w:r>
              <w:rPr>
                <w:sz w:val="20"/>
                <w:szCs w:val="20"/>
              </w:rPr>
              <w:t>Demonstrator, ca. fünf Testpersonen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4FD11" w14:textId="77777777" w:rsidR="001666F9" w:rsidRDefault="00000000">
            <w:pPr>
              <w:spacing w:line="276" w:lineRule="auto"/>
            </w:pPr>
            <w:r>
              <w:rPr>
                <w:sz w:val="20"/>
                <w:szCs w:val="20"/>
              </w:rPr>
              <w:t>Nutzungsdaten, Wellbeing-Feedback, qualitative Erkenntnisse</w:t>
            </w:r>
          </w:p>
        </w:tc>
      </w:tr>
      <w:tr w:rsidR="001666F9" w14:paraId="08B334FC"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CF8C5"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0558A"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E5CE9"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DF1EF4" w14:textId="77777777" w:rsidR="001666F9" w:rsidRDefault="00000000">
            <w:pPr>
              <w:spacing w:line="276" w:lineRule="auto"/>
            </w:pPr>
            <w:r>
              <w:rPr>
                <w:sz w:val="20"/>
                <w:szCs w:val="20"/>
              </w:rPr>
              <w:t>Machbarkeitsbeurteilung, Wellbeing-Evaluation</w:t>
            </w:r>
          </w:p>
        </w:tc>
      </w:tr>
      <w:tr w:rsidR="001666F9" w14:paraId="3E77E03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45FD1"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DCBE93"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7EB96"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5BFB2" w14:textId="77777777" w:rsidR="001666F9" w:rsidRDefault="00000000">
            <w:pPr>
              <w:spacing w:line="276" w:lineRule="auto"/>
            </w:pPr>
            <w:r>
              <w:rPr>
                <w:sz w:val="20"/>
                <w:szCs w:val="20"/>
              </w:rPr>
              <w:t>Wissenschaftlicher Bericht, Code-Dokumentation</w:t>
            </w:r>
          </w:p>
        </w:tc>
      </w:tr>
    </w:tbl>
    <w:p w14:paraId="17E15B93" w14:textId="77777777" w:rsidR="001666F9" w:rsidRDefault="001666F9">
      <w:pPr>
        <w:spacing w:after="160" w:line="360" w:lineRule="auto"/>
      </w:pPr>
    </w:p>
    <w:p w14:paraId="3B82D5B8"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254DB9FB" w14:textId="77777777" w:rsidR="001666F9" w:rsidRDefault="00000000">
      <w:pPr>
        <w:pStyle w:val="berschrift2"/>
      </w:pPr>
      <w:r>
        <w:t>5.4  Methoden der Datenerhebung</w:t>
      </w:r>
    </w:p>
    <w:p w14:paraId="31E48643"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14:paraId="26FF7509" w14:textId="77777777" w:rsidR="001666F9" w:rsidRDefault="00000000">
      <w:pPr>
        <w:spacing w:after="160" w:line="360" w:lineRule="auto"/>
      </w:pPr>
      <w:r>
        <w:t>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14:paraId="313992B1" w14:textId="77777777" w:rsidR="001666F9" w:rsidRDefault="00000000">
      <w:pPr>
        <w:spacing w:after="160" w:line="360" w:lineRule="auto"/>
      </w:pPr>
      <w:r>
        <w:t>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14:paraId="08BD6187" w14:textId="77777777" w:rsidR="001666F9" w:rsidRDefault="00000000">
      <w:pPr>
        <w:spacing w:after="160" w:line="360" w:lineRule="auto"/>
      </w:pPr>
      <w:r>
        <w:t>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14:paraId="6453279F" w14:textId="77777777" w:rsidR="001666F9" w:rsidRDefault="00000000">
      <w:pPr>
        <w:spacing w:after="160" w:line="360" w:lineRule="auto"/>
      </w:pPr>
      <w:r>
        <w:t>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14:paraId="6523E5B6" w14:textId="77777777" w:rsidR="001666F9" w:rsidRDefault="00000000">
      <w:pPr>
        <w:spacing w:after="160" w:line="360" w:lineRule="auto"/>
      </w:pPr>
      <w:r>
        <w:t xml:space="preserve">Der Pilottest läuft über eine Woche mit ca. fünf Testpersonen aus dem Bekanntenkreis des Autors. Die Probandengruppe ist gezielt klein gehalten, um eine intensive qualitative Auswertung zu ermöglichen. Der Ablauf – Onboarding, Nutzung im Alltag, </w:t>
      </w:r>
      <w:r>
        <w:lastRenderedPageBreak/>
        <w:t>Abschlussinterview – sowie die Einwilligung der Teilnehmenden werden in den Abschnitten 8.3 und 8.5 ausführlich beschrieben.</w:t>
      </w:r>
    </w:p>
    <w:p w14:paraId="2D3066FD" w14:textId="77777777" w:rsidR="001666F9" w:rsidRDefault="00000000">
      <w:pPr>
        <w:pStyle w:val="berschrift2"/>
      </w:pPr>
      <w:r>
        <w:t>5.5  Methoden der Auswertung</w:t>
      </w:r>
    </w:p>
    <w:p w14:paraId="34EBB2A8" w14:textId="77777777" w:rsidR="001666F9" w:rsidRDefault="00000000">
      <w:pPr>
        <w:spacing w:after="160" w:line="360" w:lineRule="auto"/>
      </w:pPr>
      <w:r>
        <w:t>Die Auswertung folgt der Datenstruktur und kombiniert qualitative und deskriptive Verfahren. Ein bewusst zurückhaltender Auswertungsstil entspricht dem formativen Charakter der Studie und der kleinen Probandengruppe.</w:t>
      </w:r>
    </w:p>
    <w:p w14:paraId="51319A17" w14:textId="77777777" w:rsidR="001666F9" w:rsidRDefault="00000000">
      <w:pPr>
        <w:spacing w:after="160" w:line="360" w:lineRule="auto"/>
      </w:pPr>
      <w:r>
        <w:t>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14:paraId="76F153FF" w14:textId="77777777" w:rsidR="001666F9" w:rsidRDefault="00000000">
      <w:pPr>
        <w:spacing w:after="160" w:line="360" w:lineRule="auto"/>
      </w:pPr>
      <w:r>
        <w:t>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14:paraId="23305034" w14:textId="77777777" w:rsidR="001666F9" w:rsidRDefault="00000000">
      <w:pPr>
        <w:spacing w:after="160" w:line="360" w:lineRule="auto"/>
      </w:pPr>
      <w:r>
        <w:t>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14:paraId="0F81AA65" w14:textId="77777777" w:rsidR="001666F9" w:rsidRDefault="00000000">
      <w:pPr>
        <w:pStyle w:val="berschrift2"/>
      </w:pPr>
      <w:r>
        <w:t>5.6  Reflexion zu Ressourcen und Kompetenzen</w:t>
      </w:r>
    </w:p>
    <w:p w14:paraId="7C728D73"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51A96DC9" w14:textId="77777777" w:rsidR="001666F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14:paraId="6BE59F58"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31EDF50" w14:textId="77777777" w:rsidR="00DA4BE5" w:rsidRDefault="00000000">
      <w:pPr>
        <w:pStyle w:val="berschrift1"/>
        <w:pageBreakBefore/>
      </w:pPr>
      <w:r>
        <w:lastRenderedPageBreak/>
        <w:t>6  Konzept und Architektur</w:t>
      </w:r>
    </w:p>
    <w:p w14:paraId="3269F314" w14:textId="77777777" w:rsidR="00DA4BE5"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59F1923" w14:textId="77777777" w:rsidR="00DA4BE5" w:rsidRDefault="00000000">
      <w:pPr>
        <w:pStyle w:val="berschrift2"/>
      </w:pPr>
      <w:r>
        <w:t>6.1  Anforderungen</w:t>
      </w:r>
    </w:p>
    <w:p w14:paraId="63942982" w14:textId="77777777" w:rsidR="00DA4BE5"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4609393E" w14:textId="77777777" w:rsidR="00DA4BE5" w:rsidRDefault="00000000">
      <w:pPr>
        <w:spacing w:after="160" w:line="360" w:lineRule="auto"/>
      </w:pPr>
      <w:r>
        <w:t>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Abschnitt 1.2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Sprache müssen auf den schweizerischen Kontext der Pilotstudie zugeschnitten sein. Nachvollziehbarkeit: Als Forschungsartefakt muss der Quellcode offen einsehbar und die Architektur dokumentierbar sein.</w:t>
      </w:r>
    </w:p>
    <w:p w14:paraId="6AE5D145" w14:textId="77777777" w:rsidR="00DA4BE5" w:rsidRDefault="00000000">
      <w:pPr>
        <w:pStyle w:val="berschrift2"/>
      </w:pPr>
      <w:r>
        <w:lastRenderedPageBreak/>
        <w:t>6.2  Architekturüberblick</w:t>
      </w:r>
    </w:p>
    <w:p w14:paraId="0D9A246D" w14:textId="77777777" w:rsidR="00DA4BE5"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6D7433D9" w14:textId="77777777" w:rsidR="00DA4BE5"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1DF60C43" w14:textId="77777777" w:rsidR="00DA4BE5" w:rsidRDefault="00000000">
      <w:pPr>
        <w:pStyle w:val="berschrift2"/>
      </w:pPr>
      <w:r>
        <w:t>6.3  Komponenten im Detail</w:t>
      </w:r>
    </w:p>
    <w:p w14:paraId="034126B5" w14:textId="77777777" w:rsidR="00DA4BE5" w:rsidRDefault="00000000">
      <w:pPr>
        <w:pStyle w:val="berschrift3"/>
      </w:pPr>
      <w:r>
        <w:t>6.3.1  Orchestrator</w:t>
      </w:r>
    </w:p>
    <w:p w14:paraId="7576A25A" w14:textId="77777777" w:rsidR="00DA4BE5"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33F442B" w14:textId="77777777" w:rsidR="00DA4BE5" w:rsidRDefault="00000000">
      <w:pPr>
        <w:pStyle w:val="berschrift3"/>
      </w:pPr>
      <w:r>
        <w:lastRenderedPageBreak/>
        <w:t>6.3.2  Personalisierungsmodul</w:t>
      </w:r>
    </w:p>
    <w:p w14:paraId="0D26FE90" w14:textId="77777777" w:rsidR="00DA4BE5"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(formal, locker, energetisch),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2C00A518" w14:textId="77777777" w:rsidR="00DA4BE5" w:rsidRDefault="00000000">
      <w:pPr>
        <w:pStyle w:val="berschrift3"/>
      </w:pPr>
      <w:r>
        <w:t>6.3.3  Nachrichten- und Datenintegration</w:t>
      </w:r>
    </w:p>
    <w:p w14:paraId="2FCA47D6" w14:textId="77777777" w:rsidR="00DA4BE5"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E32A678" w14:textId="77777777" w:rsidR="00DA4BE5" w:rsidRDefault="00000000">
      <w:pPr>
        <w:pStyle w:val="berschrift3"/>
      </w:pPr>
      <w:r>
        <w:t>6.3.4  LLM-Textgenerierung</w:t>
      </w:r>
    </w:p>
    <w:p w14:paraId="78293F9A" w14:textId="77777777" w:rsidR="00DA4BE5"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6179FA71" w14:textId="77777777" w:rsidR="00DA4BE5" w:rsidRDefault="00000000">
      <w:pPr>
        <w:pStyle w:val="berschrift3"/>
      </w:pPr>
      <w:r>
        <w:t>6.3.5  Sprachsynthese</w:t>
      </w:r>
    </w:p>
    <w:p w14:paraId="1F89B8DD" w14:textId="77777777" w:rsidR="00DA4BE5" w:rsidRDefault="00000000">
      <w:pPr>
        <w:spacing w:after="160" w:line="360" w:lineRule="auto"/>
      </w:pPr>
      <w:r>
        <w:t xml:space="preserve">Die Umwandlung der Moderationstexte in Audio erfolgt über die Sprachsynthese von ElevenLabs mit einem mehrsprachigen Modell, das deutschsprachige Ausgabe in natürlicher </w:t>
      </w:r>
      <w:r>
        <w:lastRenderedPageBreak/>
        <w:t>Sprechqualität erlaubt. Jedem der drei Sprechstile ist eine eigene Stimme mit abgestimmten Syntheseparametern zugeordnet: Der formale Stil verwendet eine stabile, seriöse Einstellung, der lockere Stil mehr Variabilität, der energetische Stil die höchste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0185BAC6" w14:textId="77777777" w:rsidR="00DA4BE5" w:rsidRDefault="00000000">
      <w:pPr>
        <w:pStyle w:val="berschrift3"/>
      </w:pPr>
      <w:r>
        <w:t>6.3.6  Musikeinbindung</w:t>
      </w:r>
    </w:p>
    <w:p w14:paraId="025AF229" w14:textId="77777777" w:rsidR="00DA4BE5"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608B328" w14:textId="77777777" w:rsidR="00DA4BE5" w:rsidRDefault="00000000">
      <w:pPr>
        <w:pStyle w:val="berschrift3"/>
      </w:pPr>
      <w:r>
        <w:t>6.3.7  Webapplikation und Benutzeroberfläche</w:t>
      </w:r>
    </w:p>
    <w:p w14:paraId="46CE0DF0" w14:textId="77777777" w:rsidR="00DA4BE5"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69F979D7" w14:textId="77777777" w:rsidR="00DA4BE5" w:rsidRDefault="00000000">
      <w:pPr>
        <w:spacing w:after="160" w:line="360" w:lineRule="auto"/>
      </w:pPr>
      <w:r>
        <w:t>Das visuelle Design der Benutzeroberfläche wurde mit dem KI-gestützten Gestaltungswerkzeug Claude Design entwickelt: Auf Basis eines Kontext-Briefings, das die fünf Designprinzipien und den Anti-Engagement-Test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2C41C27" w14:textId="77777777" w:rsidR="00DA4BE5" w:rsidRDefault="00000000">
      <w:pPr>
        <w:pStyle w:val="berschrift2"/>
      </w:pPr>
      <w:r>
        <w:t>6.4  Wellbeing-Features im Design</w:t>
      </w:r>
    </w:p>
    <w:p w14:paraId="5878BEFC" w14:textId="77777777" w:rsidR="00DA4BE5" w:rsidRDefault="00000000">
      <w:pPr>
        <w:spacing w:after="160" w:line="360" w:lineRule="auto"/>
      </w:pPr>
      <w:r>
        <w:lastRenderedPageBreak/>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B43B9F1" w14:textId="77777777" w:rsidR="00DA4BE5"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604117B5" w14:textId="77777777" w:rsidR="00DA4BE5"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C376DB2" w14:textId="77777777" w:rsidR="00DA4BE5" w:rsidRDefault="00000000">
      <w:pPr>
        <w:pStyle w:val="berschrift2"/>
      </w:pPr>
      <w:r>
        <w:t>6.5  Mapping von Werten auf Designentscheidungen</w:t>
      </w:r>
    </w:p>
    <w:p w14:paraId="35781191" w14:textId="77777777" w:rsidR="00DA4BE5" w:rsidRDefault="00000000">
      <w:pPr>
        <w:spacing w:after="160" w:line="360" w:lineRule="auto"/>
      </w:pPr>
      <w:r>
        <w:t>Im Sinne des Value-Sensitive Design (Hendry, Friedman &amp; Ballard,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13D67362"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A46C197" w14:textId="77777777" w:rsidR="00DA4BE5" w:rsidRDefault="00000000">
            <w:pPr>
              <w:spacing w:after="40"/>
              <w:rPr>
                <w:b/>
              </w:rPr>
            </w:pPr>
            <w:r>
              <w:rPr>
                <w:b/>
              </w:rPr>
              <w:lastRenderedPageBreak/>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77D967E" w14:textId="77777777" w:rsidR="00DA4BE5"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8035B67" w14:textId="77777777" w:rsidR="00DA4BE5" w:rsidRDefault="00000000">
            <w:pPr>
              <w:spacing w:after="40"/>
              <w:rPr>
                <w:b/>
              </w:rPr>
            </w:pPr>
            <w:r>
              <w:rPr>
                <w:b/>
              </w:rPr>
              <w:t>Umsetzung in Attune</w:t>
            </w:r>
          </w:p>
        </w:tc>
      </w:tr>
      <w:tr w:rsidR="00DA4BE5" w14:paraId="4885762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153ED6" w14:textId="77777777" w:rsidR="00DA4BE5"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184F1D" w14:textId="77777777" w:rsidR="00DA4BE5"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FEE4B" w14:textId="77777777" w:rsidR="00DA4BE5" w:rsidRDefault="00000000">
            <w:pPr>
              <w:spacing w:after="40"/>
            </w:pPr>
            <w:r>
              <w:t>Präferenzformular; einsehbares, änderbares und löschbares Profil</w:t>
            </w:r>
          </w:p>
        </w:tc>
      </w:tr>
      <w:tr w:rsidR="00DA4BE5" w14:paraId="629EE8B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2BE3D" w14:textId="77777777" w:rsidR="00DA4BE5"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8FE9B" w14:textId="77777777" w:rsidR="00DA4BE5"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EC4EFB" w14:textId="77777777" w:rsidR="00DA4BE5" w:rsidRDefault="00000000">
            <w:pPr>
              <w:spacing w:after="40"/>
            </w:pPr>
            <w:r>
              <w:t>Pipeline-Anzeige in Echtzeit; Begründungsansicht «Warum diese Sendung?»</w:t>
            </w:r>
          </w:p>
        </w:tc>
      </w:tr>
      <w:tr w:rsidR="00DA4BE5" w14:paraId="53FAB16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53C114" w14:textId="77777777" w:rsidR="00DA4BE5"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2DFFF" w14:textId="77777777" w:rsidR="00DA4BE5"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F841A2" w14:textId="77777777" w:rsidR="00DA4BE5" w:rsidRDefault="00000000">
            <w:pPr>
              <w:spacing w:after="40"/>
            </w:pPr>
            <w:r>
              <w:t>Quellenliste mit Originallinks; Kennzeichnung von Profil-, Überraschungs- und Auffüll-Beiträgen</w:t>
            </w:r>
          </w:p>
        </w:tc>
      </w:tr>
      <w:tr w:rsidR="00DA4BE5" w14:paraId="79F16AA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74962E" w14:textId="77777777" w:rsidR="00DA4BE5"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B253C7" w14:textId="77777777" w:rsidR="00DA4BE5"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4D6CD" w14:textId="77777777" w:rsidR="00DA4BE5" w:rsidRDefault="00000000">
            <w:pPr>
              <w:spacing w:after="40"/>
            </w:pPr>
            <w:r>
              <w:t>Feste Sendungslänge; hörbares Ende; kein Autoplay, keine Push-Mechanismen</w:t>
            </w:r>
          </w:p>
        </w:tc>
      </w:tr>
      <w:tr w:rsidR="00DA4BE5" w14:paraId="715C05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6B136" w14:textId="77777777" w:rsidR="00DA4BE5"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194559" w14:textId="77777777" w:rsidR="00DA4BE5"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865447" w14:textId="77777777" w:rsidR="00DA4BE5" w:rsidRDefault="00000000">
            <w:pPr>
              <w:spacing w:after="40"/>
            </w:pPr>
            <w:r>
              <w:t>Vierstufige Auswahl: Abdeckung, Serendipität, Tiefe, Auffüllen; Themen-Obergrenze; Tageszeitregel</w:t>
            </w:r>
          </w:p>
        </w:tc>
      </w:tr>
      <w:tr w:rsidR="00DA4BE5" w14:paraId="4C4A1FC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2AE89" w14:textId="77777777" w:rsidR="00DA4BE5" w:rsidRDefault="00000000">
            <w:pPr>
              <w:spacing w:after="40"/>
            </w:pPr>
            <w:r>
              <w:t>Privatsphäre (VSD; Hendry, Friedman &amp; Ballard,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EC52A" w14:textId="77777777" w:rsidR="00DA4BE5"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EBECB" w14:textId="77777777" w:rsidR="00DA4BE5" w:rsidRDefault="00000000">
            <w:pPr>
              <w:spacing w:after="40"/>
            </w:pPr>
            <w:r>
              <w:t>Lokale Profilspeicherung; kein Konto, kein Tracking, keine serverseitige Profildatenbank</w:t>
            </w:r>
          </w:p>
        </w:tc>
      </w:tr>
    </w:tbl>
    <w:p w14:paraId="52B0F6D2" w14:textId="77777777" w:rsidR="00DA4BE5"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9F9A99B" w14:textId="77777777" w:rsidR="00DA4BE5" w:rsidRDefault="00000000">
      <w:pPr>
        <w:pStyle w:val="berschrift2"/>
      </w:pPr>
      <w:r>
        <w:t>6.6  Datenschutz und Datenfluss</w:t>
      </w:r>
    </w:p>
    <w:p w14:paraId="29EC9EEA" w14:textId="77777777" w:rsidR="00DA4BE5"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7599374B" w14:textId="77777777" w:rsidR="00DA4BE5"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w:t>
      </w:r>
      <w:r>
        <w:lastRenderedPageBreak/>
        <w:t>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11EB329B" w14:textId="77777777" w:rsidR="00DA4BE5" w:rsidRDefault="00000000">
      <w:pPr>
        <w:pStyle w:val="berschrift1"/>
        <w:pageBreakBefore/>
      </w:pPr>
      <w:r>
        <w:lastRenderedPageBreak/>
        <w:t>7  Implementation</w:t>
      </w:r>
    </w:p>
    <w:p w14:paraId="07012F9E" w14:textId="77777777" w:rsidR="00DA4BE5"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538C6291" w14:textId="77777777" w:rsidR="00DA4BE5" w:rsidRDefault="00000000">
      <w:pPr>
        <w:pStyle w:val="berschrift2"/>
      </w:pPr>
      <w:r>
        <w:t>7.1  Vorgehen und Iterationen</w:t>
      </w:r>
    </w:p>
    <w:p w14:paraId="4BAE27EC" w14:textId="77777777" w:rsidR="00DA4BE5"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33E5B01" w14:textId="77777777" w:rsidR="00DA4BE5"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A362023" w14:textId="77777777" w:rsidR="00DA4BE5" w:rsidRDefault="00000000">
      <w:pPr>
        <w:pStyle w:val="berschrift2"/>
      </w:pPr>
      <w:r>
        <w:t>7.2  Repository-Struktur und Tech-Stack</w:t>
      </w:r>
    </w:p>
    <w:p w14:paraId="497BB269" w14:textId="77777777" w:rsidR="00DA4BE5"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w:t>
      </w:r>
      <w:r>
        <w:lastRenderedPageBreak/>
        <w:t>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29783BDD" w14:textId="77777777" w:rsidR="00DA4BE5"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049D5F56" w14:textId="77777777" w:rsidR="00DA4BE5" w:rsidRDefault="00000000">
      <w:pPr>
        <w:pStyle w:val="berschrift2"/>
      </w:pPr>
      <w:r>
        <w:t>7.3  Pipeline-Implementation</w:t>
      </w:r>
    </w:p>
    <w:p w14:paraId="245F15C0" w14:textId="77777777" w:rsidR="00DA4BE5"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ED2205E" w14:textId="77777777" w:rsidR="00DA4BE5" w:rsidRDefault="00000000">
      <w:pPr>
        <w:pStyle w:val="berschrift2"/>
      </w:pPr>
      <w:r>
        <w:t>7.4  Prompt-Engineering</w:t>
      </w:r>
    </w:p>
    <w:p w14:paraId="0E30AA24" w14:textId="77777777" w:rsidR="00DA4BE5"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w:t>
      </w:r>
      <w:r>
        <w:lastRenderedPageBreak/>
        <w:t>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BFBE172" w14:textId="77777777" w:rsidR="00DA4BE5"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904BF5D" w14:textId="77777777" w:rsidR="00DA4BE5" w:rsidRDefault="00000000">
      <w:pPr>
        <w:pStyle w:val="berschrift2"/>
      </w:pPr>
      <w:r>
        <w:t>7.5  Personalisierungs- und Transparenz-UI</w:t>
      </w:r>
    </w:p>
    <w:p w14:paraId="162E0A76" w14:textId="77777777" w:rsidR="00DA4BE5" w:rsidRDefault="00000000">
      <w:pPr>
        <w:spacing w:after="160" w:line="360" w:lineRule="auto"/>
      </w:pPr>
      <w:r>
        <w:t>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7F5402C4" w14:textId="77777777" w:rsidR="00DA4BE5" w:rsidRDefault="00000000">
      <w:pPr>
        <w:pStyle w:val="berschrift2"/>
      </w:pPr>
      <w:r>
        <w:t>7.6  Bekannte Limitationen der Umsetzung</w:t>
      </w:r>
    </w:p>
    <w:p w14:paraId="54FB185B" w14:textId="77777777" w:rsidR="00DA4BE5"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w:t>
      </w:r>
      <w:r>
        <w:lastRenderedPageBreak/>
        <w:t>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3FE23E57" w14:textId="77777777" w:rsidR="001666F9" w:rsidRDefault="00000000">
      <w:pPr>
        <w:pStyle w:val="berschrift1"/>
        <w:pageBreakBefore/>
      </w:pPr>
      <w:r>
        <w:lastRenderedPageBreak/>
        <w:t>8  Validierung</w:t>
      </w:r>
    </w:p>
    <w:p w14:paraId="657E5CEE"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BC001AF" w14:textId="77777777" w:rsidR="001666F9" w:rsidRDefault="00000000">
      <w:pPr>
        <w:pStyle w:val="berschrift2"/>
      </w:pPr>
      <w:r>
        <w:t>8.1  Aufbau der Validierung</w:t>
      </w:r>
    </w:p>
    <w:p w14:paraId="500D6DA4"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2E3408F7"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D48C426" w14:textId="77777777" w:rsidR="001666F9" w:rsidRDefault="00000000">
      <w:pPr>
        <w:pStyle w:val="berschrift2"/>
      </w:pPr>
      <w:r>
        <w:t>8.2  Machbarkeitsnachweis</w:t>
      </w:r>
    </w:p>
    <w:p w14:paraId="0B99A62C"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20889A96" w14:textId="77777777" w:rsidR="001666F9" w:rsidRDefault="00000000">
      <w:pPr>
        <w:pStyle w:val="berschrift2"/>
      </w:pPr>
      <w:r>
        <w:lastRenderedPageBreak/>
        <w:t>8.3  Usability und Akzeptanz</w:t>
      </w:r>
    </w:p>
    <w:p w14:paraId="339F339A"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7D8B5CE1"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66771DF2" w14:textId="77777777"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in Anhang C dokumentiert. Ergänzend wurde der Gesamteindruck mit einem siebenstufigen semantischen Differential erfasst; alle übrigen Items sind fünfstufige Likert-Skalen.</w:t>
      </w:r>
    </w:p>
    <w:p w14:paraId="02C4B0A6" w14:textId="77777777" w:rsidR="001666F9" w:rsidRDefault="00000000">
      <w:pPr>
        <w:pStyle w:val="berschrift2"/>
      </w:pPr>
      <w:r>
        <w:t>8.4  Wirkung</w:t>
      </w:r>
    </w:p>
    <w:p w14:paraId="4EB97AB7" w14:textId="77777777" w:rsidR="001666F9" w:rsidRDefault="00000000">
      <w:pPr>
        <w:spacing w:after="160" w:line="360" w:lineRule="auto"/>
      </w:pPr>
      <w:r>
        <w:lastRenderedPageBreak/>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Zuordnung der Items zu den Konstrukten und die Umpolungsregeln sind in Abschnitt 7 des Auswertungs-Notebooks dokumentiert.</w:t>
      </w:r>
    </w:p>
    <w:p w14:paraId="3CA590FB" w14:textId="77777777" w:rsidR="001666F9" w:rsidRDefault="00000000">
      <w:pPr>
        <w:pStyle w:val="berschrift2"/>
      </w:pPr>
      <w:r>
        <w:t>8.5  Operationalisierung der Erfolgskriterien und Ethik</w:t>
      </w:r>
    </w:p>
    <w:p w14:paraId="36B7B724" w14:textId="77777777" w:rsidR="001666F9" w:rsidRDefault="00000000">
      <w:pPr>
        <w:spacing w:after="160" w:line="360" w:lineRule="auto"/>
      </w:pPr>
      <w:r>
        <w:t>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40F99E45"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43398DC4" w14:textId="77777777" w:rsidR="001666F9" w:rsidRDefault="00000000">
      <w:pPr>
        <w:pStyle w:val="berschrift2"/>
      </w:pPr>
      <w:r>
        <w:lastRenderedPageBreak/>
        <w:t>8.6  Durchführung der Pilotbefragung</w:t>
      </w:r>
    </w:p>
    <w:p w14:paraId="120063BC"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33FEDA5F"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530C3565" w14:textId="77777777" w:rsidR="001666F9" w:rsidRDefault="00000000">
      <w:pPr>
        <w:pStyle w:val="berschrift1"/>
        <w:pageBreakBefore/>
      </w:pPr>
      <w:r>
        <w:lastRenderedPageBreak/>
        <w:t>9  Ergebnisse der Pilotbefragung</w:t>
      </w:r>
    </w:p>
    <w:p w14:paraId="16693717"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5D732733" w14:textId="77777777" w:rsidR="001666F9" w:rsidRDefault="00000000">
      <w:pPr>
        <w:pStyle w:val="berschrift2"/>
      </w:pPr>
      <w:r>
        <w:t>9.1  Ergebnisse Machbarkeit</w:t>
      </w:r>
    </w:p>
    <w:p w14:paraId="25B3B20F"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C2BDD1"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3EF8E8FF"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6E0F5208"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5CCADD1D" w14:textId="77777777" w:rsidR="001666F9" w:rsidRDefault="00000000">
      <w:pPr>
        <w:pStyle w:val="berschrift2"/>
      </w:pPr>
      <w:r>
        <w:t>9.2  Ergebnisse Usability und Akzeptanz</w:t>
      </w:r>
    </w:p>
    <w:p w14:paraId="6D918410"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284548D"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9AC46B8"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5121BBBD" w14:textId="77777777" w:rsidR="001666F9" w:rsidRDefault="00000000">
      <w:pPr>
        <w:spacing w:after="160"/>
        <w:jc w:val="center"/>
        <w:rPr>
          <w:i/>
          <w:sz w:val="20"/>
        </w:rPr>
      </w:pPr>
      <w:r>
        <w:rPr>
          <w:i/>
          <w:sz w:val="20"/>
        </w:rPr>
        <w:t>Abbildung 9.2: Semantisches Differential «Die App war …» (Mittelwerte, Skala 1–7, n = 25).</w:t>
      </w:r>
    </w:p>
    <w:p w14:paraId="162C29AA"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374716BB" w14:textId="77777777" w:rsidR="001666F9" w:rsidRDefault="00000000">
      <w:pPr>
        <w:pStyle w:val="berschrift2"/>
      </w:pPr>
      <w:r>
        <w:t>9.3  Ergebnisse Wirkung</w:t>
      </w:r>
    </w:p>
    <w:p w14:paraId="3D3FD1B6"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544B94F0" w14:textId="77777777">
        <w:tc>
          <w:tcPr>
            <w:tcW w:w="3000" w:type="dxa"/>
            <w:shd w:val="clear" w:color="auto" w:fill="D9E2F3"/>
          </w:tcPr>
          <w:p w14:paraId="545CFB6C" w14:textId="77777777" w:rsidR="001666F9" w:rsidRDefault="00000000">
            <w:pPr>
              <w:spacing w:line="276" w:lineRule="auto"/>
            </w:pPr>
            <w:r>
              <w:rPr>
                <w:b/>
              </w:rPr>
              <w:t>Konstrukt</w:t>
            </w:r>
          </w:p>
        </w:tc>
        <w:tc>
          <w:tcPr>
            <w:tcW w:w="4200" w:type="dxa"/>
            <w:shd w:val="clear" w:color="auto" w:fill="D9E2F3"/>
          </w:tcPr>
          <w:p w14:paraId="0E2642F1" w14:textId="77777777" w:rsidR="001666F9" w:rsidRDefault="00000000">
            <w:pPr>
              <w:spacing w:line="276" w:lineRule="auto"/>
            </w:pPr>
            <w:r>
              <w:rPr>
                <w:b/>
              </w:rPr>
              <w:t>Theoriebezug (Abschnitt 2.3)</w:t>
            </w:r>
          </w:p>
        </w:tc>
        <w:tc>
          <w:tcPr>
            <w:tcW w:w="1800" w:type="dxa"/>
            <w:shd w:val="clear" w:color="auto" w:fill="D9E2F3"/>
          </w:tcPr>
          <w:p w14:paraId="6CE2CFD2" w14:textId="77777777" w:rsidR="001666F9" w:rsidRDefault="00000000">
            <w:pPr>
              <w:spacing w:line="276" w:lineRule="auto"/>
            </w:pPr>
            <w:r>
              <w:rPr>
                <w:b/>
              </w:rPr>
              <w:t>Skalen-M</w:t>
            </w:r>
          </w:p>
        </w:tc>
      </w:tr>
      <w:tr w:rsidR="001666F9" w14:paraId="1E5C28A6" w14:textId="77777777">
        <w:tc>
          <w:tcPr>
            <w:tcW w:w="3000" w:type="dxa"/>
          </w:tcPr>
          <w:p w14:paraId="729D9985" w14:textId="77777777" w:rsidR="001666F9" w:rsidRDefault="00000000">
            <w:pPr>
              <w:spacing w:line="276" w:lineRule="auto"/>
            </w:pPr>
            <w:r>
              <w:t>Selbstbestimmung</w:t>
            </w:r>
          </w:p>
        </w:tc>
        <w:tc>
          <w:tcPr>
            <w:tcW w:w="4200" w:type="dxa"/>
          </w:tcPr>
          <w:p w14:paraId="23177775" w14:textId="77777777" w:rsidR="001666F9" w:rsidRDefault="00000000">
            <w:pPr>
              <w:spacing w:line="276" w:lineRule="auto"/>
            </w:pPr>
            <w:r>
              <w:t>SDT – Autonomie (2.3.1)</w:t>
            </w:r>
          </w:p>
        </w:tc>
        <w:tc>
          <w:tcPr>
            <w:tcW w:w="1800" w:type="dxa"/>
          </w:tcPr>
          <w:p w14:paraId="564E8BF5" w14:textId="77777777" w:rsidR="001666F9" w:rsidRDefault="00000000">
            <w:pPr>
              <w:spacing w:line="276" w:lineRule="auto"/>
            </w:pPr>
            <w:r>
              <w:t>3.81</w:t>
            </w:r>
          </w:p>
        </w:tc>
      </w:tr>
      <w:tr w:rsidR="001666F9" w14:paraId="2CD39D2E" w14:textId="77777777">
        <w:tc>
          <w:tcPr>
            <w:tcW w:w="3000" w:type="dxa"/>
          </w:tcPr>
          <w:p w14:paraId="50901855" w14:textId="77777777" w:rsidR="001666F9" w:rsidRDefault="00000000">
            <w:pPr>
              <w:spacing w:line="276" w:lineRule="auto"/>
            </w:pPr>
            <w:r>
              <w:t>Kompetenz</w:t>
            </w:r>
          </w:p>
        </w:tc>
        <w:tc>
          <w:tcPr>
            <w:tcW w:w="4200" w:type="dxa"/>
          </w:tcPr>
          <w:p w14:paraId="43025F47" w14:textId="77777777" w:rsidR="001666F9" w:rsidRDefault="00000000">
            <w:pPr>
              <w:spacing w:line="276" w:lineRule="auto"/>
            </w:pPr>
            <w:r>
              <w:t>SDT (2.3.1)</w:t>
            </w:r>
          </w:p>
        </w:tc>
        <w:tc>
          <w:tcPr>
            <w:tcW w:w="1800" w:type="dxa"/>
          </w:tcPr>
          <w:p w14:paraId="4D0DFDEF" w14:textId="77777777" w:rsidR="001666F9" w:rsidRDefault="00000000">
            <w:pPr>
              <w:spacing w:line="276" w:lineRule="auto"/>
            </w:pPr>
            <w:r>
              <w:t>3.98</w:t>
            </w:r>
          </w:p>
        </w:tc>
      </w:tr>
      <w:tr w:rsidR="001666F9" w14:paraId="5D841A6C" w14:textId="77777777">
        <w:tc>
          <w:tcPr>
            <w:tcW w:w="3000" w:type="dxa"/>
          </w:tcPr>
          <w:p w14:paraId="4D41C201" w14:textId="77777777" w:rsidR="001666F9" w:rsidRDefault="00000000">
            <w:pPr>
              <w:spacing w:line="276" w:lineRule="auto"/>
            </w:pPr>
            <w:r>
              <w:t>Verbundenheit</w:t>
            </w:r>
          </w:p>
        </w:tc>
        <w:tc>
          <w:tcPr>
            <w:tcW w:w="4200" w:type="dxa"/>
          </w:tcPr>
          <w:p w14:paraId="6EBC8776" w14:textId="77777777" w:rsidR="001666F9" w:rsidRDefault="00000000">
            <w:pPr>
              <w:spacing w:line="276" w:lineRule="auto"/>
            </w:pPr>
            <w:r>
              <w:t>SDT (2.3.1)</w:t>
            </w:r>
          </w:p>
        </w:tc>
        <w:tc>
          <w:tcPr>
            <w:tcW w:w="1800" w:type="dxa"/>
          </w:tcPr>
          <w:p w14:paraId="51A5B7AC" w14:textId="77777777" w:rsidR="001666F9" w:rsidRDefault="00000000">
            <w:pPr>
              <w:spacing w:line="276" w:lineRule="auto"/>
            </w:pPr>
            <w:r>
              <w:t>3.54</w:t>
            </w:r>
          </w:p>
        </w:tc>
      </w:tr>
      <w:tr w:rsidR="001666F9" w14:paraId="2C82EA08" w14:textId="77777777">
        <w:tc>
          <w:tcPr>
            <w:tcW w:w="3000" w:type="dxa"/>
          </w:tcPr>
          <w:p w14:paraId="2FF69261" w14:textId="77777777" w:rsidR="001666F9" w:rsidRDefault="00000000">
            <w:pPr>
              <w:spacing w:line="276" w:lineRule="auto"/>
            </w:pPr>
            <w:r>
              <w:t>Wohlbefinden</w:t>
            </w:r>
          </w:p>
        </w:tc>
        <w:tc>
          <w:tcPr>
            <w:tcW w:w="4200" w:type="dxa"/>
          </w:tcPr>
          <w:p w14:paraId="215A515B" w14:textId="77777777" w:rsidR="001666F9" w:rsidRDefault="00000000">
            <w:pPr>
              <w:spacing w:line="276" w:lineRule="auto"/>
            </w:pPr>
            <w:r>
              <w:t>Digital Wellbeing (2.3.3)</w:t>
            </w:r>
          </w:p>
        </w:tc>
        <w:tc>
          <w:tcPr>
            <w:tcW w:w="1800" w:type="dxa"/>
          </w:tcPr>
          <w:p w14:paraId="20EFD9CA" w14:textId="77777777" w:rsidR="001666F9" w:rsidRDefault="00000000">
            <w:pPr>
              <w:spacing w:line="276" w:lineRule="auto"/>
            </w:pPr>
            <w:r>
              <w:t>3.37</w:t>
            </w:r>
          </w:p>
        </w:tc>
      </w:tr>
      <w:tr w:rsidR="001666F9" w14:paraId="1DAE360D" w14:textId="77777777">
        <w:tc>
          <w:tcPr>
            <w:tcW w:w="3000" w:type="dxa"/>
          </w:tcPr>
          <w:p w14:paraId="355911F8" w14:textId="77777777" w:rsidR="001666F9" w:rsidRDefault="00000000">
            <w:pPr>
              <w:spacing w:line="276" w:lineRule="auto"/>
            </w:pPr>
            <w:r>
              <w:t>Vergleich zum Radio</w:t>
            </w:r>
          </w:p>
        </w:tc>
        <w:tc>
          <w:tcPr>
            <w:tcW w:w="4200" w:type="dxa"/>
          </w:tcPr>
          <w:p w14:paraId="35132180" w14:textId="77777777" w:rsidR="001666F9" w:rsidRDefault="00000000">
            <w:pPr>
              <w:spacing w:line="276" w:lineRule="auto"/>
            </w:pPr>
            <w:r>
              <w:t>Gebrauchszwecke (Kontrollvariable)</w:t>
            </w:r>
          </w:p>
        </w:tc>
        <w:tc>
          <w:tcPr>
            <w:tcW w:w="1800" w:type="dxa"/>
          </w:tcPr>
          <w:p w14:paraId="39F8ED23" w14:textId="77777777" w:rsidR="001666F9" w:rsidRDefault="00000000">
            <w:pPr>
              <w:spacing w:line="276" w:lineRule="auto"/>
            </w:pPr>
            <w:r>
              <w:t>3.28</w:t>
            </w:r>
          </w:p>
        </w:tc>
      </w:tr>
      <w:tr w:rsidR="001666F9" w14:paraId="47ED5FC4" w14:textId="77777777">
        <w:tc>
          <w:tcPr>
            <w:tcW w:w="3000" w:type="dxa"/>
          </w:tcPr>
          <w:p w14:paraId="3F5C5E80" w14:textId="77777777" w:rsidR="001666F9" w:rsidRDefault="00000000">
            <w:pPr>
              <w:spacing w:line="276" w:lineRule="auto"/>
            </w:pPr>
            <w:r>
              <w:t>Kontrolle/Souveränität</w:t>
            </w:r>
          </w:p>
        </w:tc>
        <w:tc>
          <w:tcPr>
            <w:tcW w:w="4200" w:type="dxa"/>
          </w:tcPr>
          <w:p w14:paraId="55A21CCE" w14:textId="77777777" w:rsidR="001666F9" w:rsidRDefault="00000000">
            <w:pPr>
              <w:spacing w:line="276" w:lineRule="auto"/>
            </w:pPr>
            <w:r>
              <w:t>Algorithmische Souveränität (2.3.4)</w:t>
            </w:r>
          </w:p>
        </w:tc>
        <w:tc>
          <w:tcPr>
            <w:tcW w:w="1800" w:type="dxa"/>
          </w:tcPr>
          <w:p w14:paraId="4737EF8A" w14:textId="77777777" w:rsidR="001666F9" w:rsidRDefault="00000000">
            <w:pPr>
              <w:spacing w:line="276" w:lineRule="auto"/>
            </w:pPr>
            <w:r>
              <w:t>3.49</w:t>
            </w:r>
          </w:p>
        </w:tc>
      </w:tr>
      <w:tr w:rsidR="001666F9" w14:paraId="348E7A78" w14:textId="77777777">
        <w:tc>
          <w:tcPr>
            <w:tcW w:w="3000" w:type="dxa"/>
          </w:tcPr>
          <w:p w14:paraId="787FCBD9" w14:textId="77777777" w:rsidR="001666F9" w:rsidRDefault="00000000">
            <w:pPr>
              <w:spacing w:line="276" w:lineRule="auto"/>
            </w:pPr>
            <w:r>
              <w:t>Transparenz-Nutzen</w:t>
            </w:r>
          </w:p>
        </w:tc>
        <w:tc>
          <w:tcPr>
            <w:tcW w:w="4200" w:type="dxa"/>
          </w:tcPr>
          <w:p w14:paraId="59BC4861" w14:textId="77777777" w:rsidR="001666F9" w:rsidRDefault="00000000">
            <w:pPr>
              <w:spacing w:line="276" w:lineRule="auto"/>
            </w:pPr>
            <w:r>
              <w:t>VSD (2.3.2)</w:t>
            </w:r>
          </w:p>
        </w:tc>
        <w:tc>
          <w:tcPr>
            <w:tcW w:w="1800" w:type="dxa"/>
          </w:tcPr>
          <w:p w14:paraId="27319784" w14:textId="77777777" w:rsidR="001666F9" w:rsidRDefault="00000000">
            <w:pPr>
              <w:spacing w:line="276" w:lineRule="auto"/>
            </w:pPr>
            <w:r>
              <w:t>3.65</w:t>
            </w:r>
          </w:p>
        </w:tc>
      </w:tr>
    </w:tbl>
    <w:p w14:paraId="58FD2D6D"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03C494A7"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27878D48" w14:textId="77777777" w:rsidR="001666F9" w:rsidRDefault="00000000">
      <w:pPr>
        <w:pStyle w:val="berschrift2"/>
      </w:pPr>
      <w:r>
        <w:t>9.4  Beantwortung der Teilfragen T1–T4</w:t>
      </w:r>
    </w:p>
    <w:p w14:paraId="1643C8FE" w14:textId="77777777" w:rsidR="001666F9" w:rsidRDefault="00000000">
      <w:pPr>
        <w:spacing w:after="160" w:line="360" w:lineRule="auto"/>
      </w:pPr>
      <w:r>
        <w:t xml:space="preserve">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w:t>
      </w:r>
      <w:r>
        <w:lastRenderedPageBreak/>
        <w:t>transparente Präferenzangabe wird als autonomie- und kompetenzförderlich erlebt (T1), die bewusst diversifizierte Auswahl als bedürfnisgerecht wahrgenommen (T2), und die wellbeing-orientierten Designentscheidungen werden akzeptiert (T3, T4).</w:t>
      </w:r>
    </w:p>
    <w:p w14:paraId="418276D7"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515E348" w14:textId="77777777" w:rsidR="001666F9" w:rsidRDefault="00000000">
      <w:pPr>
        <w:spacing w:after="160"/>
        <w:jc w:val="center"/>
        <w:rPr>
          <w:i/>
          <w:sz w:val="20"/>
        </w:rPr>
      </w:pPr>
      <w:r>
        <w:rPr>
          <w:i/>
          <w:sz w:val="20"/>
        </w:rPr>
        <w:t>Abbildung 9.3: Aggregierte Teilfragen-Scores T1–T4 (Mittelwert ± Standardabweichung, Skala 1–5).</w:t>
      </w:r>
    </w:p>
    <w:p w14:paraId="73BD1E70" w14:textId="77777777" w:rsidR="001666F9" w:rsidRDefault="00000000">
      <w:pPr>
        <w:pStyle w:val="berschrift2"/>
      </w:pPr>
      <w:r>
        <w:t>9.5  Qualitative Befunde</w:t>
      </w:r>
    </w:p>
    <w:p w14:paraId="3945B45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225090F"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21D963E9" w14:textId="77777777" w:rsidR="001666F9" w:rsidRDefault="00000000">
      <w:pPr>
        <w:pStyle w:val="berschrift2"/>
      </w:pPr>
      <w:r>
        <w:lastRenderedPageBreak/>
        <w:t>9.6  Vergleich mit den Erfolgskriterien</w:t>
      </w:r>
    </w:p>
    <w:p w14:paraId="2BDAA4DB"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7DF33CC6"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776F6240"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071927DE"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6B1B1170" w14:textId="77777777" w:rsidR="001666F9" w:rsidRDefault="00000000">
      <w:pPr>
        <w:pStyle w:val="berschrift1"/>
        <w:pageBreakBefore/>
      </w:pPr>
      <w:r>
        <w:lastRenderedPageBreak/>
        <w:t>10  Diskussion</w:t>
      </w:r>
    </w:p>
    <w:p w14:paraId="0878F2D2"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230822F4" w14:textId="77777777" w:rsidR="001666F9" w:rsidRDefault="00000000">
      <w:pPr>
        <w:pStyle w:val="berschrift2"/>
      </w:pPr>
      <w:r>
        <w:t>10.1  Beantwortung der Forschungsfrage</w:t>
      </w:r>
    </w:p>
    <w:p w14:paraId="0A31BB1E" w14:textId="77777777" w:rsidR="00DA4BE5"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30E42486" w14:textId="77777777" w:rsidR="00DA4BE5"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B59EC1E" w14:textId="77777777" w:rsidR="00DA4BE5"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03C400A9" w14:textId="77777777" w:rsidR="001666F9" w:rsidRDefault="00000000">
      <w:pPr>
        <w:pStyle w:val="berschrift2"/>
      </w:pPr>
      <w:r>
        <w:t>10.2  Diskussion der Machbarkeit</w:t>
      </w:r>
    </w:p>
    <w:p w14:paraId="115A0AFF" w14:textId="77777777" w:rsidR="00DA4BE5"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46648392" w14:textId="77777777" w:rsidR="00DA4BE5"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91854F4" w14:textId="77777777" w:rsidR="00DA4BE5"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57FD11B" w14:textId="77777777" w:rsidR="001666F9" w:rsidRDefault="00000000">
      <w:pPr>
        <w:pStyle w:val="berschrift2"/>
      </w:pPr>
      <w:r>
        <w:t>10.3  Diskussion der Usability und Akzeptanz</w:t>
      </w:r>
    </w:p>
    <w:p w14:paraId="2385E90E" w14:textId="77777777" w:rsidR="00DA4BE5"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634A754E" w14:textId="77777777" w:rsidR="00DA4BE5"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3A832C85" w14:textId="77777777" w:rsidR="00DA4BE5"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554FB578" w14:textId="77777777" w:rsidR="001666F9" w:rsidRDefault="00000000">
      <w:pPr>
        <w:pStyle w:val="berschrift2"/>
      </w:pPr>
      <w:r>
        <w:t>10.4  Diskussion der Wirkung</w:t>
      </w:r>
    </w:p>
    <w:p w14:paraId="6DF19D8C" w14:textId="77777777" w:rsidR="00DA4BE5"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693605B5" w14:textId="77777777" w:rsidR="00DA4BE5"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Friedman &amp; Ballard,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5885E8B7" w14:textId="77777777" w:rsidR="00DA4BE5"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243D86E7" w14:textId="77777777" w:rsidR="001666F9" w:rsidRDefault="00000000">
      <w:pPr>
        <w:pStyle w:val="berschrift2"/>
      </w:pPr>
      <w:r>
        <w:t>10.5  Implikationen für Design und Praxis</w:t>
      </w:r>
    </w:p>
    <w:p w14:paraId="676D1E43" w14:textId="77777777" w:rsidR="00DA4BE5"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602EE214" w14:textId="77777777" w:rsidR="00DA4BE5"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1A40F22" w14:textId="77777777" w:rsidR="00DA4BE5"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DE5341E" w14:textId="77777777" w:rsidR="001666F9" w:rsidRDefault="00000000">
      <w:pPr>
        <w:pStyle w:val="berschrift2"/>
      </w:pPr>
      <w:r>
        <w:t>10.6  Limitationen</w:t>
      </w:r>
    </w:p>
    <w:p w14:paraId="2D0D0F2F" w14:textId="77777777" w:rsidR="00DA4BE5"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690C4A76" w14:textId="77777777" w:rsidR="00DA4BE5"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179184E5" w14:textId="77777777" w:rsidR="001666F9" w:rsidRDefault="00000000">
      <w:pPr>
        <w:pStyle w:val="berschrift2"/>
      </w:pPr>
      <w:r>
        <w:t>10.7  Übertragbarkeit auf andere Medienkontexte</w:t>
      </w:r>
    </w:p>
    <w:p w14:paraId="44A41644" w14:textId="77777777" w:rsidR="00DA4BE5"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5F6F6B5" w14:textId="77777777" w:rsidR="00DA4BE5"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E636CF2" w14:textId="77777777" w:rsidR="001666F9" w:rsidRDefault="00000000">
      <w:pPr>
        <w:pStyle w:val="berschrift1"/>
        <w:pageBreakBefore/>
      </w:pPr>
      <w:r>
        <w:lastRenderedPageBreak/>
        <w:t>Literaturverzeichnis (vorläufig)</w:t>
      </w:r>
    </w:p>
    <w:p w14:paraId="57576F08"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504B6E0E"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78C9FB5B"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77BCBDF4"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1ED02910"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2C4023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2494A7D5"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5F75949"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2D294D9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24926E4D"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209E4EA6"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743C0580"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3DABFF7A"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0A74CE7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3E20F788"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1C4E983"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A3EF68B"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6C8515EC"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8A7005C"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49C5AC8D"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3F7982FA"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33A27DEC"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7BC59D0C"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6726DF27"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94BB681"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48A55CD0"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0AE66B43"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44AD98B2"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52C7B6B6"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1795" w14:textId="77777777" w:rsidR="00F1579D" w:rsidRDefault="00F1579D">
      <w:r>
        <w:separator/>
      </w:r>
    </w:p>
  </w:endnote>
  <w:endnote w:type="continuationSeparator" w:id="0">
    <w:p w14:paraId="54E18618" w14:textId="77777777" w:rsidR="00F1579D" w:rsidRDefault="00F15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08CE"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6129"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F4CD"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FC78" w14:textId="77777777" w:rsidR="00F1579D" w:rsidRDefault="00F1579D">
      <w:r>
        <w:separator/>
      </w:r>
    </w:p>
  </w:footnote>
  <w:footnote w:type="continuationSeparator" w:id="0">
    <w:p w14:paraId="61C5F46A" w14:textId="77777777" w:rsidR="00F1579D" w:rsidRDefault="00F15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B49F"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20FC"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A503"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7210F"/>
    <w:rsid w:val="005C13F7"/>
    <w:rsid w:val="00804A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10510</Words>
  <Characters>66215</Characters>
  <Application>Microsoft Office Word</Application>
  <DocSecurity>0</DocSecurity>
  <Lines>551</Lines>
  <Paragraphs>153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76572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2</cp:revision>
  <dcterms:created xsi:type="dcterms:W3CDTF">2026-04-25T15:59:00Z</dcterms:created>
  <dcterms:modified xsi:type="dcterms:W3CDTF">2026-05-07T08:55:00Z</dcterms:modified>
</cp:coreProperties>
</file>