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22"/>
          <w:szCs w:val="22"/>
        </w:rPr>
        <w:t xml:space="preserve">ZHAW Zürcher Hochschule für Angewandte Wissenschaften</w:t>
      </w:r>
    </w:p>
    <w:p>
      <w:pPr>
        <w:spacing w:after="1200"/>
        <w:jc w:val="center"/>
      </w:pPr>
      <w:r>
        <w:rPr>
          <w:rFonts w:ascii="Arial" w:cs="Arial" w:eastAsia="Arial" w:hAnsi="Arial"/>
          <w:sz w:val="22"/>
          <w:szCs w:val="22"/>
        </w:rPr>
        <w:t xml:space="preserve">Institut für Wirtschaftsinformatik</w:t>
      </w:r>
    </w:p>
    <w:p>
      <w:pPr>
        <w:spacing w:after="600"/>
        <w:jc w:val="center"/>
      </w:pPr>
      <w:r>
        <w:rPr>
          <w:rFonts w:ascii="Arial" w:cs="Arial" w:eastAsia="Arial" w:hAnsi="Arial"/>
          <w:b/>
          <w:bCs/>
          <w:sz w:val="28"/>
          <w:szCs w:val="28"/>
        </w:rPr>
        <w:t xml:space="preserve">BSc-Thesis</w:t>
      </w:r>
    </w:p>
    <w:p>
      <w:pPr>
        <w:spacing w:after="80"/>
        <w:jc w:val="center"/>
      </w:pPr>
      <w:r>
        <w:rPr>
          <w:rFonts w:ascii="Arial" w:cs="Arial" w:eastAsia="Arial" w:hAnsi="Arial"/>
          <w:b/>
          <w:bCs/>
          <w:sz w:val="44"/>
          <w:szCs w:val="44"/>
        </w:rPr>
        <w:t xml:space="preserve">Radio 25: Nutzerzentrierte Personalisierung</w:t>
      </w:r>
    </w:p>
    <w:p>
      <w:pPr>
        <w:spacing w:after="80"/>
        <w:jc w:val="center"/>
      </w:pPr>
      <w:r>
        <w:rPr>
          <w:rFonts w:ascii="Arial" w:cs="Arial" w:eastAsia="Arial" w:hAnsi="Arial"/>
          <w:b/>
          <w:bCs/>
          <w:sz w:val="44"/>
          <w:szCs w:val="44"/>
        </w:rPr>
        <w:t xml:space="preserve">im vollautomatisierten Radio</w:t>
      </w:r>
    </w:p>
    <w:p>
      <w:pPr>
        <w:spacing w:after="1200"/>
        <w:jc w:val="center"/>
      </w:pPr>
      <w:r>
        <w:rPr>
          <w:rFonts w:ascii="Arial" w:cs="Arial" w:eastAsia="Arial" w:hAnsi="Arial"/>
          <w:i/>
          <w:iCs/>
          <w:sz w:val="28"/>
          <w:szCs w:val="28"/>
        </w:rPr>
        <w:t xml:space="preserve">Eine Konzeptstudie im Kontext von Digital Wellbeing</w:t>
      </w:r>
    </w:p>
    <w:p>
      <w:pPr>
        <w:spacing w:after="80"/>
        <w:jc w:val="center"/>
      </w:pPr>
      <w:r>
        <w:rPr>
          <w:rFonts w:ascii="Arial" w:cs="Arial" w:eastAsia="Arial" w:hAnsi="Arial"/>
          <w:sz w:val="22"/>
          <w:szCs w:val="22"/>
        </w:rPr>
        <w:t xml:space="preserve">Autor: Michael Möckli</w:t>
      </w:r>
    </w:p>
    <w:p>
      <w:pPr>
        <w:spacing w:after="80"/>
        <w:jc w:val="center"/>
      </w:pPr>
      <w:r>
        <w:rPr>
          <w:rFonts w:ascii="Arial" w:cs="Arial" w:eastAsia="Arial" w:hAnsi="Arial"/>
          <w:sz w:val="22"/>
          <w:szCs w:val="22"/>
        </w:rPr>
        <w:t xml:space="preserve">Betreuer: Alexandre de Spindler</w:t>
      </w:r>
    </w:p>
    <w:p>
      <w:pPr>
        <w:spacing w:after="200"/>
        <w:jc w:val="center"/>
      </w:pPr>
      <w:r>
        <w:rPr>
          <w:rFonts w:ascii="Arial" w:cs="Arial" w:eastAsia="Arial" w:hAnsi="Arial"/>
          <w:sz w:val="22"/>
          <w:szCs w:val="22"/>
        </w:rPr>
        <w:t xml:space="preserve">Stand: 25. April 2026</w:t>
      </w:r>
    </w:p>
    <w:p>
      <w:pPr>
        <w:pStyle w:val="Heading1"/>
        <w:pageBreakBefore/>
        <w:spacing w:after="240" w:before="480"/>
      </w:pPr>
      <w:r>
        <w:rPr>
          <w:rFonts w:ascii="Arial" w:cs="Arial" w:eastAsia="Arial" w:hAnsi="Arial"/>
          <w:b/>
          <w:bCs/>
          <w:sz w:val="32"/>
          <w:szCs w:val="32"/>
        </w:rPr>
        <w:t xml:space="preserve">1  Motivation</w:t>
      </w:r>
    </w:p>
    <w:p>
      <w:pPr>
        <w:spacing w:after="160" w:before="0" w:line="360" w:lineRule="auto"/>
      </w:pPr>
      <w:r>
        <w:rPr>
          <w:rFonts w:ascii="Arial" w:cs="Arial" w:eastAsia="Arial" w:hAnsi="Arial"/>
          <w:sz w:val="22"/>
          <w:szCs w:val="22"/>
        </w:rP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pPr>
        <w:spacing w:after="160" w:before="0" w:line="360" w:lineRule="auto"/>
      </w:pPr>
      <w:r>
        <w:rPr>
          <w:rFonts w:ascii="Arial" w:cs="Arial" w:eastAsia="Arial" w:hAnsi="Arial"/>
          <w:sz w:val="22"/>
          <w:szCs w:val="22"/>
        </w:rPr>
        <w:t xml:space="preserve">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pPr>
        <w:pStyle w:val="Heading2"/>
        <w:spacing w:after="160" w:before="320"/>
      </w:pPr>
      <w:r>
        <w:rPr>
          <w:rFonts w:ascii="Arial" w:cs="Arial" w:eastAsia="Arial" w:hAnsi="Arial"/>
          <w:b/>
          <w:bCs/>
          <w:sz w:val="28"/>
          <w:szCs w:val="28"/>
        </w:rPr>
        <w:t xml:space="preserve">1.1  Das Spannungsfeld zwischen Nutzer und Anbieter</w:t>
      </w:r>
    </w:p>
    <w:p>
      <w:pPr>
        <w:spacing w:after="160" w:before="0" w:line="360" w:lineRule="auto"/>
      </w:pPr>
      <w:r>
        <w:rPr>
          <w:rFonts w:ascii="Arial" w:cs="Arial" w:eastAsia="Arial" w:hAnsi="Arial"/>
          <w:sz w:val="22"/>
          <w:szCs w:val="22"/>
        </w:rP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2.2.2.</w:t>
      </w:r>
    </w:p>
    <w:p>
      <w:pPr>
        <w:spacing w:after="160" w:before="0" w:line="360" w:lineRule="auto"/>
      </w:pPr>
      <w:r>
        <w:rPr>
          <w:rFonts w:ascii="Arial" w:cs="Arial" w:eastAsia="Arial" w:hAnsi="Arial"/>
          <w:sz w:val="22"/>
          <w:szCs w:val="22"/>
        </w:rP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pPr>
        <w:spacing w:after="160" w:before="0" w:line="360" w:lineRule="auto"/>
      </w:pPr>
      <w:r>
        <w:rPr>
          <w:rFonts w:ascii="Arial" w:cs="Arial" w:eastAsia="Arial" w:hAnsi="Arial"/>
          <w:sz w:val="22"/>
          <w:szCs w:val="22"/>
        </w:rPr>
        <w:t xml:space="preserve">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pPr>
        <w:pStyle w:val="Heading2"/>
        <w:spacing w:after="160" w:before="320"/>
      </w:pPr>
      <w:r>
        <w:rPr>
          <w:rFonts w:ascii="Arial" w:cs="Arial" w:eastAsia="Arial" w:hAnsi="Arial"/>
          <w:b/>
          <w:bCs/>
          <w:sz w:val="28"/>
          <w:szCs w:val="28"/>
        </w:rPr>
        <w:t xml:space="preserve">1.2  Das Geschäftsmodell der Aufmerksamkeitsökonomie</w:t>
      </w:r>
    </w:p>
    <w:p>
      <w:pPr>
        <w:spacing w:after="160" w:before="0" w:line="360" w:lineRule="auto"/>
      </w:pPr>
      <w:r>
        <w:rPr>
          <w:rFonts w:ascii="Arial" w:cs="Arial" w:eastAsia="Arial" w:hAnsi="Arial"/>
          <w:sz w:val="22"/>
          <w:szCs w:val="22"/>
        </w:rPr>
        <w:t xml:space="preserve">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pPr>
        <w:spacing w:after="160" w:before="0" w:line="360" w:lineRule="auto"/>
      </w:pPr>
      <w:r>
        <w:rPr>
          <w:rFonts w:ascii="Arial" w:cs="Arial" w:eastAsia="Arial" w:hAnsi="Arial"/>
          <w:sz w:val="22"/>
          <w:szCs w:val="22"/>
        </w:rPr>
        <w:t xml:space="preserve">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2.4.4 unter dem Begriff der algorithmischen Souveränität (Reviglio &amp; Agosti, 2020) theoretisch eingeordnet.</w:t>
      </w:r>
    </w:p>
    <w:p>
      <w:pPr>
        <w:pStyle w:val="Heading2"/>
        <w:spacing w:after="160" w:before="320"/>
      </w:pPr>
      <w:r>
        <w:rPr>
          <w:rFonts w:ascii="Arial" w:cs="Arial" w:eastAsia="Arial" w:hAnsi="Arial"/>
          <w:b/>
          <w:bCs/>
          <w:sz w:val="28"/>
          <w:szCs w:val="28"/>
        </w:rPr>
        <w:t xml:space="preserve">1.3  Manipulative Designmuster</w:t>
      </w:r>
    </w:p>
    <w:p>
      <w:pPr>
        <w:spacing w:after="160" w:before="0" w:line="360" w:lineRule="auto"/>
      </w:pPr>
      <w:r>
        <w:rPr>
          <w:rFonts w:ascii="Arial" w:cs="Arial" w:eastAsia="Arial" w:hAnsi="Arial"/>
          <w:sz w:val="22"/>
          <w:szCs w:val="22"/>
        </w:rPr>
        <w:t xml:space="preserve">Die ökonomische Logik manifestiert sich in konkreten Designmustern, die gezielt auf Schwachstellen der menschlichen Psyche zielen. Zu den am besten dokumentierten Mustern gehören:</w:t>
      </w:r>
    </w:p>
    <w:p>
      <w:pPr>
        <w:pStyle w:val="ListParagraph"/>
        <w:numPr>
          <w:ilvl w:val="0"/>
          <w:numId w:val="2"/>
        </w:numPr>
        <w:spacing w:after="80" w:line="360" w:lineRule="auto"/>
      </w:pPr>
      <w:r>
        <w:rPr>
          <w:rFonts w:ascii="Arial" w:cs="Arial" w:eastAsia="Arial" w:hAnsi="Arial"/>
          <w:sz w:val="22"/>
          <w:szCs w:val="22"/>
        </w:rPr>
        <w:t xml:space="preserve">Endloses Scrollen (Infinite Scroll), das natürliche Unterbrechungspunkte entfernt und die Verweildauer verlängert.</w:t>
      </w:r>
    </w:p>
    <w:p>
      <w:pPr>
        <w:pStyle w:val="ListParagraph"/>
        <w:numPr>
          <w:ilvl w:val="0"/>
          <w:numId w:val="2"/>
        </w:numPr>
        <w:spacing w:after="80" w:line="360" w:lineRule="auto"/>
      </w:pPr>
      <w:r>
        <w:rPr>
          <w:rFonts w:ascii="Arial" w:cs="Arial" w:eastAsia="Arial" w:hAnsi="Arial"/>
          <w:sz w:val="22"/>
          <w:szCs w:val="22"/>
        </w:rPr>
        <w:t xml:space="preserve">Variable Belohnungsmuster nach dem Vorbild des Glücksspiels: unvorhersehbare Erfolgserlebnisse (Likes, neue Inhalte, Matches) halten die Aufmerksamkeit aufrecht.</w:t>
      </w:r>
    </w:p>
    <w:p>
      <w:pPr>
        <w:pStyle w:val="ListParagraph"/>
        <w:numPr>
          <w:ilvl w:val="0"/>
          <w:numId w:val="2"/>
        </w:numPr>
        <w:spacing w:after="80" w:line="360" w:lineRule="auto"/>
      </w:pPr>
      <w:r>
        <w:rPr>
          <w:rFonts w:ascii="Arial" w:cs="Arial" w:eastAsia="Arial" w:hAnsi="Arial"/>
          <w:sz w:val="22"/>
          <w:szCs w:val="22"/>
        </w:rPr>
        <w:t xml:space="preserve">Push-Benachrichtigungen, die andere Tätigkeiten unterbrechen und Nutzende zurück auf die Plattform holen.</w:t>
      </w:r>
    </w:p>
    <w:p>
      <w:pPr>
        <w:pStyle w:val="ListParagraph"/>
        <w:numPr>
          <w:ilvl w:val="0"/>
          <w:numId w:val="2"/>
        </w:numPr>
        <w:spacing w:after="80" w:line="360" w:lineRule="auto"/>
      </w:pPr>
      <w:r>
        <w:rPr>
          <w:rFonts w:ascii="Arial" w:cs="Arial" w:eastAsia="Arial" w:hAnsi="Arial"/>
          <w:sz w:val="22"/>
          <w:szCs w:val="22"/>
        </w:rPr>
        <w:t xml:space="preserve">Autoplay und ähnliche Automatismen, die stellvertretend über den nächsten Inhalt entscheiden.</w:t>
      </w:r>
    </w:p>
    <w:p>
      <w:pPr>
        <w:pStyle w:val="ListParagraph"/>
        <w:numPr>
          <w:ilvl w:val="0"/>
          <w:numId w:val="2"/>
        </w:numPr>
        <w:spacing w:after="80" w:line="360" w:lineRule="auto"/>
      </w:pPr>
      <w:r>
        <w:rPr>
          <w:rFonts w:ascii="Arial" w:cs="Arial" w:eastAsia="Arial" w:hAnsi="Arial"/>
          <w:sz w:val="22"/>
          <w:szCs w:val="22"/>
        </w:rPr>
        <w:t xml:space="preserve">Social-Proof- und Reziprozitätsmechanismen, die soziale Grundbedürfnisse (Bestätigung, Gegenseitigkeit) für die Plattformbindung nutzen.</w:t>
      </w:r>
    </w:p>
    <w:p>
      <w:pPr>
        <w:spacing w:after="160" w:before="0" w:line="360" w:lineRule="auto"/>
      </w:pPr>
      <w:r>
        <w:rPr>
          <w:rFonts w:ascii="Arial" w:cs="Arial" w:eastAsia="Arial" w:hAnsi="Arial"/>
          <w:sz w:val="22"/>
          <w:szCs w:val="22"/>
        </w:rPr>
        <w:t xml:space="preserve">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2.3.6 systematisch entwickelt.</w:t>
      </w:r>
    </w:p>
    <w:p>
      <w:pPr>
        <w:pStyle w:val="Heading2"/>
        <w:spacing w:after="160" w:before="320"/>
      </w:pPr>
      <w:r>
        <w:rPr>
          <w:rFonts w:ascii="Arial" w:cs="Arial" w:eastAsia="Arial" w:hAnsi="Arial"/>
          <w:b/>
          <w:bCs/>
          <w:sz w:val="28"/>
          <w:szCs w:val="28"/>
        </w:rPr>
        <w:t xml:space="preserve">1.4  Filterblasen, Echokammern und Polarisierung</w:t>
      </w:r>
    </w:p>
    <w:p>
      <w:pPr>
        <w:spacing w:after="160" w:before="0" w:line="360" w:lineRule="auto"/>
      </w:pPr>
      <w:r>
        <w:rPr>
          <w:rFonts w:ascii="Arial" w:cs="Arial" w:eastAsia="Arial" w:hAnsi="Arial"/>
          <w:sz w:val="22"/>
          <w:szCs w:val="22"/>
        </w:rPr>
        <w:t xml:space="preserve">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pPr>
        <w:spacing w:after="160" w:before="0" w:line="360" w:lineRule="auto"/>
      </w:pPr>
      <w:r>
        <w:rPr>
          <w:rFonts w:ascii="Arial" w:cs="Arial" w:eastAsia="Arial" w:hAnsi="Arial"/>
          <w:sz w:val="22"/>
          <w:szCs w:val="22"/>
        </w:rP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pPr>
        <w:pStyle w:val="Heading2"/>
        <w:spacing w:after="160" w:before="320"/>
      </w:pPr>
      <w:r>
        <w:rPr>
          <w:rFonts w:ascii="Arial" w:cs="Arial" w:eastAsia="Arial" w:hAnsi="Arial"/>
          <w:b/>
          <w:bCs/>
          <w:sz w:val="28"/>
          <w:szCs w:val="28"/>
        </w:rPr>
        <w:t xml:space="preserve">1.5  Psychisches Wohlbefinden und Suchtverhalten</w:t>
      </w:r>
    </w:p>
    <w:p>
      <w:pPr>
        <w:spacing w:after="160" w:before="0" w:line="360" w:lineRule="auto"/>
      </w:pPr>
      <w:r>
        <w:rPr>
          <w:rFonts w:ascii="Arial" w:cs="Arial" w:eastAsia="Arial" w:hAnsi="Arial"/>
          <w:sz w:val="22"/>
          <w:szCs w:val="22"/>
        </w:rPr>
        <w:t xml:space="preserve">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pPr>
        <w:spacing w:after="160" w:before="0" w:line="360" w:lineRule="auto"/>
      </w:pPr>
      <w:r>
        <w:rPr>
          <w:rFonts w:ascii="Arial" w:cs="Arial" w:eastAsia="Arial" w:hAnsi="Arial"/>
          <w:sz w:val="22"/>
          <w:szCs w:val="22"/>
        </w:rPr>
        <w:t xml:space="preserve">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pPr>
        <w:spacing w:after="160" w:before="0" w:line="360" w:lineRule="auto"/>
      </w:pPr>
      <w:r>
        <w:rPr>
          <w:rFonts w:ascii="Arial" w:cs="Arial" w:eastAsia="Arial" w:hAnsi="Arial"/>
          <w:sz w:val="22"/>
          <w:szCs w:val="22"/>
        </w:rPr>
        <w:t xml:space="preserve">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pPr>
        <w:pStyle w:val="Heading2"/>
        <w:spacing w:after="160" w:before="320"/>
      </w:pPr>
      <w:r>
        <w:rPr>
          <w:rFonts w:ascii="Arial" w:cs="Arial" w:eastAsia="Arial" w:hAnsi="Arial"/>
          <w:b/>
          <w:bCs/>
          <w:sz w:val="28"/>
          <w:szCs w:val="28"/>
        </w:rPr>
        <w:t xml:space="preserve">1.6  Verlust der Nutzerautonomie</w:t>
      </w:r>
    </w:p>
    <w:p>
      <w:pPr>
        <w:spacing w:after="160" w:before="0" w:line="360" w:lineRule="auto"/>
      </w:pPr>
      <w:r>
        <w:rPr>
          <w:rFonts w:ascii="Arial" w:cs="Arial" w:eastAsia="Arial" w:hAnsi="Arial"/>
          <w:sz w:val="22"/>
          <w:szCs w:val="22"/>
        </w:rPr>
        <w:t xml:space="preserve">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pPr>
        <w:spacing w:after="160" w:before="0" w:line="360" w:lineRule="auto"/>
      </w:pPr>
      <w:r>
        <w:rPr>
          <w:rFonts w:ascii="Arial" w:cs="Arial" w:eastAsia="Arial" w:hAnsi="Arial"/>
          <w:sz w:val="22"/>
          <w:szCs w:val="22"/>
        </w:rPr>
        <w:t xml:space="preserve">Der theoretische Rahmen für diese Beobachtung, namentlich die Self-Determination Theory (Ryan &amp; Deci, 2000) mit dem Grundbedürfnis nach Autonomie sowie das METUX-Modell für nutzerzentrierte Produktgestaltung (Peters, Calvo &amp; Ryan, 2018), wird in Abschnitt 2.4.1 vertieft. Auf der politisch-systemischen Ebene fordern Reviglio und Agosti (2020) eine algorithmische Souveränität, die in Abschnitt 2.4.4 entfaltet wird; Milano, Taddeo und Floridi (2020) ergänzen aus Sicht der Empfehlungssystem-Ethik, dass neben Relevanz auch Diversität, Fairness und Nutzerwohl als explizite Optimierungsziele in den Algorithmen verankert werden müssen.</w:t>
      </w:r>
    </w:p>
    <w:p>
      <w:pPr>
        <w:pStyle w:val="Heading2"/>
        <w:spacing w:after="160" w:before="320"/>
      </w:pPr>
      <w:r>
        <w:rPr>
          <w:rFonts w:ascii="Arial" w:cs="Arial" w:eastAsia="Arial" w:hAnsi="Arial"/>
          <w:b/>
          <w:bCs/>
          <w:sz w:val="28"/>
          <w:szCs w:val="28"/>
        </w:rPr>
        <w:t xml:space="preserve">1.7  Zwischenfazit: Der Kern des Problems</w:t>
      </w:r>
    </w:p>
    <w:p>
      <w:pPr>
        <w:spacing w:after="160" w:before="0" w:line="360" w:lineRule="auto"/>
      </w:pPr>
      <w:r>
        <w:rPr>
          <w:rFonts w:ascii="Arial" w:cs="Arial" w:eastAsia="Arial" w:hAnsi="Arial"/>
          <w:sz w:val="22"/>
          <w:szCs w:val="22"/>
        </w:rP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pPr>
        <w:spacing w:after="160" w:before="0" w:line="360" w:lineRule="auto"/>
      </w:pPr>
      <w:r>
        <w:rPr>
          <w:rFonts w:ascii="Arial" w:cs="Arial" w:eastAsia="Arial" w:hAnsi="Arial"/>
          <w:sz w:val="22"/>
          <w:szCs w:val="22"/>
        </w:rPr>
        <w:t xml:space="preserve">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pPr>
        <w:spacing w:after="160" w:before="0" w:line="360" w:lineRule="auto"/>
      </w:pPr>
      <w:r>
        <w:rPr>
          <w:rFonts w:ascii="Arial" w:cs="Arial" w:eastAsia="Arial" w:hAnsi="Arial"/>
          <w:sz w:val="22"/>
          <w:szCs w:val="22"/>
        </w:rPr>
        <w:t xml:space="preserve">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pPr>
        <w:pStyle w:val="Heading1"/>
        <w:pageBreakBefore/>
        <w:spacing w:after="240" w:before="480"/>
      </w:pPr>
      <w:r>
        <w:rPr>
          <w:rFonts w:ascii="Arial" w:cs="Arial" w:eastAsia="Arial" w:hAnsi="Arial"/>
          <w:b/>
          <w:bCs/>
          <w:sz w:val="32"/>
          <w:szCs w:val="32"/>
        </w:rPr>
        <w:t xml:space="preserve">2  Background</w:t>
      </w:r>
    </w:p>
    <w:p>
      <w:pPr>
        <w:spacing w:after="160" w:before="0" w:line="360" w:lineRule="auto"/>
      </w:pPr>
      <w:r>
        <w:rPr>
          <w:rFonts w:ascii="Arial" w:cs="Arial" w:eastAsia="Arial" w:hAnsi="Arial"/>
          <w:sz w:val="22"/>
          <w:szCs w:val="22"/>
        </w:rPr>
        <w:t xml:space="preserve">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w:t>
      </w:r>
    </w:p>
    <w:p>
      <w:pPr>
        <w:pStyle w:val="Heading2"/>
        <w:spacing w:after="160" w:before="320"/>
      </w:pPr>
      <w:r>
        <w:rPr>
          <w:rFonts w:ascii="Arial" w:cs="Arial" w:eastAsia="Arial" w:hAnsi="Arial"/>
          <w:b/>
          <w:bCs/>
          <w:sz w:val="28"/>
          <w:szCs w:val="28"/>
        </w:rPr>
        <w:t xml:space="preserve">2.1  Vorgehen der Literaturrecherche</w:t>
      </w:r>
    </w:p>
    <w:p>
      <w:pPr>
        <w:spacing w:after="160" w:before="0" w:line="360" w:lineRule="auto"/>
      </w:pPr>
      <w:r>
        <w:rPr>
          <w:rFonts w:ascii="Arial" w:cs="Arial" w:eastAsia="Arial" w:hAnsi="Arial"/>
          <w:sz w:val="22"/>
          <w:szCs w:val="22"/>
        </w:rPr>
        <w:t xml:space="preserve">Grundlage dieses Kapitels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pPr>
        <w:spacing w:after="160" w:before="0" w:line="360" w:lineRule="auto"/>
      </w:pPr>
      <w:r>
        <w:rPr>
          <w:rFonts w:ascii="Arial" w:cs="Arial" w:eastAsia="Arial" w:hAnsi="Arial"/>
          <w:sz w:val="22"/>
          <w:szCs w:val="22"/>
        </w:rPr>
        <w:t xml:space="preserve">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pPr>
        <w:spacing w:after="160" w:before="0" w:line="360" w:lineRule="auto"/>
      </w:pPr>
      <w:r>
        <w:rPr>
          <w:rFonts w:ascii="Arial" w:cs="Arial" w:eastAsia="Arial" w:hAnsi="Arial"/>
          <w:sz w:val="22"/>
          <w:szCs w:val="22"/>
        </w:rP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pPr>
        <w:spacing w:after="160" w:before="0" w:line="360" w:lineRule="auto"/>
      </w:pPr>
      <w:r>
        <w:rPr>
          <w:rFonts w:ascii="Arial" w:cs="Arial" w:eastAsia="Arial" w:hAnsi="Arial"/>
          <w:sz w:val="22"/>
          <w:szCs w:val="22"/>
        </w:rPr>
        <w:t xml:space="preserve">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pPr>
        <w:spacing w:after="160" w:before="0" w:line="360" w:lineRule="auto"/>
      </w:pPr>
      <w:r>
        <w:rPr>
          <w:rFonts w:ascii="Arial" w:cs="Arial" w:eastAsia="Arial" w:hAnsi="Arial"/>
          <w:sz w:val="22"/>
          <w:szCs w:val="22"/>
        </w:rPr>
        <w:t xml:space="preserve">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pPr>
        <w:pStyle w:val="Heading2"/>
        <w:spacing w:after="160" w:before="320"/>
      </w:pPr>
      <w:r>
        <w:rPr>
          <w:rFonts w:ascii="Arial" w:cs="Arial" w:eastAsia="Arial" w:hAnsi="Arial"/>
          <w:b/>
          <w:bCs/>
          <w:sz w:val="28"/>
          <w:szCs w:val="28"/>
        </w:rPr>
        <w:t xml:space="preserve">2.2  Bedürfnisse und Motivationen der Akteure</w:t>
      </w:r>
    </w:p>
    <w:p>
      <w:pPr>
        <w:pStyle w:val="Heading3"/>
        <w:spacing w:after="120" w:before="240"/>
      </w:pPr>
      <w:r>
        <w:rPr>
          <w:rFonts w:ascii="Arial" w:cs="Arial" w:eastAsia="Arial" w:hAnsi="Arial"/>
          <w:b/>
          <w:bCs/>
          <w:sz w:val="24"/>
          <w:szCs w:val="24"/>
        </w:rPr>
        <w:t xml:space="preserve">2.2.1  Anbieterseite</w:t>
      </w:r>
    </w:p>
    <w:p>
      <w:pPr>
        <w:spacing w:after="160" w:before="0" w:line="360" w:lineRule="auto"/>
      </w:pPr>
      <w:r>
        <w:rPr>
          <w:rFonts w:ascii="Arial" w:cs="Arial" w:eastAsia="Arial" w:hAnsi="Arial"/>
          <w:sz w:val="22"/>
          <w:szCs w:val="22"/>
        </w:rPr>
        <w:t xml:space="preserve">Anbieter digitaler Medien verfolgen unterschiedliche Motive, die sich drei idealtypischen Kategorien zuordnen lassen.</w:t>
      </w:r>
    </w:p>
    <w:p>
      <w:pPr>
        <w:pStyle w:val="ListParagraph"/>
        <w:numPr>
          <w:ilvl w:val="0"/>
          <w:numId w:val="2"/>
        </w:numPr>
        <w:spacing w:after="80" w:line="360" w:lineRule="auto"/>
      </w:pPr>
      <w:r>
        <w:rPr>
          <w:rFonts w:ascii="Arial" w:cs="Arial" w:eastAsia="Arial" w:hAnsi="Arial"/>
          <w:sz w:val="22"/>
          <w:szCs w:val="22"/>
        </w:rPr>
        <w:t xml:space="preserve">Kommerzielle Plattformen (TikTok, Meta, YouTube, X) finanzieren sich primär werbebasiert. Ihr zentrales Geschäftsziel ist die Maximierung von Aufmerksamkeit und Datenspuren, die an Werbetreibende weiterverkauft werden (Zuboff, 2019).</w:t>
      </w:r>
    </w:p>
    <w:p>
      <w:pPr>
        <w:pStyle w:val="ListParagraph"/>
        <w:numPr>
          <w:ilvl w:val="0"/>
          <w:numId w:val="2"/>
        </w:numPr>
        <w:spacing w:after="80" w:line="360" w:lineRule="auto"/>
      </w:pPr>
      <w:r>
        <w:rPr>
          <w:rFonts w:ascii="Arial" w:cs="Arial" w:eastAsia="Arial" w:hAnsi="Arial"/>
          <w:sz w:val="22"/>
          <w:szCs w:val="22"/>
        </w:rPr>
        <w:t xml:space="preserve">Abonnement- und On-Demand-Anbieter (Netflix, Spotify, Disney+) leben von langfristiger Kundenbindung. Ihr Ziel ist Engagement im Sinne von Zufriedenheit und Retention, nicht primär Scroll-Dauer.</w:t>
      </w:r>
    </w:p>
    <w:p>
      <w:pPr>
        <w:pStyle w:val="ListParagraph"/>
        <w:numPr>
          <w:ilvl w:val="0"/>
          <w:numId w:val="2"/>
        </w:numPr>
        <w:spacing w:after="80" w:line="360" w:lineRule="auto"/>
      </w:pPr>
      <w:r>
        <w:rPr>
          <w:rFonts w:ascii="Arial" w:cs="Arial" w:eastAsia="Arial" w:hAnsi="Arial"/>
          <w:sz w:val="22"/>
          <w:szCs w:val="22"/>
        </w:rPr>
        <w:t xml:space="preserve">Öffentlich-rechtliche und redaktionelle Anbieter (SRF, BBC, NZZ, DLF) folgen Leitbildern wie Bildungs-, Informations- und Kulturvermittlung. Sie finanzieren sich über Gebühren oder Abonnements und haben normative Verpflichtungen gegenüber Pluralismus und Qualität.</w:t>
      </w:r>
    </w:p>
    <w:p>
      <w:pPr>
        <w:spacing w:after="160" w:before="0" w:line="360" w:lineRule="auto"/>
      </w:pPr>
      <w:r>
        <w:rPr>
          <w:rFonts w:ascii="Arial" w:cs="Arial" w:eastAsia="Arial" w:hAnsi="Arial"/>
          <w:sz w:val="22"/>
          <w:szCs w:val="22"/>
        </w:rPr>
        <w:t xml:space="preserve">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pPr>
        <w:pStyle w:val="Heading3"/>
        <w:spacing w:after="120" w:before="240"/>
      </w:pPr>
      <w:r>
        <w:rPr>
          <w:rFonts w:ascii="Arial" w:cs="Arial" w:eastAsia="Arial" w:hAnsi="Arial"/>
          <w:b/>
          <w:bCs/>
          <w:sz w:val="24"/>
          <w:szCs w:val="24"/>
        </w:rPr>
        <w:t xml:space="preserve">2.2.2  Nutzerseite</w:t>
      </w:r>
    </w:p>
    <w:p>
      <w:pPr>
        <w:spacing w:after="160" w:before="0" w:line="360" w:lineRule="auto"/>
      </w:pPr>
      <w:r>
        <w:rPr>
          <w:rFonts w:ascii="Arial" w:cs="Arial" w:eastAsia="Arial" w:hAnsi="Arial"/>
          <w:sz w:val="22"/>
          <w:szCs w:val="22"/>
        </w:rPr>
        <w:t xml:space="preserve">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pPr>
        <w:spacing w:after="160" w:before="0" w:line="360" w:lineRule="auto"/>
      </w:pPr>
      <w:r>
        <w:rPr>
          <w:rFonts w:ascii="Arial" w:cs="Arial" w:eastAsia="Arial" w:hAnsi="Arial"/>
          <w:sz w:val="22"/>
          <w:szCs w:val="22"/>
        </w:rPr>
        <w:t xml:space="preserve">Ergänzend identifizieren Ryan und Deci (2000) in der Self-Determination Theory drei psychologische Grundbedürfnisse, die für intrinsische Motivation und Wohlbefinden zentral sind:</w:t>
      </w:r>
    </w:p>
    <w:p>
      <w:pPr>
        <w:pStyle w:val="ListParagraph"/>
        <w:numPr>
          <w:ilvl w:val="0"/>
          <w:numId w:val="2"/>
        </w:numPr>
        <w:spacing w:after="80" w:line="360" w:lineRule="auto"/>
      </w:pPr>
      <w:r>
        <w:rPr>
          <w:rFonts w:ascii="Arial" w:cs="Arial" w:eastAsia="Arial" w:hAnsi="Arial"/>
          <w:sz w:val="22"/>
          <w:szCs w:val="22"/>
        </w:rPr>
        <w:t xml:space="preserve">Autonomie: das Erleben, selbstbestimmt zu handeln und eigene Entscheidungen zu treffen;</w:t>
      </w:r>
    </w:p>
    <w:p>
      <w:pPr>
        <w:pStyle w:val="ListParagraph"/>
        <w:numPr>
          <w:ilvl w:val="0"/>
          <w:numId w:val="2"/>
        </w:numPr>
        <w:spacing w:after="80" w:line="360" w:lineRule="auto"/>
      </w:pPr>
      <w:r>
        <w:rPr>
          <w:rFonts w:ascii="Arial" w:cs="Arial" w:eastAsia="Arial" w:hAnsi="Arial"/>
          <w:sz w:val="22"/>
          <w:szCs w:val="22"/>
        </w:rPr>
        <w:t xml:space="preserve">Kompetenz: das Gefühl, wirksam zu sein und Herausforderungen bewältigen zu können;</w:t>
      </w:r>
    </w:p>
    <w:p>
      <w:pPr>
        <w:pStyle w:val="ListParagraph"/>
        <w:numPr>
          <w:ilvl w:val="0"/>
          <w:numId w:val="2"/>
        </w:numPr>
        <w:spacing w:after="80" w:line="360" w:lineRule="auto"/>
      </w:pPr>
      <w:r>
        <w:rPr>
          <w:rFonts w:ascii="Arial" w:cs="Arial" w:eastAsia="Arial" w:hAnsi="Arial"/>
          <w:sz w:val="22"/>
          <w:szCs w:val="22"/>
        </w:rPr>
        <w:t xml:space="preserve">soziale Eingebundenheit: das Erleben von bedeutungsvollen Beziehungen und Zugehörigkeit.</w:t>
      </w:r>
    </w:p>
    <w:p>
      <w:pPr>
        <w:spacing w:after="160" w:before="0" w:line="360" w:lineRule="auto"/>
      </w:pPr>
      <w:r>
        <w:rPr>
          <w:rFonts w:ascii="Arial" w:cs="Arial" w:eastAsia="Arial" w:hAnsi="Arial"/>
          <w:sz w:val="22"/>
          <w:szCs w:val="22"/>
        </w:rPr>
        <w:t xml:space="preserve">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2.4.1 als zentrale Beurteilungsgrundlage erneut aufgegriffen.</w:t>
      </w:r>
    </w:p>
    <w:p>
      <w:pPr>
        <w:spacing w:after="160" w:before="0" w:line="360" w:lineRule="auto"/>
      </w:pPr>
      <w:r>
        <w:rPr>
          <w:rFonts w:ascii="Arial" w:cs="Arial" w:eastAsia="Arial" w:hAnsi="Arial"/>
          <w:sz w:val="22"/>
          <w:szCs w:val="22"/>
        </w:rPr>
        <w:t xml:space="preserve">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pPr>
        <w:pStyle w:val="Heading2"/>
        <w:spacing w:after="160" w:before="320"/>
      </w:pPr>
      <w:r>
        <w:rPr>
          <w:rFonts w:ascii="Arial" w:cs="Arial" w:eastAsia="Arial" w:hAnsi="Arial"/>
          <w:b/>
          <w:bCs/>
          <w:sz w:val="28"/>
          <w:szCs w:val="28"/>
        </w:rPr>
        <w:t xml:space="preserve">2.3  Mechanismen digitaler Medienangebote</w:t>
      </w:r>
    </w:p>
    <w:p>
      <w:pPr>
        <w:spacing w:after="160" w:before="0" w:line="360" w:lineRule="auto"/>
      </w:pPr>
      <w:r>
        <w:rPr>
          <w:rFonts w:ascii="Arial" w:cs="Arial" w:eastAsia="Arial" w:hAnsi="Arial"/>
          <w:sz w:val="22"/>
          <w:szCs w:val="22"/>
        </w:rPr>
        <w:t xml:space="preserve">Die Motivationen beider Seiten schlagen sich in konkreten technischen Mechanismen nieder. Im Folgenden werden die zentralen Mechanismen aktueller Medienangebote beschrieben und ihre Funktionsweise skizziert.</w:t>
      </w:r>
    </w:p>
    <w:p>
      <w:pPr>
        <w:pStyle w:val="Heading3"/>
        <w:spacing w:after="120" w:before="240"/>
      </w:pPr>
      <w:r>
        <w:rPr>
          <w:rFonts w:ascii="Arial" w:cs="Arial" w:eastAsia="Arial" w:hAnsi="Arial"/>
          <w:b/>
          <w:bCs/>
          <w:sz w:val="24"/>
          <w:szCs w:val="24"/>
        </w:rPr>
        <w:t xml:space="preserve">2.3.1  Klassifikation und Ontologien</w:t>
      </w:r>
    </w:p>
    <w:p>
      <w:pPr>
        <w:spacing w:after="160" w:before="0" w:line="360" w:lineRule="auto"/>
      </w:pPr>
      <w:r>
        <w:rPr>
          <w:rFonts w:ascii="Arial" w:cs="Arial" w:eastAsia="Arial" w:hAnsi="Arial"/>
          <w:sz w:val="22"/>
          <w:szCs w:val="22"/>
        </w:rP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pPr>
        <w:pStyle w:val="Heading3"/>
        <w:spacing w:after="120" w:before="240"/>
      </w:pPr>
      <w:r>
        <w:rPr>
          <w:rFonts w:ascii="Arial" w:cs="Arial" w:eastAsia="Arial" w:hAnsi="Arial"/>
          <w:b/>
          <w:bCs/>
          <w:sz w:val="24"/>
          <w:szCs w:val="24"/>
        </w:rPr>
        <w:t xml:space="preserve">2.3.2  Suche</w:t>
      </w:r>
    </w:p>
    <w:p>
      <w:pPr>
        <w:spacing w:after="160" w:before="0" w:line="360" w:lineRule="auto"/>
      </w:pPr>
      <w:r>
        <w:rPr>
          <w:rFonts w:ascii="Arial" w:cs="Arial" w:eastAsia="Arial" w:hAnsi="Arial"/>
          <w:sz w:val="22"/>
          <w:szCs w:val="22"/>
        </w:rPr>
        <w:t xml:space="preserve">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pPr>
        <w:pStyle w:val="Heading3"/>
        <w:spacing w:after="120" w:before="240"/>
      </w:pPr>
      <w:r>
        <w:rPr>
          <w:rFonts w:ascii="Arial" w:cs="Arial" w:eastAsia="Arial" w:hAnsi="Arial"/>
          <w:b/>
          <w:bCs/>
          <w:sz w:val="24"/>
          <w:szCs w:val="24"/>
        </w:rPr>
        <w:t xml:space="preserve">2.3.3  Empfehlungssysteme</w:t>
      </w:r>
    </w:p>
    <w:p>
      <w:pPr>
        <w:spacing w:after="160" w:before="0" w:line="360" w:lineRule="auto"/>
      </w:pPr>
      <w:r>
        <w:rPr>
          <w:rFonts w:ascii="Arial" w:cs="Arial" w:eastAsia="Arial" w:hAnsi="Arial"/>
          <w:sz w:val="22"/>
          <w:szCs w:val="22"/>
        </w:rPr>
        <w:t xml:space="preserve">Empfehlungssysteme (Recommender Systems) schlagen Inhalte vor, ohne dass die Nutzenden aktiv danach suchen. In der Standardliteratur werden drei klassische Hauptparadigmen unterschieden (Ricci, Rokach &amp; Shapira, 2015):</w:t>
      </w:r>
    </w:p>
    <w:p>
      <w:pPr>
        <w:pStyle w:val="ListParagraph"/>
        <w:numPr>
          <w:ilvl w:val="0"/>
          <w:numId w:val="2"/>
        </w:numPr>
        <w:spacing w:after="80" w:line="360" w:lineRule="auto"/>
      </w:pPr>
      <w:r>
        <w:rPr>
          <w:rFonts w:ascii="Arial" w:cs="Arial" w:eastAsia="Arial" w:hAnsi="Arial"/>
          <w:sz w:val="22"/>
          <w:szCs w:val="22"/>
        </w:rPr>
        <w:t xml:space="preserve">Kollaboratives Filtern: Empfehlungen auf Basis der Ähnlichkeit zwischen Nutzenden (Prinzip: «Personen, die X mochten, mochten auch Y»).</w:t>
      </w:r>
    </w:p>
    <w:p>
      <w:pPr>
        <w:pStyle w:val="ListParagraph"/>
        <w:numPr>
          <w:ilvl w:val="0"/>
          <w:numId w:val="2"/>
        </w:numPr>
        <w:spacing w:after="80" w:line="360" w:lineRule="auto"/>
      </w:pPr>
      <w:r>
        <w:rPr>
          <w:rFonts w:ascii="Arial" w:cs="Arial" w:eastAsia="Arial" w:hAnsi="Arial"/>
          <w:sz w:val="22"/>
          <w:szCs w:val="22"/>
        </w:rPr>
        <w:t xml:space="preserve">Inhaltsbasiertes Filtern: Empfehlungen auf Basis der Ähnlichkeit zwischen Inhalten und des bisherigen Nutzerprofils.</w:t>
      </w:r>
    </w:p>
    <w:p>
      <w:pPr>
        <w:pStyle w:val="ListParagraph"/>
        <w:numPr>
          <w:ilvl w:val="0"/>
          <w:numId w:val="2"/>
        </w:numPr>
        <w:spacing w:after="80" w:line="360" w:lineRule="auto"/>
      </w:pPr>
      <w:r>
        <w:rPr>
          <w:rFonts w:ascii="Arial" w:cs="Arial" w:eastAsia="Arial" w:hAnsi="Arial"/>
          <w:sz w:val="22"/>
          <w:szCs w:val="22"/>
        </w:rPr>
        <w:t xml:space="preserve">Hybride und Deep-Learning-basierte Ansätze: Kombination der obigen Verfahren mit impliziten Signalen (Verweildauer, Scrolltiefe, Wiederholungen) und tiefen neuronalen Modellen, wie sie in Feeds von TikTok oder Instagram dominieren.</w:t>
      </w:r>
    </w:p>
    <w:p>
      <w:pPr>
        <w:spacing w:after="160" w:before="0" w:line="360" w:lineRule="auto"/>
      </w:pPr>
      <w:r>
        <w:rPr>
          <w:rFonts w:ascii="Arial" w:cs="Arial" w:eastAsia="Arial" w:hAnsi="Arial"/>
          <w:sz w:val="22"/>
          <w:szCs w:val="22"/>
        </w:rPr>
        <w:t xml:space="preserve">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pPr>
        <w:pStyle w:val="Heading3"/>
        <w:spacing w:after="120" w:before="240"/>
      </w:pPr>
      <w:r>
        <w:rPr>
          <w:rFonts w:ascii="Arial" w:cs="Arial" w:eastAsia="Arial" w:hAnsi="Arial"/>
          <w:b/>
          <w:bCs/>
          <w:sz w:val="24"/>
          <w:szCs w:val="24"/>
        </w:rPr>
        <w:t xml:space="preserve">2.3.4  Personalisierung und Feed-Kuration</w:t>
      </w:r>
    </w:p>
    <w:p>
      <w:pPr>
        <w:spacing w:after="160" w:before="0" w:line="360" w:lineRule="auto"/>
      </w:pPr>
      <w:r>
        <w:rPr>
          <w:rFonts w:ascii="Arial" w:cs="Arial" w:eastAsia="Arial" w:hAnsi="Arial"/>
          <w:sz w:val="22"/>
          <w:szCs w:val="22"/>
        </w:rP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pPr>
        <w:pStyle w:val="Heading3"/>
        <w:spacing w:after="120" w:before="240"/>
      </w:pPr>
      <w:r>
        <w:rPr>
          <w:rFonts w:ascii="Arial" w:cs="Arial" w:eastAsia="Arial" w:hAnsi="Arial"/>
          <w:b/>
          <w:bCs/>
          <w:sz w:val="24"/>
          <w:szCs w:val="24"/>
        </w:rPr>
        <w:t xml:space="preserve">2.3.5  Sharing und soziale Mechanismen</w:t>
      </w:r>
    </w:p>
    <w:p>
      <w:pPr>
        <w:spacing w:after="160" w:before="0" w:line="360" w:lineRule="auto"/>
      </w:pPr>
      <w:r>
        <w:rPr>
          <w:rFonts w:ascii="Arial" w:cs="Arial" w:eastAsia="Arial" w:hAnsi="Arial"/>
          <w:sz w:val="22"/>
          <w:szCs w:val="22"/>
        </w:rPr>
        <w:t xml:space="preserve">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pPr>
        <w:pStyle w:val="Heading3"/>
        <w:spacing w:after="120" w:before="240"/>
      </w:pPr>
      <w:r>
        <w:rPr>
          <w:rFonts w:ascii="Arial" w:cs="Arial" w:eastAsia="Arial" w:hAnsi="Arial"/>
          <w:b/>
          <w:bCs/>
          <w:sz w:val="24"/>
          <w:szCs w:val="24"/>
        </w:rPr>
        <w:t xml:space="preserve">2.3.6  Persuasive Design und Nudging</w:t>
      </w:r>
    </w:p>
    <w:p>
      <w:pPr>
        <w:spacing w:after="160" w:before="0" w:line="360" w:lineRule="auto"/>
      </w:pPr>
      <w:r>
        <w:rPr>
          <w:rFonts w:ascii="Arial" w:cs="Arial" w:eastAsia="Arial" w:hAnsi="Arial"/>
          <w:sz w:val="22"/>
          <w:szCs w:val="22"/>
        </w:rPr>
        <w:t xml:space="preserve">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pPr>
        <w:spacing w:after="160" w:before="0" w:line="360" w:lineRule="auto"/>
      </w:pPr>
      <w:r>
        <w:rPr>
          <w:rFonts w:ascii="Arial" w:cs="Arial" w:eastAsia="Arial" w:hAnsi="Arial"/>
          <w:sz w:val="22"/>
          <w:szCs w:val="22"/>
        </w:rPr>
        <w:t xml:space="preserve">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pPr>
        <w:pStyle w:val="Heading3"/>
        <w:spacing w:after="120" w:before="240"/>
      </w:pPr>
      <w:r>
        <w:rPr>
          <w:rFonts w:ascii="Arial" w:cs="Arial" w:eastAsia="Arial" w:hAnsi="Arial"/>
          <w:b/>
          <w:bCs/>
          <w:sz w:val="24"/>
          <w:szCs w:val="24"/>
        </w:rPr>
        <w:t xml:space="preserve">2.3.7  Monetarisierungsmechanismen</w:t>
      </w:r>
    </w:p>
    <w:p>
      <w:pPr>
        <w:spacing w:after="160" w:before="0" w:line="360" w:lineRule="auto"/>
      </w:pPr>
      <w:r>
        <w:rPr>
          <w:rFonts w:ascii="Arial" w:cs="Arial" w:eastAsia="Arial" w:hAnsi="Arial"/>
          <w:sz w:val="22"/>
          <w:szCs w:val="22"/>
        </w:rPr>
        <w:t xml:space="preserve">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pPr>
        <w:pStyle w:val="Heading2"/>
        <w:spacing w:after="160" w:before="320"/>
      </w:pPr>
      <w:r>
        <w:rPr>
          <w:rFonts w:ascii="Arial" w:cs="Arial" w:eastAsia="Arial" w:hAnsi="Arial"/>
          <w:b/>
          <w:bCs/>
          <w:sz w:val="28"/>
          <w:szCs w:val="28"/>
        </w:rPr>
        <w:t xml:space="preserve">2.4  Beurteilungsgrundlagen</w:t>
      </w:r>
    </w:p>
    <w:p>
      <w:pPr>
        <w:spacing w:after="160" w:before="0" w:line="360" w:lineRule="auto"/>
      </w:pPr>
      <w:r>
        <w:rPr>
          <w:rFonts w:ascii="Arial" w:cs="Arial" w:eastAsia="Arial" w:hAnsi="Arial"/>
          <w:sz w:val="22"/>
          <w:szCs w:val="22"/>
        </w:rPr>
        <w:t xml:space="preserve">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pPr>
        <w:pStyle w:val="Heading3"/>
        <w:spacing w:after="120" w:before="240"/>
      </w:pPr>
      <w:r>
        <w:rPr>
          <w:rFonts w:ascii="Arial" w:cs="Arial" w:eastAsia="Arial" w:hAnsi="Arial"/>
          <w:b/>
          <w:bCs/>
          <w:sz w:val="24"/>
          <w:szCs w:val="24"/>
        </w:rPr>
        <w:t xml:space="preserve">2.4.1  Self-Determination Theory (SDT)</w:t>
      </w:r>
    </w:p>
    <w:p>
      <w:pPr>
        <w:spacing w:after="160" w:before="0" w:line="360" w:lineRule="auto"/>
      </w:pPr>
      <w:r>
        <w:rPr>
          <w:rFonts w:ascii="Arial" w:cs="Arial" w:eastAsia="Arial" w:hAnsi="Arial"/>
          <w:sz w:val="22"/>
          <w:szCs w:val="22"/>
        </w:rPr>
        <w:t xml:space="preserve">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pPr>
        <w:spacing w:after="160" w:before="0" w:line="360" w:lineRule="auto"/>
      </w:pPr>
      <w:r>
        <w:rPr>
          <w:rFonts w:ascii="Arial" w:cs="Arial" w:eastAsia="Arial" w:hAnsi="Arial"/>
          <w:sz w:val="22"/>
          <w:szCs w:val="22"/>
        </w:rPr>
        <w:t xml:space="preserve">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pPr>
        <w:pStyle w:val="Heading3"/>
        <w:spacing w:after="120" w:before="240"/>
      </w:pPr>
      <w:r>
        <w:rPr>
          <w:rFonts w:ascii="Arial" w:cs="Arial" w:eastAsia="Arial" w:hAnsi="Arial"/>
          <w:b/>
          <w:bCs/>
          <w:sz w:val="24"/>
          <w:szCs w:val="24"/>
        </w:rPr>
        <w:t xml:space="preserve">2.4.2  Value-Sensitive Design (VSD)</w:t>
      </w:r>
    </w:p>
    <w:p>
      <w:pPr>
        <w:spacing w:after="160" w:before="0" w:line="360" w:lineRule="auto"/>
      </w:pPr>
      <w:r>
        <w:rPr>
          <w:rFonts w:ascii="Arial" w:cs="Arial" w:eastAsia="Arial" w:hAnsi="Arial"/>
          <w:sz w:val="22"/>
          <w:szCs w:val="22"/>
        </w:rPr>
        <w:t xml:space="preserve">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pPr>
        <w:pStyle w:val="Heading3"/>
        <w:spacing w:after="120" w:before="240"/>
      </w:pPr>
      <w:r>
        <w:rPr>
          <w:rFonts w:ascii="Arial" w:cs="Arial" w:eastAsia="Arial" w:hAnsi="Arial"/>
          <w:b/>
          <w:bCs/>
          <w:sz w:val="24"/>
          <w:szCs w:val="24"/>
        </w:rPr>
        <w:t xml:space="preserve">2.4.3  Digital Wellbeing</w:t>
      </w:r>
    </w:p>
    <w:p>
      <w:pPr>
        <w:spacing w:after="160" w:before="0" w:line="360" w:lineRule="auto"/>
      </w:pPr>
      <w:r>
        <w:rPr>
          <w:rFonts w:ascii="Arial" w:cs="Arial" w:eastAsia="Arial" w:hAnsi="Arial"/>
          <w:sz w:val="22"/>
          <w:szCs w:val="22"/>
        </w:rP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pPr>
        <w:pStyle w:val="Heading3"/>
        <w:spacing w:after="120" w:before="240"/>
      </w:pPr>
      <w:r>
        <w:rPr>
          <w:rFonts w:ascii="Arial" w:cs="Arial" w:eastAsia="Arial" w:hAnsi="Arial"/>
          <w:b/>
          <w:bCs/>
          <w:sz w:val="24"/>
          <w:szCs w:val="24"/>
        </w:rPr>
        <w:t xml:space="preserve">2.4.4  Ethik von Empfehlungssystemen und algorithmische Souveränität</w:t>
      </w:r>
    </w:p>
    <w:p>
      <w:pPr>
        <w:spacing w:after="160" w:before="0" w:line="360" w:lineRule="auto"/>
      </w:pPr>
      <w:r>
        <w:rPr>
          <w:rFonts w:ascii="Arial" w:cs="Arial" w:eastAsia="Arial" w:hAnsi="Arial"/>
          <w:sz w:val="22"/>
          <w:szCs w:val="22"/>
        </w:rPr>
        <w:t xml:space="preserve">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pPr>
        <w:pStyle w:val="Heading3"/>
        <w:spacing w:after="120" w:before="240"/>
      </w:pPr>
      <w:r>
        <w:rPr>
          <w:rFonts w:ascii="Arial" w:cs="Arial" w:eastAsia="Arial" w:hAnsi="Arial"/>
          <w:b/>
          <w:bCs/>
          <w:sz w:val="24"/>
          <w:szCs w:val="24"/>
        </w:rPr>
        <w:t xml:space="preserve">2.4.5  Gebrauchstauglichkeit und Akzeptanz</w:t>
      </w:r>
    </w:p>
    <w:p>
      <w:pPr>
        <w:spacing w:after="160" w:before="0" w:line="360" w:lineRule="auto"/>
      </w:pPr>
      <w:r>
        <w:rPr>
          <w:rFonts w:ascii="Arial" w:cs="Arial" w:eastAsia="Arial" w:hAnsi="Arial"/>
          <w:sz w:val="22"/>
          <w:szCs w:val="22"/>
        </w:rPr>
        <w:t xml:space="preserve">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pPr>
        <w:pStyle w:val="Heading2"/>
        <w:spacing w:after="160" w:before="320"/>
      </w:pPr>
      <w:r>
        <w:rPr>
          <w:rFonts w:ascii="Arial" w:cs="Arial" w:eastAsia="Arial" w:hAnsi="Arial"/>
          <w:b/>
          <w:bCs/>
          <w:sz w:val="28"/>
          <w:szCs w:val="28"/>
        </w:rPr>
        <w:t xml:space="preserve">2.5  Gegenüberstellung der Medienmodelle</w:t>
      </w:r>
    </w:p>
    <w:p>
      <w:pPr>
        <w:spacing w:after="160" w:before="0" w:line="360" w:lineRule="auto"/>
      </w:pPr>
      <w:r>
        <w:rPr>
          <w:rFonts w:ascii="Arial" w:cs="Arial" w:eastAsia="Arial" w:hAnsi="Arial"/>
          <w:sz w:val="22"/>
          <w:szCs w:val="22"/>
        </w:rPr>
        <w:t xml:space="preserve">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pPr>
        <w:spacing w:after="160" w:before="0" w:line="360" w:lineRule="auto"/>
      </w:pPr>
      <w:r>
        <w:rPr>
          <w:rFonts w:ascii="Arial" w:cs="Arial" w:eastAsia="Arial" w:hAnsi="Arial"/>
          <w:sz w:val="22"/>
          <w:szCs w:val="22"/>
        </w:rPr>
        <w:t xml:space="preserve">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00"/>
      </w:tblGrid>
      <w:tr>
        <w:trPr>
          <w:tblHeader/>
        </w:trPr>
        <w:tc>
          <w:tcPr>
            <w:tcW w:type="dxa" w:w="19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Dimension</w:t>
            </w:r>
          </w:p>
        </w:tc>
        <w:tc>
          <w:tcPr>
            <w:tcW w:type="dxa" w:w="23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Redaktionelles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Engagement-optimiertes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Wellbeing-orientiertes Modell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Kuration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Menschliche Redaktion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Verweildauer optimiert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Nutzerwohl optimiert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Transparenz</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Redaktionsstatut, öffentliche Leitlinien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Black-Box-Algorithmus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Nachvollziehbare Kriterien, offene Logik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Nutzerkontrolle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Gering (fixer Programmplan)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Minimal (Like/Skip, Interessen-Tagging)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Aktiv (Themen, Filter, Intensität)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Inhaltsvielfalt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Pluralismusauftrag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Filterblasen, Echokammern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Bewusste Diversifikation, Serendipität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Zeitmanagement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Sendezeiten, Programmrahmen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Endloses Scrollen, Autoplay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Definierte Länge, natürliche Pausen</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Finanzierung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Gebühren, Abonnement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Werbung, Datenhandel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Variabel (Gebühren, Abo, Stiftung)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Leitwert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Qualität, Pluralismus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Gewinnmaximierung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Nutzerwohl, Autonomie</w:t>
            </w:r>
          </w:p>
        </w:tc>
      </w:tr>
    </w:tbl>
    <w:p>
      <w:pPr>
        <w:pStyle w:val="Heading2"/>
        <w:spacing w:after="160" w:before="320"/>
      </w:pPr>
      <w:r>
        <w:rPr>
          <w:rFonts w:ascii="Arial" w:cs="Arial" w:eastAsia="Arial" w:hAnsi="Arial"/>
          <w:b/>
          <w:bCs/>
          <w:sz w:val="28"/>
          <w:szCs w:val="28"/>
        </w:rPr>
        <w:t xml:space="preserve">2.6  Forschungslücke</w:t>
      </w:r>
    </w:p>
    <w:p>
      <w:pPr>
        <w:spacing w:after="160" w:before="0" w:line="360" w:lineRule="auto"/>
      </w:pPr>
      <w:r>
        <w:rPr>
          <w:rFonts w:ascii="Arial" w:cs="Arial" w:eastAsia="Arial" w:hAnsi="Arial"/>
          <w:sz w:val="22"/>
          <w:szCs w:val="22"/>
        </w:rP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pPr>
        <w:spacing w:after="160" w:before="0" w:line="360" w:lineRule="auto"/>
      </w:pPr>
      <w:r>
        <w:rPr>
          <w:rFonts w:ascii="Arial" w:cs="Arial" w:eastAsia="Arial" w:hAnsi="Arial"/>
          <w:sz w:val="22"/>
          <w:szCs w:val="22"/>
        </w:rPr>
        <w:t xml:space="preserve">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pPr>
        <w:pStyle w:val="Heading1"/>
        <w:pageBreakBefore/>
        <w:spacing w:after="240" w:before="480"/>
      </w:pPr>
      <w:r>
        <w:rPr>
          <w:rFonts w:ascii="Arial" w:cs="Arial" w:eastAsia="Arial" w:hAnsi="Arial"/>
          <w:b/>
          <w:bCs/>
          <w:sz w:val="32"/>
          <w:szCs w:val="32"/>
        </w:rPr>
        <w:t xml:space="preserve">3  Radio 25 als Forschungsartefakt</w:t>
      </w:r>
    </w:p>
    <w:p>
      <w:pPr>
        <w:spacing w:after="160" w:before="0" w:line="360" w:lineRule="auto"/>
      </w:pPr>
      <w:r>
        <w:rPr>
          <w:rFonts w:ascii="Arial" w:cs="Arial" w:eastAsia="Arial" w:hAnsi="Arial"/>
          <w:sz w:val="22"/>
          <w:szCs w:val="22"/>
        </w:rPr>
        <w:t xml:space="preserve">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Radio 25 bezeichnet. Dieses Kapitel begründet die Wahl des Mediums, beschreibt den geplanten Untersuchungsgegenstand und ordnet die zu untersuchenden Mechanismen den in Kapitel 2 entwickelten Beurteilungsgrundlagen zu.</w:t>
      </w:r>
    </w:p>
    <w:p>
      <w:pPr>
        <w:pStyle w:val="Heading2"/>
        <w:spacing w:after="160" w:before="320"/>
      </w:pPr>
      <w:r>
        <w:rPr>
          <w:rFonts w:ascii="Arial" w:cs="Arial" w:eastAsia="Arial" w:hAnsi="Arial"/>
          <w:b/>
          <w:bCs/>
          <w:sz w:val="28"/>
          <w:szCs w:val="28"/>
        </w:rPr>
        <w:t xml:space="preserve">3.1  Warum ein Radio als Untersuchungsmedium?</w:t>
      </w:r>
    </w:p>
    <w:p>
      <w:pPr>
        <w:spacing w:after="160" w:before="0" w:line="360" w:lineRule="auto"/>
      </w:pPr>
      <w:r>
        <w:rPr>
          <w:rFonts w:ascii="Arial" w:cs="Arial" w:eastAsia="Arial" w:hAnsi="Arial"/>
          <w:sz w:val="22"/>
          <w:szCs w:val="22"/>
        </w:rPr>
        <w:t xml:space="preserve">Ein Radio eignet sich aus mehreren Gründen besonders gut, um die Spannungsfelder zwischen Engagement-Optimierung und Nutzerwohl experimentell zu untersuchen.</w:t>
      </w:r>
    </w:p>
    <w:p>
      <w:pPr>
        <w:spacing w:after="160" w:before="0" w:line="360" w:lineRule="auto"/>
      </w:pPr>
      <w:r>
        <w:rPr>
          <w:rFonts w:ascii="Arial" w:cs="Arial" w:eastAsia="Arial" w:hAnsi="Arial"/>
          <w:sz w:val="22"/>
          <w:szCs w:val="22"/>
        </w:rPr>
        <w:t xml:space="preserve">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pPr>
        <w:spacing w:after="160" w:before="0" w:line="360" w:lineRule="auto"/>
      </w:pPr>
      <w:r>
        <w:rPr>
          <w:rFonts w:ascii="Arial" w:cs="Arial" w:eastAsia="Arial" w:hAnsi="Arial"/>
          <w:sz w:val="22"/>
          <w:szCs w:val="22"/>
        </w:rP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pPr>
        <w:spacing w:after="160" w:before="0" w:line="360" w:lineRule="auto"/>
      </w:pPr>
      <w:r>
        <w:rPr>
          <w:rFonts w:ascii="Arial" w:cs="Arial" w:eastAsia="Arial" w:hAnsi="Arial"/>
          <w:sz w:val="22"/>
          <w:szCs w:val="22"/>
        </w:rPr>
        <w:t xml:space="preserve">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pPr>
        <w:spacing w:after="160" w:before="0" w:line="360" w:lineRule="auto"/>
      </w:pPr>
      <w:r>
        <w:rPr>
          <w:rFonts w:ascii="Arial" w:cs="Arial" w:eastAsia="Arial" w:hAnsi="Arial"/>
          <w:sz w:val="22"/>
          <w:szCs w:val="22"/>
        </w:rPr>
        <w:t xml:space="preserve">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pPr>
        <w:spacing w:after="160" w:before="0" w:line="360" w:lineRule="auto"/>
      </w:pPr>
      <w:r>
        <w:rPr>
          <w:rFonts w:ascii="Arial" w:cs="Arial" w:eastAsia="Arial" w:hAnsi="Arial"/>
          <w:sz w:val="22"/>
          <w:szCs w:val="22"/>
        </w:rPr>
        <w:t xml:space="preserve">Fünftens existiert mit dem öffentlich-rechtlichen Radio (SRF, DLF, BBC) ein etabliertes redaktionelles Vergleichsmodell, das sich an Pluralismus und Qualität orientiert. Damit liegt für jede der drei in Abschnitt 2.5 verglichenen Medienlogiken (redaktionell, engagement-optimiert, wellbeing-orientiert) ein realer oder konstruierter Referenzfall vor, an dem sich das wellbeing-orientierte Modell argumentativ wie empirisch positionieren kann.</w:t>
      </w:r>
    </w:p>
    <w:p>
      <w:pPr>
        <w:pStyle w:val="Heading2"/>
        <w:spacing w:after="160" w:before="320"/>
      </w:pPr>
      <w:r>
        <w:rPr>
          <w:rFonts w:ascii="Arial" w:cs="Arial" w:eastAsia="Arial" w:hAnsi="Arial"/>
          <w:b/>
          <w:bCs/>
          <w:sz w:val="28"/>
          <w:szCs w:val="28"/>
        </w:rPr>
        <w:t xml:space="preserve">3.2  Warum genau dieser Radio-Prototyp?</w:t>
      </w:r>
    </w:p>
    <w:p>
      <w:pPr>
        <w:spacing w:after="160" w:before="0" w:line="360" w:lineRule="auto"/>
      </w:pPr>
      <w:r>
        <w:rPr>
          <w:rFonts w:ascii="Arial" w:cs="Arial" w:eastAsia="Arial" w:hAnsi="Arial"/>
          <w:sz w:val="22"/>
          <w:szCs w:val="22"/>
        </w:rPr>
        <w:t xml:space="preserve">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pPr>
        <w:spacing w:after="160" w:before="0" w:line="360" w:lineRule="auto"/>
      </w:pPr>
      <w:r>
        <w:rPr>
          <w:rFonts w:ascii="Arial" w:cs="Arial" w:eastAsia="Arial" w:hAnsi="Arial"/>
          <w:sz w:val="22"/>
          <w:szCs w:val="22"/>
        </w:rPr>
        <w:t xml:space="preserve">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pPr>
        <w:spacing w:after="160" w:before="0" w:line="360" w:lineRule="auto"/>
      </w:pPr>
      <w:r>
        <w:rPr>
          <w:rFonts w:ascii="Arial" w:cs="Arial" w:eastAsia="Arial" w:hAnsi="Arial"/>
          <w:sz w:val="22"/>
          <w:szCs w:val="22"/>
        </w:rPr>
        <w:t xml:space="preserve">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pPr>
        <w:spacing w:after="160" w:before="0" w:line="360" w:lineRule="auto"/>
      </w:pPr>
      <w:r>
        <w:rPr>
          <w:rFonts w:ascii="Arial" w:cs="Arial" w:eastAsia="Arial" w:hAnsi="Arial"/>
          <w:sz w:val="22"/>
          <w:szCs w:val="22"/>
        </w:rP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pPr>
        <w:pStyle w:val="Heading2"/>
        <w:spacing w:after="160" w:before="320"/>
      </w:pPr>
      <w:r>
        <w:rPr>
          <w:rFonts w:ascii="Arial" w:cs="Arial" w:eastAsia="Arial" w:hAnsi="Arial"/>
          <w:b/>
          <w:bCs/>
          <w:sz w:val="28"/>
          <w:szCs w:val="28"/>
        </w:rPr>
        <w:t xml:space="preserve">3.3  Was an Radio 25 konkret umgesetzt wird</w:t>
      </w:r>
    </w:p>
    <w:p>
      <w:pPr>
        <w:spacing w:after="160" w:before="0" w:line="360" w:lineRule="auto"/>
      </w:pPr>
      <w:r>
        <w:rPr>
          <w:rFonts w:ascii="Arial" w:cs="Arial" w:eastAsia="Arial" w:hAnsi="Arial"/>
          <w:sz w:val="22"/>
          <w:szCs w:val="22"/>
        </w:rPr>
        <w:t xml:space="preserve">Radio 25 ist als prototypischer Demonstrator konzipiert, der die in Kapitel 2 beschriebenen Mechanismen exemplarisch in einer wellbeing-orientierten Variante zeigt. Die folgenden Bausteine werden umgesetzt.</w:t>
      </w:r>
    </w:p>
    <w:p>
      <w:pPr>
        <w:pStyle w:val="Heading3"/>
        <w:spacing w:after="120" w:before="240"/>
      </w:pPr>
      <w:r>
        <w:rPr>
          <w:rFonts w:ascii="Arial" w:cs="Arial" w:eastAsia="Arial" w:hAnsi="Arial"/>
          <w:b/>
          <w:bCs/>
          <w:sz w:val="24"/>
          <w:szCs w:val="24"/>
        </w:rPr>
        <w:t xml:space="preserve">3.3.1  Explizite Präferenzangaben und Profilkonstruktion</w:t>
      </w:r>
    </w:p>
    <w:p>
      <w:pPr>
        <w:spacing w:after="160" w:before="0" w:line="360" w:lineRule="auto"/>
      </w:pPr>
      <w:r>
        <w:rPr>
          <w:rFonts w:ascii="Arial" w:cs="Arial" w:eastAsia="Arial" w:hAnsi="Arial"/>
          <w:sz w:val="22"/>
          <w:szCs w:val="22"/>
        </w:rPr>
        <w:t xml:space="preserve">Die Hörerinnen und Hörer geben ihre Interessen, ihren Standort und einen Moderationsstil aktiv und nachvollziehbar an. Anders als bei Plattformen, die Profile primär aus implizitem Verhalten lernen, bleibt das Profil bei Radio 25 transparent, einsehbar und jederzeit veränderbar. Damit wird die Anforderung an algorithmische Souveränität (Reviglio &amp; Agosti, 2020) konkret operationalisierbar, ohne die Nutzenden mit einem aufwendigen Konfigurationsritual zu überfordern.</w:t>
      </w:r>
    </w:p>
    <w:p>
      <w:pPr>
        <w:pStyle w:val="Heading3"/>
        <w:spacing w:after="120" w:before="240"/>
      </w:pPr>
      <w:r>
        <w:rPr>
          <w:rFonts w:ascii="Arial" w:cs="Arial" w:eastAsia="Arial" w:hAnsi="Arial"/>
          <w:b/>
          <w:bCs/>
          <w:sz w:val="24"/>
          <w:szCs w:val="24"/>
        </w:rPr>
        <w:t xml:space="preserve">3.3.2  Vollautomatisierte Sendungspipeline</w:t>
      </w:r>
    </w:p>
    <w:p>
      <w:pPr>
        <w:spacing w:after="160" w:before="0" w:line="360" w:lineRule="auto"/>
      </w:pPr>
      <w:r>
        <w:rPr>
          <w:rFonts w:ascii="Arial" w:cs="Arial" w:eastAsia="Arial" w:hAnsi="Arial"/>
          <w:sz w:val="22"/>
          <w:szCs w:val="22"/>
        </w:rPr>
        <w:t xml:space="preserve">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pPr>
        <w:pStyle w:val="Heading3"/>
        <w:spacing w:after="120" w:before="240"/>
      </w:pPr>
      <w:r>
        <w:rPr>
          <w:rFonts w:ascii="Arial" w:cs="Arial" w:eastAsia="Arial" w:hAnsi="Arial"/>
          <w:b/>
          <w:bCs/>
          <w:sz w:val="24"/>
          <w:szCs w:val="24"/>
        </w:rPr>
        <w:t xml:space="preserve">3.3.3  Kuratierungs- und Empfehlungslogik mit alternativem Zielwert</w:t>
      </w:r>
    </w:p>
    <w:p>
      <w:pPr>
        <w:spacing w:after="160" w:before="0" w:line="360" w:lineRule="auto"/>
      </w:pPr>
      <w:r>
        <w:rPr>
          <w:rFonts w:ascii="Arial" w:cs="Arial" w:eastAsia="Arial" w:hAnsi="Arial"/>
          <w:sz w:val="22"/>
          <w:szCs w:val="22"/>
        </w:rP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2.3.3 beschriebenen Empfehlungsparadigmen (Ricci et al., 2015) auf eine wellbeing-orientierte Zielfunktion umgestellt, wie sie Milano et al. (2020) und Peters et al. (2020) als notwendig erachten.</w:t>
      </w:r>
    </w:p>
    <w:p>
      <w:pPr>
        <w:pStyle w:val="Heading3"/>
        <w:spacing w:after="120" w:before="240"/>
      </w:pPr>
      <w:r>
        <w:rPr>
          <w:rFonts w:ascii="Arial" w:cs="Arial" w:eastAsia="Arial" w:hAnsi="Arial"/>
          <w:b/>
          <w:bCs/>
          <w:sz w:val="24"/>
          <w:szCs w:val="24"/>
        </w:rPr>
        <w:t xml:space="preserve">3.3.4  Definierte Sessiongestaltung statt endlosem Strom</w:t>
      </w:r>
    </w:p>
    <w:p>
      <w:pPr>
        <w:spacing w:after="160" w:before="0" w:line="360" w:lineRule="auto"/>
      </w:pPr>
      <w:r>
        <w:rPr>
          <w:rFonts w:ascii="Arial" w:cs="Arial" w:eastAsia="Arial" w:hAnsi="Arial"/>
          <w:sz w:val="22"/>
          <w:szCs w:val="22"/>
        </w:rP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pPr>
        <w:pStyle w:val="Heading3"/>
        <w:spacing w:after="120" w:before="240"/>
      </w:pPr>
      <w:r>
        <w:rPr>
          <w:rFonts w:ascii="Arial" w:cs="Arial" w:eastAsia="Arial" w:hAnsi="Arial"/>
          <w:b/>
          <w:bCs/>
          <w:sz w:val="24"/>
          <w:szCs w:val="24"/>
        </w:rPr>
        <w:t xml:space="preserve">3.3.5  Transparenz über Quellen, Logik und Personalisierung</w:t>
      </w:r>
    </w:p>
    <w:p>
      <w:pPr>
        <w:spacing w:after="160" w:before="0" w:line="360" w:lineRule="auto"/>
      </w:pPr>
      <w:r>
        <w:rPr>
          <w:rFonts w:ascii="Arial" w:cs="Arial" w:eastAsia="Arial" w:hAnsi="Arial"/>
          <w:sz w:val="22"/>
          <w:szCs w:val="22"/>
        </w:rP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pPr>
        <w:pStyle w:val="Heading2"/>
        <w:spacing w:after="160" w:before="320"/>
      </w:pPr>
      <w:r>
        <w:rPr>
          <w:rFonts w:ascii="Arial" w:cs="Arial" w:eastAsia="Arial" w:hAnsi="Arial"/>
          <w:b/>
          <w:bCs/>
          <w:sz w:val="28"/>
          <w:szCs w:val="28"/>
        </w:rPr>
        <w:t xml:space="preserve">3.4  Welche Mechanismen am Radio untersucht und verbessert werden</w:t>
      </w:r>
    </w:p>
    <w:p>
      <w:pPr>
        <w:spacing w:after="160" w:before="0" w:line="360" w:lineRule="auto"/>
      </w:pPr>
      <w:r>
        <w:rPr>
          <w:rFonts w:ascii="Arial" w:cs="Arial" w:eastAsia="Arial" w:hAnsi="Arial"/>
          <w:sz w:val="22"/>
          <w:szCs w:val="22"/>
        </w:rPr>
        <w:t xml:space="preserve">Aus den Bausteinen ergeben sich die Mechanismen, an denen die Arbeit experimentell ansetzt. Sie korrespondieren mit den in Abschnitt 2.3 beschriebenen Mechanismen aktueller Medienangebote und werden im wellbeing-orientierten Modell systematisch umakzentuiert.</w:t>
      </w:r>
    </w:p>
    <w:p>
      <w:pPr>
        <w:pStyle w:val="ListParagraph"/>
        <w:numPr>
          <w:ilvl w:val="0"/>
          <w:numId w:val="2"/>
        </w:numPr>
        <w:spacing w:after="80" w:line="360" w:lineRule="auto"/>
      </w:pPr>
      <w:r>
        <w:rPr>
          <w:rFonts w:ascii="Arial" w:cs="Arial" w:eastAsia="Arial" w:hAnsi="Arial"/>
          <w:sz w:val="22"/>
          <w:szCs w:val="22"/>
        </w:rPr>
        <w:t xml:space="preserve">Profil- und Präferenzbildung: Wie wirkt sich ein explizit deklariertes Profil im Vergleich zu impliziter Verhaltensanalyse auf das wahrgenommene Autonomie- und Kompetenzerleben aus (Ryan &amp; Deci, 2000; Peters et al., 2018)?</w:t>
      </w:r>
    </w:p>
    <w:p>
      <w:pPr>
        <w:pStyle w:val="ListParagraph"/>
        <w:numPr>
          <w:ilvl w:val="0"/>
          <w:numId w:val="2"/>
        </w:numPr>
        <w:spacing w:after="80" w:line="360" w:lineRule="auto"/>
      </w:pPr>
      <w:r>
        <w:rPr>
          <w:rFonts w:ascii="Arial" w:cs="Arial" w:eastAsia="Arial" w:hAnsi="Arial"/>
          <w:sz w:val="22"/>
          <w:szCs w:val="22"/>
        </w:rPr>
        <w:t xml:space="preserve">Personalisierte Kuratierung mit alternativer Zielfunktion: Welche Effekte hat eine auf Vielfalt, Tageskontext und Selbstbestimmung optimierte Auswahl gegenüber einer engagement-optimierten Empfehlungslogik (Nguyen et al., 2014; Milano et al., 2020)?</w:t>
      </w:r>
    </w:p>
    <w:p>
      <w:pPr>
        <w:pStyle w:val="ListParagraph"/>
        <w:numPr>
          <w:ilvl w:val="0"/>
          <w:numId w:val="2"/>
        </w:numPr>
        <w:spacing w:after="80" w:line="360" w:lineRule="auto"/>
      </w:pPr>
      <w:r>
        <w:rPr>
          <w:rFonts w:ascii="Arial" w:cs="Arial" w:eastAsia="Arial" w:hAnsi="Arial"/>
          <w:sz w:val="22"/>
          <w:szCs w:val="22"/>
        </w:rPr>
        <w:t xml:space="preserve">Sessiongestaltung: Wie wirken eine definierte Sendungslänge und ein bewusst gesetzter Abschluss im Vergleich zu endlosen Strömen auf die subjektive Zufriedenheit, das Zeitempfinden und die Nutzungskontrolle (Vanden Abeele, 2021; Montag et al., 2019)?</w:t>
      </w:r>
    </w:p>
    <w:p>
      <w:pPr>
        <w:pStyle w:val="ListParagraph"/>
        <w:numPr>
          <w:ilvl w:val="0"/>
          <w:numId w:val="2"/>
        </w:numPr>
        <w:spacing w:after="80" w:line="360" w:lineRule="auto"/>
      </w:pPr>
      <w:r>
        <w:rPr>
          <w:rFonts w:ascii="Arial" w:cs="Arial" w:eastAsia="Arial" w:hAnsi="Arial"/>
          <w:sz w:val="22"/>
          <w:szCs w:val="22"/>
        </w:rPr>
        <w:t xml:space="preserve">Transparenz der Algorithmik: Wie verändert eine offengelegte Personalisierungslogik das Vertrauen, die wahrgenommene Fairness und die Bereitschaft zur weiteren Nutzung (Reviglio &amp; Agosti, 2020; Milano et al., 2020)?</w:t>
      </w:r>
    </w:p>
    <w:p>
      <w:pPr>
        <w:pStyle w:val="ListParagraph"/>
        <w:numPr>
          <w:ilvl w:val="0"/>
          <w:numId w:val="2"/>
        </w:numPr>
        <w:spacing w:after="80" w:line="360" w:lineRule="auto"/>
      </w:pPr>
      <w:r>
        <w:rPr>
          <w:rFonts w:ascii="Arial" w:cs="Arial" w:eastAsia="Arial" w:hAnsi="Arial"/>
          <w:sz w:val="22"/>
          <w:szCs w:val="22"/>
        </w:rPr>
        <w:t xml:space="preserve">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pPr>
        <w:pStyle w:val="ListParagraph"/>
        <w:numPr>
          <w:ilvl w:val="0"/>
          <w:numId w:val="2"/>
        </w:numPr>
        <w:spacing w:after="80" w:line="360" w:lineRule="auto"/>
      </w:pPr>
      <w:r>
        <w:rPr>
          <w:rFonts w:ascii="Arial" w:cs="Arial" w:eastAsia="Arial" w:hAnsi="Arial"/>
          <w:sz w:val="22"/>
          <w:szCs w:val="22"/>
        </w:rPr>
        <w:t xml:space="preserve">Gebrauchstauglichkeit und Akzeptanz: Wie schneidet ein wellbeing-orientiertes Radio im System Usability Scale (Brooke, 1996; Bangor et al., 2008) und in der subjektiven Akzeptanz im Vergleich zu vertrauten Plattformen ab?</w:t>
      </w:r>
    </w:p>
    <w:p>
      <w:pPr>
        <w:pStyle w:val="Heading2"/>
        <w:spacing w:after="160" w:before="320"/>
      </w:pPr>
      <w:r>
        <w:rPr>
          <w:rFonts w:ascii="Arial" w:cs="Arial" w:eastAsia="Arial" w:hAnsi="Arial"/>
          <w:b/>
          <w:bCs/>
          <w:sz w:val="28"/>
          <w:szCs w:val="28"/>
        </w:rPr>
        <w:t xml:space="preserve">3.5  Abgrenzung des Untersuchungsumfangs</w:t>
      </w:r>
    </w:p>
    <w:p>
      <w:pPr>
        <w:spacing w:after="160" w:before="0" w:line="360" w:lineRule="auto"/>
      </w:pPr>
      <w:r>
        <w:rPr>
          <w:rFonts w:ascii="Arial" w:cs="Arial" w:eastAsia="Arial" w:hAnsi="Arial"/>
          <w:sz w:val="22"/>
          <w:szCs w:val="22"/>
        </w:rPr>
        <w:t xml:space="preserve">Radio 25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pPr>
        <w:pStyle w:val="Heading1"/>
        <w:pageBreakBefore/>
        <w:spacing w:after="240" w:before="480"/>
      </w:pPr>
      <w:r>
        <w:rPr>
          <w:rFonts w:ascii="Arial" w:cs="Arial" w:eastAsia="Arial" w:hAnsi="Arial"/>
          <w:b/>
          <w:bCs/>
          <w:sz w:val="32"/>
          <w:szCs w:val="32"/>
        </w:rPr>
        <w:t xml:space="preserve">Literaturverzeichnis (vorläufig)</w:t>
      </w:r>
    </w:p>
    <w:p>
      <w:pPr>
        <w:spacing w:after="160" w:before="0" w:line="360" w:lineRule="auto"/>
      </w:pPr>
      <w:r>
        <w:rPr>
          <w:rFonts w:ascii="Arial" w:cs="Arial" w:eastAsia="Arial" w:hAnsi="Arial"/>
          <w:sz w:val="22"/>
          <w:szCs w:val="22"/>
        </w:rPr>
        <w:t xml:space="preserve">Die folgende Liste enthält die in den Kapiteln 1 und 2 zitierten Quellen. Sie wird im weiteren Verlauf der Arbeit ergänzt und vollständig in Zotero verwaltet.</w:t>
      </w:r>
    </w:p>
    <w:p>
      <w:pPr>
        <w:spacing w:after="120" w:line="360" w:lineRule="auto"/>
        <w:ind w:left="720" w:hanging="720"/>
      </w:pPr>
      <w:r>
        <w:rPr>
          <w:rFonts w:ascii="Arial" w:cs="Arial" w:eastAsia="Arial" w:hAnsi="Arial"/>
          <w:sz w:val="22"/>
          <w:szCs w:val="22"/>
        </w:rPr>
        <w:t xml:space="preserve">Bangor, A., Kortum, P. T., &amp; Miller, J. T. (2008). An empirical evaluation of the System Usability Scale. International Journal of Human-Computer Interaction, 24(6), 574–594. https://doi.org/10.1080/10447310802205776</w:t>
      </w:r>
    </w:p>
    <w:p>
      <w:pPr>
        <w:spacing w:after="120" w:line="360" w:lineRule="auto"/>
        <w:ind w:left="720" w:hanging="720"/>
      </w:pPr>
      <w:r>
        <w:rPr>
          <w:rFonts w:ascii="Arial" w:cs="Arial" w:eastAsia="Arial" w:hAnsi="Arial"/>
          <w:sz w:val="22"/>
          <w:szCs w:val="22"/>
        </w:rPr>
        <w:t xml:space="preserve">Brooke, J. (1996). SUS: A «quick and dirty» usability scale. In P. W. Jordan, B. Thomas, I. L. McClelland &amp; B. Weerdmeester (Hrsg.), Usability evaluation in industry (S. 189–194). Taylor &amp; Francis.</w:t>
      </w:r>
    </w:p>
    <w:p>
      <w:pPr>
        <w:spacing w:after="120" w:line="360" w:lineRule="auto"/>
        <w:ind w:left="720" w:hanging="720"/>
      </w:pPr>
      <w:r>
        <w:rPr>
          <w:rFonts w:ascii="Arial" w:cs="Arial" w:eastAsia="Arial" w:hAnsi="Arial"/>
          <w:sz w:val="22"/>
          <w:szCs w:val="22"/>
        </w:rPr>
        <w:t xml:space="preserve">Burr, C., Taddeo, M., &amp; Floridi, L. (2020). The ethics of digital well-being: A thematic review. Science and Engineering Ethics, 26, 2441–2460. https://doi.org/10.1007/s11948-020-00175-8</w:t>
      </w:r>
    </w:p>
    <w:p>
      <w:pPr>
        <w:spacing w:after="120" w:line="360" w:lineRule="auto"/>
        <w:ind w:left="720" w:hanging="720"/>
      </w:pPr>
      <w:r>
        <w:rPr>
          <w:rFonts w:ascii="Arial" w:cs="Arial" w:eastAsia="Arial" w:hAnsi="Arial"/>
          <w:sz w:val="22"/>
          <w:szCs w:val="22"/>
        </w:rPr>
        <w:t xml:space="preserve">Calvo, R. A., &amp; Peters, D. (2014). Positive computing: Technology for wellbeing and human potential. MIT Press.</w:t>
      </w:r>
    </w:p>
    <w:p>
      <w:pPr>
        <w:spacing w:after="120" w:line="360" w:lineRule="auto"/>
        <w:ind w:left="720" w:hanging="720"/>
      </w:pPr>
      <w:r>
        <w:rPr>
          <w:rFonts w:ascii="Arial" w:cs="Arial" w:eastAsia="Arial" w:hAnsi="Arial"/>
          <w:sz w:val="22"/>
          <w:szCs w:val="22"/>
        </w:rPr>
        <w:t xml:space="preserve">Fogg, B. J. (2003). The functional triad: Computers in persuasive roles. In Persuasive technology: Using computers to change what we think and do (Kap. 2, S. 23–29). Morgan Kaufmann. https://doi.org/10.1016/B978-1-55860-643-2.X5000-8</w:t>
      </w:r>
    </w:p>
    <w:p>
      <w:pPr>
        <w:spacing w:after="120" w:line="360" w:lineRule="auto"/>
        <w:ind w:left="720" w:hanging="720"/>
      </w:pPr>
      <w:r>
        <w:rPr>
          <w:rFonts w:ascii="Arial" w:cs="Arial" w:eastAsia="Arial" w:hAnsi="Arial"/>
          <w:sz w:val="22"/>
          <w:szCs w:val="22"/>
        </w:rPr>
        <w:t xml:space="preserve">Geschke, D., Lorenz, J., &amp; Holtz, P. (2019). The triple-filter bubble: Using agent-based modelling to test a meta-theoretical framework for the emergence of filter bubbles and echo chambers. British Journal of Social Psychology, 58(1), 129–149. https://doi.org/10.1111/bjso.12286</w:t>
      </w:r>
    </w:p>
    <w:p>
      <w:pPr>
        <w:spacing w:after="120" w:line="360" w:lineRule="auto"/>
        <w:ind w:left="720" w:hanging="720"/>
      </w:pPr>
      <w:r>
        <w:rPr>
          <w:rFonts w:ascii="Arial" w:cs="Arial" w:eastAsia="Arial" w:hAnsi="Arial"/>
          <w:sz w:val="22"/>
          <w:szCs w:val="22"/>
        </w:rPr>
        <w:t xml:space="preserve">Hendry, D. G., Friedman, B., &amp; Ballard, S. (2021). Value sensitive design as a formative framework. Ethics and Information Technology, 23(1), 39–44. https://doi.org/10.1007/s10676-021-09579-x</w:t>
      </w:r>
    </w:p>
    <w:p>
      <w:pPr>
        <w:spacing w:after="120" w:line="360" w:lineRule="auto"/>
        <w:ind w:left="720" w:hanging="720"/>
      </w:pPr>
      <w:r>
        <w:rPr>
          <w:rFonts w:ascii="Arial" w:cs="Arial" w:eastAsia="Arial" w:hAnsi="Arial"/>
          <w:sz w:val="22"/>
          <w:szCs w:val="22"/>
        </w:rPr>
        <w:t xml:space="preserve">Katz, E., Blumler, J. G., &amp; Gurevitch, M. (1973). Uses and gratifications research. Public Opinion Quarterly, 37(4), 509–523. https://doi.org/10.1086/268109</w:t>
      </w:r>
    </w:p>
    <w:p>
      <w:pPr>
        <w:spacing w:after="120" w:line="360" w:lineRule="auto"/>
        <w:ind w:left="720" w:hanging="720"/>
      </w:pPr>
      <w:r>
        <w:rPr>
          <w:rFonts w:ascii="Arial" w:cs="Arial" w:eastAsia="Arial" w:hAnsi="Arial"/>
          <w:sz w:val="22"/>
          <w:szCs w:val="22"/>
        </w:rPr>
        <w:t xml:space="preserve">Milano, S., Taddeo, M., &amp; Floridi, L. (2020). Recommender systems and their ethical challenges. AI &amp; Society, 35, 957–967. https://doi.org/10.1007/s00146-020-00950-y</w:t>
      </w:r>
    </w:p>
    <w:p>
      <w:pPr>
        <w:spacing w:after="120" w:line="360" w:lineRule="auto"/>
        <w:ind w:left="720" w:hanging="720"/>
      </w:pPr>
      <w:r>
        <w:rPr>
          <w:rFonts w:ascii="Arial" w:cs="Arial" w:eastAsia="Arial" w:hAnsi="Arial"/>
          <w:sz w:val="22"/>
          <w:szCs w:val="22"/>
        </w:rPr>
        <w:t xml:space="preserve">Montag, C., &amp; Elhai, J. D. (2023). On social media design, (online-)time well-spent and addictive behaviors in the age of surveillance capitalism. Current Addiction Reports, 10(4), 384–395. https://doi.org/10.1007/s40429-023-00494-3</w:t>
      </w:r>
    </w:p>
    <w:p>
      <w:pPr>
        <w:spacing w:after="120" w:line="360" w:lineRule="auto"/>
        <w:ind w:left="720" w:hanging="720"/>
      </w:pPr>
      <w:r>
        <w:rPr>
          <w:rFonts w:ascii="Arial" w:cs="Arial" w:eastAsia="Arial" w:hAnsi="Arial"/>
          <w:sz w:val="22"/>
          <w:szCs w:val="22"/>
        </w:rPr>
        <w:t xml:space="preserve">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pPr>
        <w:spacing w:after="120" w:line="360" w:lineRule="auto"/>
        <w:ind w:left="720" w:hanging="720"/>
      </w:pPr>
      <w:r>
        <w:rPr>
          <w:rFonts w:ascii="Arial" w:cs="Arial" w:eastAsia="Arial" w:hAnsi="Arial"/>
          <w:sz w:val="22"/>
          <w:szCs w:val="22"/>
        </w:rPr>
        <w:t xml:space="preserve">Nguyen, T. T., Hui, P.-M., Harper, F. M., Terveen, L., &amp; Konstan, J. A. (2014). Exploring the filter bubble: The effect of using recommender systems on content diversity. In Proceedings of the 23rd International Conference on World Wide Web (S. 677–686). ACM. https://doi.org/10.1145/2566486.2568012</w:t>
      </w:r>
    </w:p>
    <w:p>
      <w:pPr>
        <w:spacing w:after="120" w:line="360" w:lineRule="auto"/>
        <w:ind w:left="720" w:hanging="720"/>
      </w:pPr>
      <w:r>
        <w:rPr>
          <w:rFonts w:ascii="Arial" w:cs="Arial" w:eastAsia="Arial" w:hAnsi="Arial"/>
          <w:sz w:val="22"/>
          <w:szCs w:val="22"/>
        </w:rPr>
        <w:t xml:space="preserve">Orben, A. (2020). Teenagers, screens and social media: A narrative review of reviews and key studies. Social Psychiatry and Psychiatric Epidemiology, 55(4), 407–414. https://doi.org/10.1007/s00127-019-01825-4</w:t>
      </w:r>
    </w:p>
    <w:p>
      <w:pPr>
        <w:spacing w:after="120" w:line="360" w:lineRule="auto"/>
        <w:ind w:left="720" w:hanging="720"/>
      </w:pPr>
      <w:r>
        <w:rPr>
          <w:rFonts w:ascii="Arial" w:cs="Arial" w:eastAsia="Arial" w:hAnsi="Arial"/>
          <w:sz w:val="22"/>
          <w:szCs w:val="22"/>
        </w:rPr>
        <w:t xml:space="preserve">Pariser, E. (2011). The filter bubble: What the internet is hiding from you. Penguin Press.</w:t>
      </w:r>
    </w:p>
    <w:p>
      <w:pPr>
        <w:spacing w:after="120" w:line="360" w:lineRule="auto"/>
        <w:ind w:left="720" w:hanging="720"/>
      </w:pPr>
      <w:r>
        <w:rPr>
          <w:rFonts w:ascii="Arial" w:cs="Arial" w:eastAsia="Arial" w:hAnsi="Arial"/>
          <w:sz w:val="22"/>
          <w:szCs w:val="22"/>
        </w:rPr>
        <w:t xml:space="preserve">Peters, D., Ahmadpour, N., &amp; Calvo, R. A. (2020). Tools for wellbeing-supportive design: Features, characteristics, and prototypes. Multimodal Technologies and Interaction, 4(3), 40. https://doi.org/10.3390/mti4030040</w:t>
      </w:r>
    </w:p>
    <w:p>
      <w:pPr>
        <w:spacing w:after="120" w:line="360" w:lineRule="auto"/>
        <w:ind w:left="720" w:hanging="720"/>
      </w:pPr>
      <w:r>
        <w:rPr>
          <w:rFonts w:ascii="Arial" w:cs="Arial" w:eastAsia="Arial" w:hAnsi="Arial"/>
          <w:sz w:val="22"/>
          <w:szCs w:val="22"/>
        </w:rPr>
        <w:t xml:space="preserve">Peters, D., Calvo, R. A., &amp; Ryan, R. M. (2018). Designing for motivation, engagement and wellbeing in digital experience. Frontiers in Psychology, 9, 797. https://doi.org/10.3389/fpsyg.2018.00797</w:t>
      </w:r>
    </w:p>
    <w:p>
      <w:pPr>
        <w:spacing w:after="120" w:line="360" w:lineRule="auto"/>
        <w:ind w:left="720" w:hanging="720"/>
      </w:pPr>
      <w:r>
        <w:rPr>
          <w:rFonts w:ascii="Arial" w:cs="Arial" w:eastAsia="Arial" w:hAnsi="Arial"/>
          <w:sz w:val="22"/>
          <w:szCs w:val="22"/>
        </w:rPr>
        <w:t xml:space="preserve">Reviglio, U., &amp; Agosti, C. (2020). Thinking outside the black-box: The case for «algorithmic sovereignty» in social media. Social Media + Society, 6(2), 1–12. https://doi.org/10.1177/2056305120915613</w:t>
      </w:r>
    </w:p>
    <w:p>
      <w:pPr>
        <w:spacing w:after="120" w:line="360" w:lineRule="auto"/>
        <w:ind w:left="720" w:hanging="720"/>
      </w:pPr>
      <w:r>
        <w:rPr>
          <w:rFonts w:ascii="Arial" w:cs="Arial" w:eastAsia="Arial" w:hAnsi="Arial"/>
          <w:sz w:val="22"/>
          <w:szCs w:val="22"/>
        </w:rPr>
        <w:t xml:space="preserve">Ricci, F., Rokach, L., &amp; Shapira, B. (Hrsg.). (2015). Recommender systems handbook (2. Aufl.). Springer. https://doi.org/10.1007/978-1-4899-7637-6</w:t>
      </w:r>
    </w:p>
    <w:p>
      <w:pPr>
        <w:spacing w:after="120" w:line="360" w:lineRule="auto"/>
        <w:ind w:left="720" w:hanging="720"/>
      </w:pPr>
      <w:r>
        <w:rPr>
          <w:rFonts w:ascii="Arial" w:cs="Arial" w:eastAsia="Arial" w:hAnsi="Arial"/>
          <w:sz w:val="22"/>
          <w:szCs w:val="22"/>
        </w:rPr>
        <w:t xml:space="preserve">Ryan, R. M., &amp; Deci, E. L. (2000). Self-determination theory and the facilitation of intrinsic motivation, social development, and well-being. American Psychologist, 55(1), 68–78. https://doi.org/10.1037/0003-066X.55.1.68</w:t>
      </w:r>
    </w:p>
    <w:p>
      <w:pPr>
        <w:spacing w:after="120" w:line="360" w:lineRule="auto"/>
        <w:ind w:left="720" w:hanging="720"/>
      </w:pPr>
      <w:r>
        <w:rPr>
          <w:rFonts w:ascii="Arial" w:cs="Arial" w:eastAsia="Arial" w:hAnsi="Arial"/>
          <w:sz w:val="22"/>
          <w:szCs w:val="22"/>
        </w:rPr>
        <w:t xml:space="preserve">Sunstein, C. R. (2017). Polarization. In #Republic: Divided democracy in the age of social media (Kap. 3, S. 59–97). Princeton University Press.</w:t>
      </w:r>
    </w:p>
    <w:p>
      <w:pPr>
        <w:spacing w:after="120" w:line="360" w:lineRule="auto"/>
        <w:ind w:left="720" w:hanging="720"/>
      </w:pPr>
      <w:r>
        <w:rPr>
          <w:rFonts w:ascii="Arial" w:cs="Arial" w:eastAsia="Arial" w:hAnsi="Arial"/>
          <w:sz w:val="22"/>
          <w:szCs w:val="22"/>
        </w:rPr>
        <w:t xml:space="preserve">Vanden Abeele, M. M. P. (2021). Digital wellbeing as a dynamic construct. Communication Theory, 31(4), 932–955. https://doi.org/10.1093/ct/qtaa024</w:t>
      </w:r>
    </w:p>
    <w:p>
      <w:pPr>
        <w:spacing w:after="120" w:line="360" w:lineRule="auto"/>
        <w:ind w:left="720" w:hanging="720"/>
      </w:pPr>
      <w:r>
        <w:rPr>
          <w:rFonts w:ascii="Arial" w:cs="Arial" w:eastAsia="Arial" w:hAnsi="Arial"/>
          <w:sz w:val="22"/>
          <w:szCs w:val="22"/>
        </w:rPr>
        <w:t xml:space="preserve">Verduyn, P., Lee, D. S., Park, J., Shablack, H., Orvell, A., Bayer, J., Ybarra, O., Jonides, J., &amp; Kross, E. (2015). Passive Facebook usage undermines affective well-being: Experimental and longitudinal evidence. Journal of Experimental Psychology: General, 144(2), 480–488. https://doi.org/10.1037/xge0000057</w:t>
      </w:r>
    </w:p>
    <w:p>
      <w:pPr>
        <w:spacing w:after="120" w:line="360" w:lineRule="auto"/>
        <w:ind w:left="720" w:hanging="720"/>
      </w:pPr>
      <w:r>
        <w:rPr>
          <w:rFonts w:ascii="Arial" w:cs="Arial" w:eastAsia="Arial" w:hAnsi="Arial"/>
          <w:sz w:val="22"/>
          <w:szCs w:val="22"/>
        </w:rPr>
        <w:t xml:space="preserve">Vosoughi, S., Roy, D., &amp; Aral, S. (2018). The spread of true and false news online. Science, 359(6380), 1146–1151. https://doi.org/10.1126/science.aap9559</w:t>
      </w:r>
    </w:p>
    <w:p>
      <w:pPr>
        <w:spacing w:after="120" w:line="360" w:lineRule="auto"/>
        <w:ind w:left="720" w:hanging="720"/>
      </w:pPr>
      <w:r>
        <w:rPr>
          <w:rFonts w:ascii="Arial" w:cs="Arial" w:eastAsia="Arial" w:hAnsi="Arial"/>
          <w:sz w:val="22"/>
          <w:szCs w:val="22"/>
        </w:rPr>
        <w:t xml:space="preserve">Weinmann, M., Schneider, C., &amp; vom Brocke, J. (2016). Digital nudging. Business &amp; Information Systems Engineering, 58(6), 433–436. https://doi.org/10.1007/s12599-016-0453-3</w:t>
      </w:r>
    </w:p>
    <w:p>
      <w:pPr>
        <w:spacing w:after="120" w:line="360" w:lineRule="auto"/>
        <w:ind w:left="720" w:hanging="720"/>
      </w:pPr>
      <w:r>
        <w:rPr>
          <w:rFonts w:ascii="Arial" w:cs="Arial" w:eastAsia="Arial" w:hAnsi="Arial"/>
          <w:sz w:val="22"/>
          <w:szCs w:val="22"/>
        </w:rPr>
        <w:t xml:space="preserve">Zuboff, S. (2019). The discovery of behavioral surplus. In The age of surveillance capitalism: The fight for a human future at the new frontier of power (Kap. 3, S. 63–97). PublicAffairs.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Seite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von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Un-named</cp:lastModifiedBy>
  <cp:revision>1</cp:revision>
  <dcterms:created xsi:type="dcterms:W3CDTF">2026-04-25T15:46:36.963Z</dcterms:created>
  <dcterms:modified xsi:type="dcterms:W3CDTF">2026-04-25T15:46:36.964Z</dcterms:modified>
</cp:coreProperties>
</file>

<file path=docProps/custom.xml><?xml version="1.0" encoding="utf-8"?>
<Properties xmlns="http://schemas.openxmlformats.org/officeDocument/2006/custom-properties" xmlns:vt="http://schemas.openxmlformats.org/officeDocument/2006/docPropsVTypes"/>
</file>