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exact" w:line="20"/>
        <w:ind w:left="0" w:firstLine="0"/>
        <w:pBdr>
          <w:bottom w:val="single" w:sz="5" w:space="1" w:color="55595D"/>
        </w:pBdr>
      </w:pPr>
      <w:r>
        <w:rPr>
          <w:rFonts w:ascii="DejaVu Serif" w:hAnsi="DejaVu Serif" w:eastAsia="DejaVu Serif" w:cs="DejaVu Serif"/>
          <w:b w:val="0"/>
          <w:sz w:val="2"/>
        </w:rPr>
        <w:t xml:space="preserve"> </w:t>
      </w:r>
    </w:p>
    <w:p>
      <w:pPr>
        <w:spacing w:before="0" w:after="160" w:lineRule="exact" w:line="460"/>
        <w:ind w:left="0" w:firstLine="0"/>
        <w:jc w:val="center"/>
      </w:pPr>
      <w:r>
        <w:rPr>
          <w:rFonts w:ascii="DejaVu Serif" w:hAnsi="DejaVu Serif" w:eastAsia="DejaVu Serif" w:cs="DejaVu Serif"/>
          <w:b/>
          <w:sz w:val="46"/>
        </w:rPr>
        <w:t>Chiamaka Oluchieze</w:t>
      </w:r>
    </w:p>
    <w:p>
      <w:pPr>
        <w:spacing w:before="0" w:after="0" w:lineRule="exact" w:line="260"/>
        <w:ind w:left="0" w:firstLine="0"/>
        <w:jc w:val="center"/>
      </w:pPr>
      <w:r>
        <w:rPr>
          <w:rFonts w:ascii="DejaVu Serif" w:hAnsi="DejaVu Serif" w:eastAsia="DejaVu Serif" w:cs="DejaVu Serif"/>
          <w:b/>
          <w:sz w:val="25"/>
        </w:rPr>
        <w:t>DIGITAL MEDIA &amp; COMMUNICATIONS SPECIALIST | SOCIAL MEDIA</w:t>
      </w:r>
    </w:p>
    <w:p>
      <w:pPr>
        <w:spacing w:before="0" w:after="0" w:lineRule="exact" w:line="260"/>
        <w:ind w:left="0" w:firstLine="0"/>
        <w:jc w:val="center"/>
      </w:pPr>
      <w:r>
        <w:rPr>
          <w:rFonts w:ascii="DejaVu Serif" w:hAnsi="DejaVu Serif" w:eastAsia="DejaVu Serif" w:cs="DejaVu Serif"/>
          <w:b/>
          <w:sz w:val="25"/>
        </w:rPr>
        <w:t>&amp; VIDEO CONTENT MANAGER | VIRTUAL ASSISTANT &amp; PROGRAM</w:t>
      </w:r>
    </w:p>
    <w:p>
      <w:pPr>
        <w:spacing w:before="0" w:after="140" w:lineRule="exact" w:line="260"/>
        <w:ind w:left="0" w:firstLine="0"/>
        <w:jc w:val="center"/>
      </w:pPr>
      <w:r>
        <w:rPr>
          <w:rFonts w:ascii="DejaVu Serif" w:hAnsi="DejaVu Serif" w:eastAsia="DejaVu Serif" w:cs="DejaVu Serif"/>
          <w:b/>
          <w:sz w:val="25"/>
        </w:rPr>
        <w:t>COORDINATOR</w:t>
      </w:r>
    </w:p>
    <w:p>
      <w:pPr>
        <w:spacing w:before="0" w:after="20" w:lineRule="exact" w:line="20"/>
        <w:ind w:left="0" w:firstLine="0"/>
        <w:pBdr>
          <w:bottom w:val="single" w:sz="12" w:space="1" w:color="55595D"/>
        </w:pBdr>
      </w:pPr>
      <w:r>
        <w:rPr>
          <w:rFonts w:ascii="DejaVu Serif" w:hAnsi="DejaVu Serif" w:eastAsia="DejaVu Serif" w:cs="DejaVu Serif"/>
          <w:b w:val="0"/>
          <w:sz w:val="2"/>
        </w:rPr>
        <w:t xml:space="preserve"> </w:t>
      </w:r>
    </w:p>
    <w:p>
      <w:pPr>
        <w:spacing w:before="0" w:after="220" w:lineRule="exact" w:line="20"/>
        <w:ind w:left="0" w:firstLine="0"/>
        <w:pBdr>
          <w:bottom w:val="single" w:sz="6" w:space="1" w:color="55595D"/>
        </w:pBdr>
      </w:pPr>
      <w:r>
        <w:rPr>
          <w:rFonts w:ascii="DejaVu Serif" w:hAnsi="DejaVu Serif" w:eastAsia="DejaVu Serif" w:cs="DejaVu Serif"/>
          <w:b w:val="0"/>
          <w:sz w:val="2"/>
        </w:rPr>
        <w:t xml:space="preserve"> </w:t>
      </w:r>
    </w:p>
    <w:p>
      <w:pPr>
        <w:spacing w:before="0" w:after="260" w:lineRule="exact" w:line="240"/>
        <w:ind w:left="0" w:firstLine="0"/>
        <w:jc w:val="center"/>
      </w:pPr>
      <w:r>
        <w:rPr>
          <w:rFonts w:ascii="DejaVu Serif" w:hAnsi="DejaVu Serif" w:eastAsia="DejaVu Serif" w:cs="DejaVu Serif"/>
          <w:b w:val="0"/>
          <w:sz w:val="18"/>
        </w:rPr>
        <w:t>Asaba, Delta, 320001 NG ◆ 09045322188 ◆ chiamakag939@gmail.com</w:t>
      </w:r>
    </w:p>
    <w:p>
      <w:pPr>
        <w:spacing w:before="0" w:after="120" w:lineRule="exact" w:line="20"/>
        <w:ind w:left="0" w:firstLine="0"/>
      </w:pPr>
    </w:p>
    <w:tbl>
      <w:tblPr>
        <w:tblW w:type="auto" w:w="0"/>
        <w:jc w:val="center"/>
        <w:tblLayout w:type="fixed"/>
        <w:tblLook w:firstColumn="1" w:firstRow="1" w:lastColumn="0" w:lastRow="0" w:noHBand="0" w:noVBand="1" w:val="04A0"/>
      </w:tblPr>
      <w:tblGrid>
        <w:gridCol w:w="2700"/>
        <w:gridCol w:w="4680"/>
        <w:gridCol w:w="2700"/>
      </w:tblGrid>
      <w:tr>
        <w:tc>
          <w:tcPr>
            <w:tcW w:type="dxa" w:w="2700"/>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c>
          <w:tcPr>
            <w:tcW w:type="dxa" w:w="4680"/>
            <w:tcBorders>
              <w:top w:val="nil"/>
              <w:left w:val="nil"/>
              <w:bottom w:val="nil"/>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r>
              <w:rPr>
                <w:rFonts w:ascii="DejaVu Serif" w:hAnsi="DejaVu Serif" w:eastAsia="DejaVu Serif" w:cs="DejaVu Serif"/>
                <w:b/>
                <w:sz w:val="26"/>
              </w:rPr>
              <w:t>PROFESSIONAL SUMMARY</w:t>
            </w:r>
          </w:p>
        </w:tc>
        <w:tc>
          <w:tcPr>
            <w:tcW w:type="dxa" w:w="2700"/>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r>
    </w:tbl>
    <w:p>
      <w:pPr>
        <w:spacing w:before="0" w:after="140" w:lineRule="exact" w:line="20"/>
        <w:ind w:left="0" w:firstLine="0"/>
      </w:pPr>
    </w:p>
    <w:p>
      <w:pPr>
        <w:spacing w:before="0" w:after="120" w:lineRule="exact" w:line="300"/>
        <w:ind w:left="0" w:firstLine="0"/>
        <w:jc w:val="left"/>
      </w:pPr>
      <w:r>
        <w:rPr>
          <w:rFonts w:ascii="DejaVu Serif" w:hAnsi="DejaVu Serif" w:eastAsia="DejaVu Serif" w:cs="DejaVu Serif"/>
          <w:b w:val="0"/>
          <w:sz w:val="20"/>
        </w:rPr>
        <w:t>Strategic Digital Media and Communications Professional with four years of experience in content creation, social media management, and community engagement. Specializes in developing engaging digital content, managing online communities, and coordinating projects. Expertise in social media strategy, video production, and administrative support enhances brand visibility and strengthens audience engagement.</w:t>
      </w:r>
    </w:p>
    <w:p>
      <w:pPr>
        <w:spacing w:before="0" w:after="240" w:lineRule="exact" w:line="20"/>
        <w:ind w:left="0" w:firstLine="0"/>
      </w:pPr>
    </w:p>
    <w:tbl>
      <w:tblPr>
        <w:tblW w:type="auto" w:w="0"/>
        <w:jc w:val="center"/>
        <w:tblLayout w:type="fixed"/>
        <w:tblLook w:firstColumn="1" w:firstRow="1" w:lastColumn="0" w:lastRow="0" w:noHBand="0" w:noVBand="1" w:val="04A0"/>
      </w:tblPr>
      <w:tblGrid>
        <w:gridCol w:w="4248"/>
        <w:gridCol w:w="1584"/>
        <w:gridCol w:w="4248"/>
      </w:tblGrid>
      <w:tr>
        <w:tc>
          <w:tcPr>
            <w:tcW w:type="dxa" w:w="4248"/>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c>
          <w:tcPr>
            <w:tcW w:type="dxa" w:w="1584"/>
            <w:tcBorders>
              <w:top w:val="nil"/>
              <w:left w:val="nil"/>
              <w:bottom w:val="nil"/>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r>
              <w:rPr>
                <w:rFonts w:ascii="DejaVu Serif" w:hAnsi="DejaVu Serif" w:eastAsia="DejaVu Serif" w:cs="DejaVu Serif"/>
                <w:b/>
                <w:sz w:val="26"/>
              </w:rPr>
              <w:t>SKILLS</w:t>
            </w:r>
          </w:p>
        </w:tc>
        <w:tc>
          <w:tcPr>
            <w:tcW w:type="dxa" w:w="4248"/>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r>
    </w:tbl>
    <w:p>
      <w:pPr>
        <w:spacing w:before="0" w:after="140" w:lineRule="exact" w:line="20"/>
        <w:ind w:left="0" w:firstLine="0"/>
      </w:pPr>
    </w:p>
    <w:tbl>
      <w:tblPr>
        <w:tblW w:type="auto" w:w="0"/>
        <w:jc w:val="left"/>
        <w:tblLayout w:type="fixed"/>
        <w:tblLook w:firstColumn="1" w:firstRow="1" w:lastColumn="0" w:lastRow="0" w:noHBand="0" w:noVBand="1" w:val="04A0"/>
      </w:tblPr>
      <w:tblGrid>
        <w:gridCol w:w="5069"/>
        <w:gridCol w:w="5069"/>
      </w:tblGrid>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Lead generation</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Partnership building</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Fundraising strategies</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Digital marketing</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Brand Strategy</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Customer engagement</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Long-term planning</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Operational Management</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Content calendars</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Visual Communication</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t>Communication</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70" w:lineRule="exact" w:line="264"/>
              <w:ind w:left="0" w:firstLine="0"/>
            </w:pPr>
            <w:r>
              <w:rPr>
                <w:rFonts w:ascii="DejaVu Serif" w:hAnsi="DejaVu Serif" w:eastAsia="DejaVu Serif" w:cs="DejaVu Serif"/>
                <w:b w:val="0"/>
                <w:sz w:val="20"/>
              </w:rPr>
            </w:r>
          </w:p>
        </w:tc>
      </w:tr>
    </w:tbl>
    <w:p>
      <w:pPr>
        <w:spacing w:before="0" w:after="320" w:lineRule="exact" w:line="20"/>
        <w:ind w:left="0" w:firstLine="0"/>
      </w:pPr>
    </w:p>
    <w:tbl>
      <w:tblPr>
        <w:tblW w:type="auto" w:w="0"/>
        <w:jc w:val="center"/>
        <w:tblLayout w:type="fixed"/>
        <w:tblLook w:firstColumn="1" w:firstRow="1" w:lastColumn="0" w:lastRow="0" w:noHBand="0" w:noVBand="1" w:val="04A0"/>
      </w:tblPr>
      <w:tblGrid>
        <w:gridCol w:w="3744"/>
        <w:gridCol w:w="2592"/>
        <w:gridCol w:w="3744"/>
      </w:tblGrid>
      <w:tr>
        <w:tc>
          <w:tcPr>
            <w:tcW w:type="dxa" w:w="3744"/>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c>
          <w:tcPr>
            <w:tcW w:type="dxa" w:w="2592"/>
            <w:tcBorders>
              <w:top w:val="nil"/>
              <w:left w:val="nil"/>
              <w:bottom w:val="nil"/>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r>
              <w:rPr>
                <w:rFonts w:ascii="DejaVu Serif" w:hAnsi="DejaVu Serif" w:eastAsia="DejaVu Serif" w:cs="DejaVu Serif"/>
                <w:b/>
                <w:sz w:val="26"/>
              </w:rPr>
              <w:t>WORK HISTORY</w:t>
            </w:r>
          </w:p>
        </w:tc>
        <w:tc>
          <w:tcPr>
            <w:tcW w:type="dxa" w:w="3744"/>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r>
    </w:tbl>
    <w:p>
      <w:pPr>
        <w:spacing w:before="0" w:after="160" w:lineRule="exact" w:line="20"/>
        <w:ind w:left="0" w:firstLine="0"/>
      </w:pPr>
    </w:p>
    <w:p>
      <w:pPr>
        <w:spacing w:before="0" w:after="0" w:lineRule="exact" w:line="252"/>
        <w:ind w:left="0" w:firstLine="0"/>
      </w:pPr>
      <w:r>
        <w:rPr>
          <w:rFonts w:ascii="DejaVu Serif" w:hAnsi="DejaVu Serif" w:eastAsia="DejaVu Serif" w:cs="DejaVu Serif"/>
          <w:b/>
          <w:sz w:val="21"/>
        </w:rPr>
        <w:t>CO- FOUNDER</w:t>
      </w:r>
      <w:r>
        <w:rPr>
          <w:rFonts w:ascii="DejaVu Serif" w:hAnsi="DejaVu Serif" w:eastAsia="DejaVu Serif" w:cs="DejaVu Serif"/>
          <w:b w:val="0"/>
          <w:sz w:val="21"/>
        </w:rPr>
        <w:t>, 02/2026 - Current</w:t>
      </w:r>
    </w:p>
    <w:p>
      <w:pPr>
        <w:spacing w:before="0" w:after="100" w:lineRule="exact" w:line="252"/>
        <w:ind w:left="0" w:firstLine="0"/>
      </w:pPr>
      <w:r>
        <w:rPr>
          <w:rFonts w:ascii="DejaVu Serif" w:hAnsi="DejaVu Serif" w:eastAsia="DejaVu Serif" w:cs="DejaVu Serif"/>
          <w:b/>
          <w:sz w:val="20"/>
        </w:rPr>
        <w:t>TRUE VOX MEDIA</w:t>
      </w:r>
      <w:r>
        <w:rPr>
          <w:rFonts w:ascii="DejaVu Serif" w:hAnsi="DejaVu Serif" w:eastAsia="DejaVu Serif" w:cs="DejaVu Serif"/>
          <w:b w:val="0"/>
          <w:sz w:val="20"/>
        </w:rPr>
        <w:t xml:space="preserve"> - No. 121 DLA Road Before Royal Mira Junction Asaba</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Developed and executed innovative marketing strategies to enhance brand visibility and audience engagement.</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Develop and implement content strategies to enhance brand visibility, audience engagement, and consistency across social media platforms.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Collaborated with creative teams to produce high-quality multimedia content aligned with client objectives.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Managed community engagement through audience interaction, timely responses to comments and messages, and cultivation of active online relationships.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Provided creative direction and branding oversight, ensuring consistency in tone, messaging, and visual identity across all content.</w:t>
      </w:r>
    </w:p>
    <w:p>
      <w:r>
        <w:br w:type="page"/>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Developed and implemented content strategies to improve brand visibility, engage audiences, and maintain consistency across social media platforms.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Provide creative direction and branding oversight to ensure consistency in tone, messaging, and visual identity across all content.</w:t>
      </w:r>
    </w:p>
    <w:p>
      <w:pPr>
        <w:spacing w:before="0" w:after="160" w:lineRule="exact" w:line="20"/>
        <w:ind w:left="0" w:firstLine="0"/>
      </w:pPr>
    </w:p>
    <w:p>
      <w:pPr>
        <w:spacing w:before="0" w:after="0" w:lineRule="exact" w:line="252"/>
        <w:ind w:left="0" w:firstLine="0"/>
      </w:pPr>
      <w:r>
        <w:rPr>
          <w:rFonts w:ascii="DejaVu Serif" w:hAnsi="DejaVu Serif" w:eastAsia="DejaVu Serif" w:cs="DejaVu Serif"/>
          <w:b/>
          <w:sz w:val="21"/>
        </w:rPr>
        <w:t>HR AND SALES CONSULTANT</w:t>
      </w:r>
      <w:r>
        <w:rPr>
          <w:rFonts w:ascii="DejaVu Serif" w:hAnsi="DejaVu Serif" w:eastAsia="DejaVu Serif" w:cs="DejaVu Serif"/>
          <w:b w:val="0"/>
          <w:sz w:val="21"/>
        </w:rPr>
        <w:t>, 12/2025 - 03/2026</w:t>
      </w:r>
    </w:p>
    <w:p>
      <w:pPr>
        <w:spacing w:before="0" w:after="100" w:lineRule="exact" w:line="252"/>
        <w:ind w:left="0" w:firstLine="0"/>
      </w:pPr>
      <w:r>
        <w:rPr>
          <w:rFonts w:ascii="DejaVu Serif" w:hAnsi="DejaVu Serif" w:eastAsia="DejaVu Serif" w:cs="DejaVu Serif"/>
          <w:b/>
          <w:sz w:val="20"/>
        </w:rPr>
        <w:t>G-ANGELS</w:t>
      </w:r>
      <w:r>
        <w:rPr>
          <w:rFonts w:ascii="DejaVu Serif" w:hAnsi="DejaVu Serif" w:eastAsia="DejaVu Serif" w:cs="DejaVu Serif"/>
          <w:b w:val="0"/>
          <w:sz w:val="20"/>
        </w:rPr>
        <w:t xml:space="preserve"> - Asaba, Delta State</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Managed client outreach and sales engagement to identify prospects and generate leads, supporting conversion into business opportunities.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Executed daily sales strategies to meet departmental goals effectively.</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Developed and implemented structured HR and sales workflows, enhancing operational efficiency and service delivery.</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Supported recruitment processes including candidate screening, coordination of interviews, and communication with applicants.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Conducted market and talent research to support recruitment strategies and improve business positioning.</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Maintained client and candidate records, tracked engagement activities, and ensured accurate documentation of processes.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Implemented sales strategies daily to enhance customer engagement to meet departmental goals effectively.</w:t>
      </w:r>
    </w:p>
    <w:p>
      <w:pPr>
        <w:spacing w:before="0" w:after="160" w:lineRule="exact" w:line="20"/>
        <w:ind w:left="0" w:firstLine="0"/>
      </w:pPr>
    </w:p>
    <w:p>
      <w:pPr>
        <w:spacing w:before="0" w:after="0" w:lineRule="exact" w:line="252"/>
        <w:ind w:left="0" w:firstLine="0"/>
      </w:pPr>
      <w:r>
        <w:rPr>
          <w:rFonts w:ascii="DejaVu Serif" w:hAnsi="DejaVu Serif" w:eastAsia="DejaVu Serif" w:cs="DejaVu Serif"/>
          <w:b/>
          <w:sz w:val="21"/>
        </w:rPr>
        <w:t>MEDIA DIRECTOR</w:t>
      </w:r>
      <w:r>
        <w:rPr>
          <w:rFonts w:ascii="DejaVu Serif" w:hAnsi="DejaVu Serif" w:eastAsia="DejaVu Serif" w:cs="DejaVu Serif"/>
          <w:b w:val="0"/>
          <w:sz w:val="21"/>
        </w:rPr>
        <w:t>, 03/2022 - 03/2026</w:t>
      </w:r>
    </w:p>
    <w:p>
      <w:pPr>
        <w:spacing w:before="0" w:after="100" w:lineRule="exact" w:line="252"/>
        <w:ind w:left="0" w:firstLine="0"/>
      </w:pPr>
      <w:r>
        <w:rPr>
          <w:rFonts w:ascii="DejaVu Serif" w:hAnsi="DejaVu Serif" w:eastAsia="DejaVu Serif" w:cs="DejaVu Serif"/>
          <w:b/>
          <w:sz w:val="20"/>
        </w:rPr>
        <w:t>TLWC</w:t>
      </w:r>
      <w:r>
        <w:rPr>
          <w:rFonts w:ascii="DejaVu Serif" w:hAnsi="DejaVu Serif" w:eastAsia="DejaVu Serif" w:cs="DejaVu Serif"/>
          <w:b w:val="0"/>
          <w:sz w:val="20"/>
        </w:rPr>
        <w:t xml:space="preserve"> - Asaba, Delta, Nigeria</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Designed and initiated strategic media campaigns to boost brand visibility.</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Regularly schedule and direct weekly social media content across Instagram, Facebook, and TikTok to strengthen brand visibility, audience engagement, and online presence.</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Coordinated digital programs to streamline administrative processes and enhance project execution and administrative activities, including calendar management documentation, to ensure timely execution of objectives.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Facilitated virtual administrative support through online research, file organization, and document preparation, enhancing operational efficiency.</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Contributed to content planning and campaign execution, reinforcing communication objectives and maintaining brand consistency across digital platforms.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Coordinate digital programs and administrative activities, including calendar management documentation, to ensure timely execution of objectives.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Facilitate virtual administrative support through online research, file organization, and document preparation to enhance operational efficiency.</w:t>
      </w:r>
    </w:p>
    <w:p>
      <w:pPr>
        <w:spacing w:before="0" w:after="160" w:lineRule="exact" w:line="20"/>
        <w:ind w:left="0" w:firstLine="0"/>
      </w:pPr>
    </w:p>
    <w:p>
      <w:pPr>
        <w:spacing w:before="0" w:after="0" w:lineRule="exact" w:line="252"/>
        <w:ind w:left="0" w:firstLine="0"/>
      </w:pPr>
      <w:r>
        <w:rPr>
          <w:rFonts w:ascii="DejaVu Serif" w:hAnsi="DejaVu Serif" w:eastAsia="DejaVu Serif" w:cs="DejaVu Serif"/>
          <w:b/>
          <w:sz w:val="21"/>
        </w:rPr>
        <w:t>BUSINESS DEVELOPMENT EXECUTIVE</w:t>
      </w:r>
      <w:r>
        <w:rPr>
          <w:rFonts w:ascii="DejaVu Serif" w:hAnsi="DejaVu Serif" w:eastAsia="DejaVu Serif" w:cs="DejaVu Serif"/>
          <w:b w:val="0"/>
          <w:sz w:val="21"/>
        </w:rPr>
        <w:t>, 10/2025 - 12/2025</w:t>
      </w:r>
    </w:p>
    <w:p>
      <w:pPr>
        <w:spacing w:before="0" w:after="100" w:lineRule="exact" w:line="252"/>
        <w:ind w:left="0" w:firstLine="0"/>
      </w:pPr>
      <w:r>
        <w:rPr>
          <w:rFonts w:ascii="DejaVu Serif" w:hAnsi="DejaVu Serif" w:eastAsia="DejaVu Serif" w:cs="DejaVu Serif"/>
          <w:b/>
          <w:sz w:val="20"/>
        </w:rPr>
        <w:t>ZAGASM</w:t>
      </w:r>
      <w:r>
        <w:rPr>
          <w:rFonts w:ascii="DejaVu Serif" w:hAnsi="DejaVu Serif" w:eastAsia="DejaVu Serif" w:cs="DejaVu Serif"/>
          <w:b w:val="0"/>
          <w:sz w:val="20"/>
        </w:rPr>
        <w:t xml:space="preserve"> - Asaba, Delta, Nigeria</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Acted as a Business Development Executive at Zagasm, driving business growth through lead generation, client outreach, and relationship management.</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Conducted cold outreach via email and telephone to identify prospects and generate qualified leads for new business opportunities.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Collaborated with cross-functional teams to execute business development strategies aligned with organizational goals and growth targets.</w:t>
      </w:r>
    </w:p>
    <w:p>
      <w:r>
        <w:br w:type="page"/>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Collaborated with cross-functional teams to implement business development strategies that aligned with organizational goals and supported growth targets.</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Conducted market research and competitor analysis to identify emerging opportunities and support strategic decision</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Maintained prospect database, tracked outreach activities, and supported the sales pipeline through consistent follow-up and communication.</w:t>
      </w:r>
    </w:p>
    <w:p>
      <w:pPr>
        <w:spacing w:before="0" w:after="44" w:lineRule="exact" w:line="242"/>
        <w:ind w:left="540" w:hanging="260"/>
      </w:pPr>
      <w:r>
        <w:rPr>
          <w:rFonts w:ascii="DejaVu Serif" w:hAnsi="DejaVu Serif" w:eastAsia="DejaVu Serif" w:cs="DejaVu Serif"/>
          <w:b w:val="0"/>
          <w:sz w:val="19"/>
        </w:rPr>
        <w:t>•</w:t>
      </w:r>
      <w:r>
        <w:rPr>
          <w:rFonts w:ascii="DejaVu Serif" w:hAnsi="DejaVu Serif" w:eastAsia="DejaVu Serif" w:cs="DejaVu Serif"/>
          <w:b w:val="0"/>
          <w:sz w:val="19"/>
        </w:rPr>
        <w:tab/>
        <w:t>Assisted in developing strategic partnerships that increased company visibility and contributed to growth.</w:t>
      </w:r>
    </w:p>
    <w:p>
      <w:pPr>
        <w:spacing w:before="0" w:after="300" w:lineRule="exact" w:line="20"/>
        <w:ind w:left="0" w:firstLine="0"/>
      </w:pPr>
    </w:p>
    <w:tbl>
      <w:tblPr>
        <w:tblW w:type="auto" w:w="0"/>
        <w:jc w:val="center"/>
        <w:tblLayout w:type="fixed"/>
        <w:tblLook w:firstColumn="1" w:firstRow="1" w:lastColumn="0" w:lastRow="0" w:noHBand="0" w:noVBand="1" w:val="04A0"/>
      </w:tblPr>
      <w:tblGrid>
        <w:gridCol w:w="3996"/>
        <w:gridCol w:w="2088"/>
        <w:gridCol w:w="3996"/>
      </w:tblGrid>
      <w:tr>
        <w:tc>
          <w:tcPr>
            <w:tcW w:type="dxa" w:w="3996"/>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c>
          <w:tcPr>
            <w:tcW w:type="dxa" w:w="2088"/>
            <w:tcBorders>
              <w:top w:val="nil"/>
              <w:left w:val="nil"/>
              <w:bottom w:val="nil"/>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r>
              <w:rPr>
                <w:rFonts w:ascii="DejaVu Serif" w:hAnsi="DejaVu Serif" w:eastAsia="DejaVu Serif" w:cs="DejaVu Serif"/>
                <w:b/>
                <w:sz w:val="26"/>
              </w:rPr>
              <w:t>EDUCATION</w:t>
            </w:r>
          </w:p>
        </w:tc>
        <w:tc>
          <w:tcPr>
            <w:tcW w:type="dxa" w:w="3996"/>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r>
    </w:tbl>
    <w:p>
      <w:pPr>
        <w:spacing w:before="0" w:after="160" w:lineRule="exact" w:line="20"/>
        <w:ind w:left="0" w:firstLine="0"/>
      </w:pPr>
    </w:p>
    <w:p>
      <w:pPr>
        <w:spacing w:before="0" w:after="0" w:lineRule="exact" w:line="272"/>
        <w:ind w:left="0" w:firstLine="0"/>
        <w:jc w:val="left"/>
      </w:pPr>
      <w:r>
        <w:rPr>
          <w:rFonts w:ascii="DejaVu Serif" w:hAnsi="DejaVu Serif" w:eastAsia="DejaVu Serif" w:cs="DejaVu Serif"/>
          <w:b w:val="0"/>
          <w:sz w:val="20"/>
        </w:rPr>
        <w:t>Higher National Diploma: Computer Engineering, 04/2025</w:t>
      </w:r>
    </w:p>
    <w:p>
      <w:pPr>
        <w:spacing w:before="0" w:after="120" w:lineRule="exact" w:line="272"/>
        <w:ind w:left="0" w:firstLine="0"/>
        <w:jc w:val="left"/>
      </w:pPr>
      <w:r>
        <w:rPr>
          <w:rFonts w:ascii="DejaVu Serif" w:hAnsi="DejaVu Serif" w:eastAsia="DejaVu Serif" w:cs="DejaVu Serif"/>
          <w:b w:val="0"/>
          <w:sz w:val="20"/>
        </w:rPr>
        <w:t>Delta State Polytechnic Ogwashi Uku - Delta</w:t>
      </w:r>
    </w:p>
    <w:p>
      <w:pPr>
        <w:spacing w:before="0" w:after="0" w:lineRule="exact" w:line="272"/>
        <w:ind w:left="0" w:firstLine="0"/>
        <w:jc w:val="left"/>
      </w:pPr>
      <w:r>
        <w:rPr>
          <w:rFonts w:ascii="DejaVu Serif" w:hAnsi="DejaVu Serif" w:eastAsia="DejaVu Serif" w:cs="DejaVu Serif"/>
          <w:b w:val="0"/>
          <w:sz w:val="20"/>
        </w:rPr>
        <w:t>Ordinary National Diploma: Computer Engineering, 01/2023</w:t>
      </w:r>
    </w:p>
    <w:p>
      <w:pPr>
        <w:spacing w:before="0" w:after="320" w:lineRule="exact" w:line="272"/>
        <w:ind w:left="0" w:firstLine="0"/>
        <w:jc w:val="left"/>
      </w:pPr>
      <w:r>
        <w:rPr>
          <w:rFonts w:ascii="DejaVu Serif" w:hAnsi="DejaVu Serif" w:eastAsia="DejaVu Serif" w:cs="DejaVu Serif"/>
          <w:b w:val="0"/>
          <w:sz w:val="20"/>
        </w:rPr>
        <w:t>Delta State Polytechnic Ogwashi Uku - Delta State</w:t>
      </w:r>
    </w:p>
    <w:p>
      <w:pPr>
        <w:spacing w:before="0" w:after="280" w:lineRule="exact" w:line="20"/>
        <w:ind w:left="0" w:firstLine="0"/>
      </w:pPr>
    </w:p>
    <w:tbl>
      <w:tblPr>
        <w:tblW w:type="auto" w:w="0"/>
        <w:jc w:val="center"/>
        <w:tblLayout w:type="fixed"/>
        <w:tblLook w:firstColumn="1" w:firstRow="1" w:lastColumn="0" w:lastRow="0" w:noHBand="0" w:noVBand="1" w:val="04A0"/>
      </w:tblPr>
      <w:tblGrid>
        <w:gridCol w:w="4104"/>
        <w:gridCol w:w="1872"/>
        <w:gridCol w:w="4104"/>
      </w:tblGrid>
      <w:tr>
        <w:tc>
          <w:tcPr>
            <w:tcW w:type="dxa" w:w="4104"/>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c>
          <w:tcPr>
            <w:tcW w:type="dxa" w:w="1872"/>
            <w:tcBorders>
              <w:top w:val="nil"/>
              <w:left w:val="nil"/>
              <w:bottom w:val="nil"/>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r>
              <w:rPr>
                <w:rFonts w:ascii="DejaVu Serif" w:hAnsi="DejaVu Serif" w:eastAsia="DejaVu Serif" w:cs="DejaVu Serif"/>
                <w:b/>
                <w:sz w:val="26"/>
              </w:rPr>
              <w:t>HOBBIES</w:t>
            </w:r>
          </w:p>
        </w:tc>
        <w:tc>
          <w:tcPr>
            <w:tcW w:type="dxa" w:w="4104"/>
            <w:tcBorders>
              <w:top w:val="nil"/>
              <w:left w:val="nil"/>
              <w:bottom w:val="single" w:sz="5" w:color="55595D" w:space="0"/>
              <w:right w:val="nil"/>
              <w:insideH w:val="nil"/>
              <w:insideV w:val="nil"/>
            </w:tcBorders>
            <w:vAlign w:val="center"/>
            <w:tcMar>
              <w:top w:w="0" w:type="dxa"/>
              <w:start w:w="0" w:type="dxa"/>
              <w:bottom w:w="0" w:type="dxa"/>
              <w:end w:w="0" w:type="dxa"/>
            </w:tcMar>
          </w:tcPr>
          <w:p>
            <w:pPr>
              <w:spacing w:before="0" w:after="0" w:lineRule="exact" w:line="270"/>
              <w:ind w:left="0" w:firstLine="0"/>
              <w:jc w:val="center"/>
            </w:pPr>
          </w:p>
        </w:tc>
      </w:tr>
    </w:tbl>
    <w:p>
      <w:pPr>
        <w:spacing w:before="0" w:after="160" w:lineRule="exact" w:line="20"/>
        <w:ind w:left="0" w:firstLine="0"/>
      </w:pPr>
    </w:p>
    <w:tbl>
      <w:tblPr>
        <w:tblW w:type="auto" w:w="0"/>
        <w:jc w:val="left"/>
        <w:tblLayout w:type="fixed"/>
        <w:tblLook w:firstColumn="1" w:firstRow="1" w:lastColumn="0" w:lastRow="0" w:noHBand="0" w:noVBand="1" w:val="04A0"/>
      </w:tblPr>
      <w:tblGrid>
        <w:gridCol w:w="5069"/>
        <w:gridCol w:w="5069"/>
      </w:tblGrid>
      <w:tr>
        <w:tc>
          <w:tcPr>
            <w:tcW w:type="dxa" w:w="5068"/>
            <w:tcBorders>
              <w:top w:val="nil"/>
              <w:left w:val="nil"/>
              <w:bottom w:val="nil"/>
              <w:right w:val="nil"/>
              <w:insideH w:val="nil"/>
              <w:insideV w:val="nil"/>
            </w:tcBorders>
            <w:tcMar>
              <w:top w:w="0" w:type="dxa"/>
              <w:start w:w="0" w:type="dxa"/>
              <w:bottom w:w="0" w:type="dxa"/>
              <w:end w:w="0" w:type="dxa"/>
            </w:tcMar>
          </w:tcPr>
          <w:p>
            <w:pPr>
              <w:spacing w:before="0" w:after="120" w:lineRule="exact" w:line="264"/>
              <w:ind w:left="0" w:firstLine="0"/>
            </w:pPr>
            <w:r>
              <w:rPr>
                <w:rFonts w:ascii="DejaVu Serif" w:hAnsi="DejaVu Serif" w:eastAsia="DejaVu Serif" w:cs="DejaVu Serif"/>
                <w:b w:val="0"/>
                <w:sz w:val="20"/>
              </w:rPr>
              <w:t>Writing</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120" w:lineRule="exact" w:line="264"/>
              <w:ind w:left="0" w:firstLine="0"/>
            </w:pPr>
            <w:r>
              <w:rPr>
                <w:rFonts w:ascii="DejaVu Serif" w:hAnsi="DejaVu Serif" w:eastAsia="DejaVu Serif" w:cs="DejaVu Serif"/>
                <w:b w:val="0"/>
                <w:sz w:val="20"/>
              </w:rPr>
              <w:t>Singing</w:t>
            </w:r>
          </w:p>
        </w:tc>
      </w:tr>
      <w:tr>
        <w:tc>
          <w:tcPr>
            <w:tcW w:type="dxa" w:w="5068"/>
            <w:tcBorders>
              <w:top w:val="nil"/>
              <w:left w:val="nil"/>
              <w:bottom w:val="nil"/>
              <w:right w:val="nil"/>
              <w:insideH w:val="nil"/>
              <w:insideV w:val="nil"/>
            </w:tcBorders>
            <w:tcMar>
              <w:top w:w="0" w:type="dxa"/>
              <w:start w:w="0" w:type="dxa"/>
              <w:bottom w:w="0" w:type="dxa"/>
              <w:end w:w="0" w:type="dxa"/>
            </w:tcMar>
          </w:tcPr>
          <w:p>
            <w:pPr>
              <w:spacing w:before="0" w:after="120" w:lineRule="exact" w:line="264"/>
              <w:ind w:left="0" w:firstLine="0"/>
            </w:pPr>
            <w:r>
              <w:rPr>
                <w:rFonts w:ascii="DejaVu Serif" w:hAnsi="DejaVu Serif" w:eastAsia="DejaVu Serif" w:cs="DejaVu Serif"/>
                <w:b w:val="0"/>
                <w:sz w:val="20"/>
              </w:rPr>
              <w:t>Talking</w:t>
            </w:r>
          </w:p>
        </w:tc>
        <w:tc>
          <w:tcPr>
            <w:tcW w:type="dxa" w:w="5068"/>
            <w:tcBorders>
              <w:top w:val="nil"/>
              <w:left w:val="nil"/>
              <w:bottom w:val="nil"/>
              <w:right w:val="nil"/>
              <w:insideH w:val="nil"/>
              <w:insideV w:val="nil"/>
            </w:tcBorders>
            <w:tcMar>
              <w:top w:w="0" w:type="dxa"/>
              <w:start w:w="0" w:type="dxa"/>
              <w:bottom w:w="0" w:type="dxa"/>
              <w:end w:w="0" w:type="dxa"/>
            </w:tcMar>
          </w:tcPr>
          <w:p>
            <w:pPr>
              <w:spacing w:before="0" w:after="120" w:lineRule="exact" w:line="264"/>
              <w:ind w:left="0" w:firstLine="0"/>
            </w:pPr>
            <w:r>
              <w:rPr>
                <w:rFonts w:ascii="DejaVu Serif" w:hAnsi="DejaVu Serif" w:eastAsia="DejaVu Serif" w:cs="DejaVu Serif"/>
                <w:b w:val="0"/>
                <w:sz w:val="20"/>
              </w:rPr>
            </w:r>
          </w:p>
        </w:tc>
      </w:tr>
    </w:tbl>
    <w:sectPr w:rsidR="00FC693F" w:rsidRPr="0006063C" w:rsidSect="00034616">
      <w:pgSz w:w="11909" w:h="16834"/>
      <w:pgMar w:top="576" w:right="893" w:bottom="504"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cs="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