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איפיון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לבדיקות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אוטומטיות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של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אתר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משרד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הבריאות</w:t>
      </w:r>
    </w:p>
    <w:p w:rsidR="00000000" w:rsidDel="00000000" w:rsidP="00000000" w:rsidRDefault="00000000" w:rsidRPr="00000000" w14:paraId="00000002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הסבר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קצר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הבריאות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</w:p>
    <w:p w:rsidR="00000000" w:rsidDel="00000000" w:rsidP="00000000" w:rsidRDefault="00000000" w:rsidRPr="00000000" w14:paraId="00000008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תוכנה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תכיל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</w:p>
    <w:p w:rsidR="00000000" w:rsidDel="00000000" w:rsidP="00000000" w:rsidRDefault="00000000" w:rsidRPr="00000000" w14:paraId="0000000C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איבדק</w:t>
      </w:r>
      <w:r w:rsidDel="00000000" w:rsidR="00000000" w:rsidRPr="00000000">
        <w:rPr>
          <w:b w:val="1"/>
          <w:rtl w:val="1"/>
        </w:rPr>
        <w:t xml:space="preserve">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jc w:val="left"/>
        <w:rPr/>
      </w:pPr>
      <w:r w:rsidDel="00000000" w:rsidR="00000000" w:rsidRPr="00000000">
        <w:rPr>
          <w:b w:val="1"/>
          <w:rtl w:val="1"/>
        </w:rPr>
        <w:t xml:space="preserve">כניסה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לעמוד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חיצוני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העמוד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בעמוד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שפע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טרנסלייט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בדיקת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בדיקת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ניווטים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באתר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נקודות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ימין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בדיקת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לינקים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וכפתורים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העמוד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בדיקת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באנר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פרסומות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באנרים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באנר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בדיקת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הרשמה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ממשלתי</w:t>
      </w:r>
      <w:r w:rsidDel="00000000" w:rsidR="00000000" w:rsidRPr="00000000">
        <w:rPr>
          <w:b w:val="1"/>
          <w:rtl w:val="1"/>
        </w:rPr>
        <w:t xml:space="preserve">)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סיסמה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בדיקת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כניסה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לוגין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