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Calibri" w:cs="Calibri" w:eastAsia="Calibri" w:hAnsi="Calibri"/>
          <w:b/>
          <w:bCs/>
          <w:color w:val="0A1628"/>
          <w:sz w:val="52"/>
          <w:szCs w:val="52"/>
        </w:rPr>
        <w:t xml:space="preserve">Ticketera Modular para Sistemas de Agentes AI</w:t>
      </w:r>
    </w:p>
    <w:p>
      <w:pPr>
        <w:spacing w:after="160"/>
        <w:jc w:val="center"/>
      </w:pPr>
      <w:r>
        <w:rPr>
          <w:rFonts w:ascii="Calibri" w:cs="Calibri" w:eastAsia="Calibri" w:hAnsi="Calibri"/>
          <w:color w:val="065A82"/>
          <w:sz w:val="28"/>
          <w:szCs w:val="28"/>
        </w:rPr>
        <w:t xml:space="preserve">Arquitectura · Requisitos Técnicos · Flujo de Datos</w:t>
      </w:r>
    </w:p>
    <w:p>
      <w:pPr>
        <w:pBdr>
          <w:bottom w:val="single" w:color="028090" w:sz="4" w:space="4"/>
        </w:pBdr>
        <w:spacing w:after="80"/>
        <w:jc w:val="center"/>
      </w:pPr>
      <w:r>
        <w:rPr>
          <w:rFonts w:ascii="Calibri" w:cs="Calibri" w:eastAsia="Calibri" w:hAnsi="Calibri"/>
          <w:color w:val="888888"/>
          <w:sz w:val="22"/>
          <w:szCs w:val="22"/>
        </w:rPr>
        <w:t xml:space="preserve">Documento técnico  —  v1.0</w:t>
      </w:r>
    </w:p>
    <w:p>
      <w:r>
        <w:t xml:space="preserve"/>
      </w:r>
    </w:p>
    <w:p>
      <w:r>
        <w:t xml:space="preserve"/>
      </w:r>
    </w:p>
    <w:p>
      <w:r>
        <w:t xml:space="preserve"/>
      </w:r>
    </w:p>
    <w:p>
      <w:r>
        <w:t xml:space="preserve"/>
      </w:r>
    </w:p>
    <w:p>
      <w:r>
        <w:br w:type="page"/>
      </w:r>
    </w:p>
    <w:p>
      <w:pPr>
        <w:pStyle w:val="Heading1"/>
      </w:pPr>
      <w:r>
        <w:t xml:space="preserve">1. Visión General del Sistema</w:t>
      </w:r>
    </w:p>
    <w:p>
      <w:r>
        <w:rPr>
          <w:rFonts w:ascii="Calibri" w:cs="Calibri" w:eastAsia="Calibri" w:hAnsi="Calibri"/>
          <w:sz w:val="22"/>
          <w:szCs w:val="22"/>
        </w:rPr>
        <w:t xml:space="preserve">Este documento describe la arquitectura y los requisitos técnicos para construir una ticketera modular que pueda integrarse como microservicio a distintos sistemas de agentes AI. El sistema permite que los usuarios finales de cualquier aplicación con agente AI puedan reportar problemas cargando un ticket, con el contexto de la conversación adjunto automáticamente.</w:t>
      </w:r>
    </w:p>
    <w:p>
      <w:r>
        <w:t xml:space="preserve"/>
      </w:r>
    </w:p>
    <w:p>
      <w:r>
        <w:rPr>
          <w:rFonts w:ascii="Calibri" w:cs="Calibri" w:eastAsia="Calibri" w:hAnsi="Calibri"/>
          <w:b/>
          <w:bCs/>
          <w:sz w:val="22"/>
          <w:szCs w:val="22"/>
        </w:rPr>
        <w:t xml:space="preserve">Principios de diseño:</w:t>
      </w:r>
    </w:p>
    <w:p>
      <w:pPr>
        <w:pStyle w:val="ListParagraph"/>
        <w:numPr>
          <w:ilvl w:val="0"/>
          <w:numId w:val="2"/>
        </w:numPr>
      </w:pPr>
      <w:r>
        <w:rPr>
          <w:rFonts w:ascii="Calibri" w:cs="Calibri" w:eastAsia="Calibri" w:hAnsi="Calibri"/>
          <w:sz w:val="22"/>
          <w:szCs w:val="22"/>
        </w:rPr>
        <w:t xml:space="preserve">Modularidad: cada capa es independiente y reemplazable</w:t>
      </w:r>
    </w:p>
    <w:p>
      <w:pPr>
        <w:pStyle w:val="ListParagraph"/>
        <w:numPr>
          <w:ilvl w:val="0"/>
          <w:numId w:val="2"/>
        </w:numPr>
      </w:pPr>
      <w:r>
        <w:rPr>
          <w:rFonts w:ascii="Calibri" w:cs="Calibri" w:eastAsia="Calibri" w:hAnsi="Calibri"/>
          <w:sz w:val="22"/>
          <w:szCs w:val="22"/>
        </w:rPr>
        <w:t xml:space="preserve">Multitenancy: una sola instancia sirve múltiples organizaciones cliente</w:t>
      </w:r>
    </w:p>
    <w:p>
      <w:pPr>
        <w:pStyle w:val="ListParagraph"/>
        <w:numPr>
          <w:ilvl w:val="0"/>
          <w:numId w:val="2"/>
        </w:numPr>
      </w:pPr>
      <w:r>
        <w:rPr>
          <w:rFonts w:ascii="Calibri" w:cs="Calibri" w:eastAsia="Calibri" w:hAnsi="Calibri"/>
          <w:sz w:val="22"/>
          <w:szCs w:val="22"/>
        </w:rPr>
        <w:t xml:space="preserve">Contexto automático: el historial del agente se adjunta al ticket sin intervención del usuario</w:t>
      </w:r>
    </w:p>
    <w:p>
      <w:pPr>
        <w:pStyle w:val="ListParagraph"/>
        <w:numPr>
          <w:ilvl w:val="0"/>
          <w:numId w:val="2"/>
        </w:numPr>
      </w:pPr>
      <w:r>
        <w:rPr>
          <w:rFonts w:ascii="Calibri" w:cs="Calibri" w:eastAsia="Calibri" w:hAnsi="Calibri"/>
          <w:sz w:val="22"/>
          <w:szCs w:val="22"/>
        </w:rPr>
        <w:t xml:space="preserve">Integración neutral: funciona con cualquier stack mediante SDK y API REST</w:t>
      </w:r>
    </w:p>
    <w:p>
      <w:r>
        <w:t xml:space="preserve"/>
      </w:r>
    </w:p>
    <w:p>
      <w:pPr>
        <w:pStyle w:val="Heading1"/>
      </w:pPr>
      <w:r>
        <w:t xml:space="preserve">2. Flujo de Datos (MVP)</w:t>
      </w:r>
    </w:p>
    <w:p>
      <w:r>
        <w:rPr>
          <w:rFonts w:ascii="Calibri" w:cs="Calibri" w:eastAsia="Calibri" w:hAnsi="Calibri"/>
          <w:sz w:val="22"/>
          <w:szCs w:val="22"/>
        </w:rPr>
        <w:t xml:space="preserve">El flujo básico describe el camino desde la interacción del usuario con el agente hasta la creación del ticket con contexto completo: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tblHeader/>
        </w:trPr>
        <w:tc>
          <w:tcPr>
            <w:tcW w:type="dxa" w:w="900"/>
            <w:tcBorders>
              <w:top w:val="single" w:color="065A82" w:sz="1"/>
              <w:left w:val="single" w:color="065A82" w:sz="1"/>
              <w:bottom w:val="single" w:color="065A82" w:sz="1"/>
              <w:right w:val="single" w:color="065A82" w:sz="1"/>
            </w:tcBorders>
            <w:shd w:fill="065A82" w:val="clear"/>
            <w:tcMar>
              <w:top w:type="dxa" w:w="100"/>
              <w:left w:type="dxa" w:w="140"/>
              <w:bottom w:type="dxa" w:w="100"/>
              <w:right w:type="dxa" w:w="140"/>
            </w:tcMar>
          </w:tcPr>
          <w:p>
            <w:r>
              <w:rPr>
                <w:rFonts w:ascii="Calibri" w:cs="Calibri" w:eastAsia="Calibri" w:hAnsi="Calibri"/>
                <w:b/>
                <w:bCs/>
                <w:color w:val="FFFFFF"/>
                <w:sz w:val="20"/>
                <w:szCs w:val="20"/>
              </w:rPr>
              <w:t xml:space="preserve">Paso</w:t>
            </w:r>
          </w:p>
        </w:tc>
        <w:tc>
          <w:tcPr>
            <w:tcW w:type="dxa" w:w="2000"/>
            <w:tcBorders>
              <w:top w:val="single" w:color="065A82" w:sz="1"/>
              <w:left w:val="single" w:color="065A82" w:sz="1"/>
              <w:bottom w:val="single" w:color="065A82" w:sz="1"/>
              <w:right w:val="single" w:color="065A82" w:sz="1"/>
            </w:tcBorders>
            <w:shd w:fill="065A82" w:val="clear"/>
            <w:tcMar>
              <w:top w:type="dxa" w:w="100"/>
              <w:left w:type="dxa" w:w="140"/>
              <w:bottom w:type="dxa" w:w="100"/>
              <w:right w:type="dxa" w:w="140"/>
            </w:tcMar>
          </w:tcPr>
          <w:p>
            <w:r>
              <w:rPr>
                <w:rFonts w:ascii="Calibri" w:cs="Calibri" w:eastAsia="Calibri" w:hAnsi="Calibri"/>
                <w:b/>
                <w:bCs/>
                <w:color w:val="FFFFFF"/>
                <w:sz w:val="20"/>
                <w:szCs w:val="20"/>
              </w:rPr>
              <w:t xml:space="preserve">Actor</w:t>
            </w:r>
          </w:p>
        </w:tc>
        <w:tc>
          <w:tcPr>
            <w:tcW w:type="dxa" w:w="6460"/>
            <w:tcBorders>
              <w:top w:val="single" w:color="065A82" w:sz="1"/>
              <w:left w:val="single" w:color="065A82" w:sz="1"/>
              <w:bottom w:val="single" w:color="065A82" w:sz="1"/>
              <w:right w:val="single" w:color="065A82" w:sz="1"/>
            </w:tcBorders>
            <w:shd w:fill="065A82" w:val="clear"/>
            <w:tcMar>
              <w:top w:type="dxa" w:w="100"/>
              <w:left w:type="dxa" w:w="140"/>
              <w:bottom w:type="dxa" w:w="100"/>
              <w:right w:type="dxa" w:w="140"/>
            </w:tcMar>
          </w:tcPr>
          <w:p>
            <w:r>
              <w:rPr>
                <w:rFonts w:ascii="Calibri" w:cs="Calibri" w:eastAsia="Calibri" w:hAnsi="Calibri"/>
                <w:b/>
                <w:bCs/>
                <w:color w:val="FFFFFF"/>
                <w:sz w:val="20"/>
                <w:szCs w:val="20"/>
              </w:rPr>
              <w:t xml:space="preserve">Acción</w:t>
            </w:r>
          </w:p>
        </w:tc>
      </w:tr>
      <w:tr>
        <w:tc>
          <w:tcPr>
            <w:tcW w:type="dxa" w:w="9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1</w:t>
            </w:r>
          </w:p>
        </w:tc>
        <w:tc>
          <w:tcPr>
            <w:tcW w:type="dxa" w:w="2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Usuario</w:t>
            </w:r>
          </w:p>
        </w:tc>
        <w:tc>
          <w:tcPr>
            <w:tcW w:type="dxa" w:w="64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Interactúa con el agente AI en la app cliente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Agente AI</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No puede resolver el problema y sugiere cargar un ticket</w:t>
            </w:r>
          </w:p>
        </w:tc>
      </w:tr>
      <w:tr>
        <w:tc>
          <w:tcPr>
            <w:tcW w:type="dxa" w:w="9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3</w:t>
            </w:r>
          </w:p>
        </w:tc>
        <w:tc>
          <w:tcPr>
            <w:tcW w:type="dxa" w:w="2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SDK / Widget</w:t>
            </w:r>
          </w:p>
        </w:tc>
        <w:tc>
          <w:tcPr>
            <w:tcW w:type="dxa" w:w="64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Se activa en la app cliente mostrando el formulario de ticket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Usuario</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Completa título, descripción y email de contacto</w:t>
            </w:r>
          </w:p>
        </w:tc>
      </w:tr>
      <w:tr>
        <w:tc>
          <w:tcPr>
            <w:tcW w:type="dxa" w:w="9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5</w:t>
            </w:r>
          </w:p>
        </w:tc>
        <w:tc>
          <w:tcPr>
            <w:tcW w:type="dxa" w:w="2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SDK</w:t>
            </w:r>
          </w:p>
        </w:tc>
        <w:tc>
          <w:tcPr>
            <w:tcW w:type="dxa" w:w="64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Adjunta automáticamente el historial de conversación al payload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API Gateway</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Valida la API Key de la organización y el schema del request</w:t>
            </w:r>
          </w:p>
        </w:tc>
      </w:tr>
      <w:tr>
        <w:tc>
          <w:tcPr>
            <w:tcW w:type="dxa" w:w="9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7</w:t>
            </w:r>
          </w:p>
        </w:tc>
        <w:tc>
          <w:tcPr>
            <w:tcW w:type="dxa" w:w="2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Ticket Service</w:t>
            </w:r>
          </w:p>
        </w:tc>
        <w:tc>
          <w:tcPr>
            <w:tcW w:type="dxa" w:w="64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Crea el ticket en PostgreSQL con estado 'open'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Context Service</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Almacena el contexto de la sesión ligado al ticket</w:t>
            </w:r>
          </w:p>
        </w:tc>
      </w:tr>
      <w:tr>
        <w:tc>
          <w:tcPr>
            <w:tcW w:type="dxa" w:w="9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9</w:t>
            </w:r>
          </w:p>
        </w:tc>
        <w:tc>
          <w:tcPr>
            <w:tcW w:type="dxa" w:w="2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Notification Service</w:t>
            </w:r>
          </w:p>
        </w:tc>
        <w:tc>
          <w:tcPr>
            <w:tcW w:type="dxa" w:w="64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Envía email de confirmación al usuario y alerta al equipo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Panel Admin</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El ticket aparece en el dashboard listo para ser atendido</w:t>
            </w:r>
          </w:p>
        </w:tc>
      </w:tr>
    </w:tbl>
    <w:p>
      <w:r>
        <w:t xml:space="preserve"/>
      </w:r>
    </w:p>
    <w:p>
      <w:pPr>
        <w:pStyle w:val="Heading1"/>
      </w:pPr>
      <w:r>
        <w:t xml:space="preserve">3. Arquitectura por Capas</w:t>
      </w:r>
    </w:p>
    <w:p>
      <w:r>
        <w:rPr>
          <w:rFonts w:ascii="Calibri" w:cs="Calibri" w:eastAsia="Calibri" w:hAnsi="Calibri"/>
          <w:sz w:val="22"/>
          <w:szCs w:val="22"/>
        </w:rPr>
        <w:t xml:space="preserve">El sistema se organiza en cuatro capas principales: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065A82" w:sz="1"/>
              <w:left w:val="single" w:color="065A82" w:sz="1"/>
              <w:bottom w:val="single" w:color="065A82" w:sz="1"/>
              <w:right w:val="single" w:color="065A82" w:sz="1"/>
            </w:tcBorders>
            <w:shd w:fill="065A82" w:val="clear"/>
            <w:tcMar>
              <w:top w:type="dxa" w:w="100"/>
              <w:left w:type="dxa" w:w="140"/>
              <w:bottom w:type="dxa" w:w="100"/>
              <w:right w:type="dxa" w:w="140"/>
            </w:tcMar>
          </w:tcPr>
          <w:p>
            <w:r>
              <w:rPr>
                <w:rFonts w:ascii="Calibri" w:cs="Calibri" w:eastAsia="Calibri" w:hAnsi="Calibri"/>
                <w:b/>
                <w:bCs/>
                <w:color w:val="FFFFFF"/>
                <w:sz w:val="20"/>
                <w:szCs w:val="20"/>
              </w:rPr>
              <w:t xml:space="preserve">Capa</w:t>
            </w:r>
          </w:p>
        </w:tc>
        <w:tc>
          <w:tcPr>
            <w:tcW w:type="dxa" w:w="3000"/>
            <w:tcBorders>
              <w:top w:val="single" w:color="065A82" w:sz="1"/>
              <w:left w:val="single" w:color="065A82" w:sz="1"/>
              <w:bottom w:val="single" w:color="065A82" w:sz="1"/>
              <w:right w:val="single" w:color="065A82" w:sz="1"/>
            </w:tcBorders>
            <w:shd w:fill="065A82" w:val="clear"/>
            <w:tcMar>
              <w:top w:type="dxa" w:w="100"/>
              <w:left w:type="dxa" w:w="140"/>
              <w:bottom w:type="dxa" w:w="100"/>
              <w:right w:type="dxa" w:w="140"/>
            </w:tcMar>
          </w:tcPr>
          <w:p>
            <w:r>
              <w:rPr>
                <w:rFonts w:ascii="Calibri" w:cs="Calibri" w:eastAsia="Calibri" w:hAnsi="Calibri"/>
                <w:b/>
                <w:bCs/>
                <w:color w:val="FFFFFF"/>
                <w:sz w:val="20"/>
                <w:szCs w:val="20"/>
              </w:rPr>
              <w:t xml:space="preserve">Componentes</w:t>
            </w:r>
          </w:p>
        </w:tc>
        <w:tc>
          <w:tcPr>
            <w:tcW w:type="dxa" w:w="4560"/>
            <w:tcBorders>
              <w:top w:val="single" w:color="065A82" w:sz="1"/>
              <w:left w:val="single" w:color="065A82" w:sz="1"/>
              <w:bottom w:val="single" w:color="065A82" w:sz="1"/>
              <w:right w:val="single" w:color="065A82" w:sz="1"/>
            </w:tcBorders>
            <w:shd w:fill="065A82" w:val="clear"/>
            <w:tcMar>
              <w:top w:type="dxa" w:w="100"/>
              <w:left w:type="dxa" w:w="140"/>
              <w:bottom w:type="dxa" w:w="100"/>
              <w:right w:type="dxa" w:w="140"/>
            </w:tcMar>
          </w:tcPr>
          <w:p>
            <w:r>
              <w:rPr>
                <w:rFonts w:ascii="Calibri" w:cs="Calibri" w:eastAsia="Calibri" w:hAnsi="Calibri"/>
                <w:b/>
                <w:bCs/>
                <w:color w:val="FFFFFF"/>
                <w:sz w:val="20"/>
                <w:szCs w:val="20"/>
              </w:rPr>
              <w:t xml:space="preserve">Responsabilidad</w:t>
            </w:r>
          </w:p>
        </w:tc>
      </w:tr>
      <w:tr>
        <w:tc>
          <w:tcPr>
            <w:tcW w:type="dxa" w:w="18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Cliente</w:t>
            </w:r>
          </w:p>
        </w:tc>
        <w:tc>
          <w:tcPr>
            <w:tcW w:type="dxa" w:w="3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Apps con agentes AI</w:t>
            </w:r>
          </w:p>
        </w:tc>
        <w:tc>
          <w:tcPr>
            <w:tcW w:type="dxa" w:w="45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Consumen el SDK e inician el flujo de tickets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SDK / Widget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Paquete npm embebible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Componente UI que captura el ticket y el contexto</w:t>
            </w:r>
          </w:p>
        </w:tc>
      </w:tr>
      <w:tr>
        <w:tc>
          <w:tcPr>
            <w:tcW w:type="dxa" w:w="18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API Gateway</w:t>
            </w:r>
          </w:p>
        </w:tc>
        <w:tc>
          <w:tcPr>
            <w:tcW w:type="dxa" w:w="3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Fastify / Hono</w:t>
            </w:r>
          </w:p>
        </w:tc>
        <w:tc>
          <w:tcPr>
            <w:tcW w:type="dxa" w:w="45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Autenticación, rate limiting, routing a servicios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Servicios Core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Ticket, Context, Notification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Lógica de negocio desacoplada por dominio</w:t>
            </w:r>
          </w:p>
        </w:tc>
      </w:tr>
      <w:tr>
        <w:tc>
          <w:tcPr>
            <w:tcW w:type="dxa" w:w="18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Persistencia</w:t>
            </w:r>
          </w:p>
        </w:tc>
        <w:tc>
          <w:tcPr>
            <w:tcW w:type="dxa" w:w="3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PostgreSQL, Redis, Object Storage</w:t>
            </w:r>
          </w:p>
        </w:tc>
        <w:tc>
          <w:tcPr>
            <w:tcW w:type="dxa" w:w="45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Almacenamiento de datos, caché e integraciones</w:t>
            </w:r>
          </w:p>
        </w:tc>
      </w:tr>
    </w:tbl>
    <w:p>
      <w:r>
        <w:t xml:space="preserve"/>
      </w:r>
    </w:p>
    <w:p>
      <w:r>
        <w:br w:type="page"/>
      </w:r>
    </w:p>
    <w:p>
      <w:pPr>
        <w:pStyle w:val="Heading1"/>
      </w:pPr>
      <w:r>
        <w:t xml:space="preserve">4. Requisitos Técnicos Detallados</w:t>
      </w:r>
    </w:p>
    <w:p>
      <w:pPr>
        <w:pStyle w:val="Heading2"/>
      </w:pPr>
      <w:r>
        <w:t xml:space="preserve">4.1 SDK / Widget Embebible</w:t>
      </w:r>
    </w:p>
    <w:p>
      <w:r>
        <w:rPr>
          <w:rFonts w:ascii="Calibri" w:cs="Calibri" w:eastAsia="Calibri" w:hAnsi="Calibri"/>
          <w:sz w:val="22"/>
          <w:szCs w:val="22"/>
        </w:rPr>
        <w:t xml:space="preserve">El componente que se acopla a cada app cliente. Debe ser tecnológicamente neutro para funcionar con cualquier stack frontend.</w:t>
      </w:r>
    </w:p>
    <w:p>
      <w:r>
        <w:t xml:space="preserve"/>
      </w:r>
    </w:p>
    <w:p>
      <w:pPr>
        <w:pStyle w:val="ListParagraph"/>
        <w:numPr>
          <w:ilvl w:val="0"/>
          <w:numId w:val="2"/>
        </w:numPr>
      </w:pPr>
      <w:r>
        <w:rPr>
          <w:rFonts w:ascii="Calibri" w:cs="Calibri" w:eastAsia="Calibri" w:hAnsi="Calibri"/>
          <w:sz w:val="22"/>
          <w:szCs w:val="22"/>
        </w:rPr>
        <w:t xml:space="preserve">Implementado como Web Component (&lt;ticket-widget&gt;) y/o paquete npm (React / Vue / Vanilla JS)</w:t>
      </w:r>
    </w:p>
    <w:p>
      <w:pPr>
        <w:pStyle w:val="ListParagraph"/>
        <w:numPr>
          <w:ilvl w:val="0"/>
          <w:numId w:val="2"/>
        </w:numPr>
      </w:pPr>
      <w:r>
        <w:rPr>
          <w:rFonts w:ascii="Calibri" w:cs="Calibri" w:eastAsia="Calibri" w:hAnsi="Calibri"/>
          <w:sz w:val="22"/>
          <w:szCs w:val="22"/>
        </w:rPr>
        <w:t xml:space="preserve">Inicialización mínima: TicketSDK.init({ apiKey, appId, agentSessionId })</w:t>
      </w:r>
    </w:p>
    <w:p>
      <w:pPr>
        <w:pStyle w:val="ListParagraph"/>
        <w:numPr>
          <w:ilvl w:val="0"/>
          <w:numId w:val="2"/>
        </w:numPr>
      </w:pPr>
      <w:r>
        <w:rPr>
          <w:rFonts w:ascii="Calibri" w:cs="Calibri" w:eastAsia="Calibri" w:hAnsi="Calibri"/>
          <w:sz w:val="22"/>
          <w:szCs w:val="22"/>
        </w:rPr>
        <w:t xml:space="preserve">Inyecta el historial de conversación del agente automáticamente al crear el ticket</w:t>
      </w:r>
    </w:p>
    <w:p>
      <w:pPr>
        <w:pStyle w:val="ListParagraph"/>
        <w:numPr>
          <w:ilvl w:val="0"/>
          <w:numId w:val="2"/>
        </w:numPr>
      </w:pPr>
      <w:r>
        <w:rPr>
          <w:rFonts w:ascii="Calibri" w:cs="Calibri" w:eastAsia="Calibri" w:hAnsi="Calibri"/>
          <w:sz w:val="22"/>
          <w:szCs w:val="22"/>
        </w:rPr>
        <w:t xml:space="preserve">Soporte para theming vía CSS variables o props de color para adaptarse a cada app</w:t>
      </w:r>
    </w:p>
    <w:p>
      <w:pPr>
        <w:pStyle w:val="ListParagraph"/>
        <w:numPr>
          <w:ilvl w:val="0"/>
          <w:numId w:val="2"/>
        </w:numPr>
      </w:pPr>
      <w:r>
        <w:rPr>
          <w:rFonts w:ascii="Calibri" w:cs="Calibri" w:eastAsia="Calibri" w:hAnsi="Calibri"/>
          <w:sz w:val="22"/>
          <w:szCs w:val="22"/>
        </w:rPr>
        <w:t xml:space="preserve">Modo modal y modo inline según la necesidad de cada integración</w:t>
      </w:r>
    </w:p>
    <w:p>
      <w:pPr>
        <w:pStyle w:val="ListParagraph"/>
        <w:numPr>
          <w:ilvl w:val="0"/>
          <w:numId w:val="2"/>
        </w:numPr>
      </w:pPr>
      <w:r>
        <w:rPr>
          <w:rFonts w:ascii="Calibri" w:cs="Calibri" w:eastAsia="Calibri" w:hAnsi="Calibri"/>
          <w:sz w:val="22"/>
          <w:szCs w:val="22"/>
        </w:rPr>
        <w:t xml:space="preserve">Manejo de estados: idle, loading, success, error con feedback visual claro</w:t>
      </w:r>
    </w:p>
    <w:p>
      <w:pPr>
        <w:pStyle w:val="ListParagraph"/>
        <w:numPr>
          <w:ilvl w:val="0"/>
          <w:numId w:val="2"/>
        </w:numPr>
      </w:pPr>
      <w:r>
        <w:rPr>
          <w:rFonts w:ascii="Calibri" w:cs="Calibri" w:eastAsia="Calibri" w:hAnsi="Calibri"/>
          <w:sz w:val="22"/>
          <w:szCs w:val="22"/>
        </w:rPr>
        <w:t xml:space="preserve">Tamaño de bundle reducido (&lt; 30KB gzipped) para no impactar la performance de las apps cliente</w:t>
      </w:r>
    </w:p>
    <w:p>
      <w:r>
        <w:t xml:space="preserve"/>
      </w:r>
    </w:p>
    <w:p>
      <w:pPr>
        <w:pStyle w:val="Heading2"/>
      </w:pPr>
      <w:r>
        <w:t xml:space="preserve">4.2 API Gateway / BFF</w:t>
      </w:r>
    </w:p>
    <w:p>
      <w:r>
        <w:rPr>
          <w:rFonts w:ascii="Calibri" w:cs="Calibri" w:eastAsia="Calibri" w:hAnsi="Calibri"/>
          <w:sz w:val="22"/>
          <w:szCs w:val="22"/>
        </w:rPr>
        <w:t xml:space="preserve">Punto de entrada único que desacopla los clientes del backend y centraliza los concerns transversales.</w:t>
      </w:r>
    </w:p>
    <w:p>
      <w:r>
        <w:t xml:space="preserve"/>
      </w:r>
    </w:p>
    <w:p>
      <w:pPr>
        <w:pStyle w:val="ListParagraph"/>
        <w:numPr>
          <w:ilvl w:val="0"/>
          <w:numId w:val="2"/>
        </w:numPr>
      </w:pPr>
      <w:r>
        <w:rPr>
          <w:rFonts w:ascii="Calibri" w:cs="Calibri" w:eastAsia="Calibri" w:hAnsi="Calibri"/>
          <w:sz w:val="22"/>
          <w:szCs w:val="22"/>
        </w:rPr>
        <w:t xml:space="preserve">Protocolo: REST (recomendado para MVP); GraphQL como evolución si los consumidores necesitan shapes distintos</w:t>
      </w:r>
    </w:p>
    <w:p>
      <w:pPr>
        <w:pStyle w:val="ListParagraph"/>
        <w:numPr>
          <w:ilvl w:val="0"/>
          <w:numId w:val="2"/>
        </w:numPr>
      </w:pPr>
      <w:r>
        <w:rPr>
          <w:rFonts w:ascii="Calibri" w:cs="Calibri" w:eastAsia="Calibri" w:hAnsi="Calibri"/>
          <w:sz w:val="22"/>
          <w:szCs w:val="22"/>
        </w:rPr>
        <w:t xml:space="preserve">Autenticación por API Key por organización — cada app cliente recibe su key única</w:t>
      </w:r>
    </w:p>
    <w:p>
      <w:pPr>
        <w:pStyle w:val="ListParagraph"/>
        <w:numPr>
          <w:ilvl w:val="0"/>
          <w:numId w:val="2"/>
        </w:numPr>
      </w:pPr>
      <w:r>
        <w:rPr>
          <w:rFonts w:ascii="Calibri" w:cs="Calibri" w:eastAsia="Calibri" w:hAnsi="Calibri"/>
          <w:sz w:val="22"/>
          <w:szCs w:val="22"/>
        </w:rPr>
        <w:t xml:space="preserve">Soporte opcional para JWT del usuario final provisto por la app cliente</w:t>
      </w:r>
    </w:p>
    <w:p>
      <w:pPr>
        <w:pStyle w:val="ListParagraph"/>
        <w:numPr>
          <w:ilvl w:val="0"/>
          <w:numId w:val="2"/>
        </w:numPr>
      </w:pPr>
      <w:r>
        <w:rPr>
          <w:rFonts w:ascii="Calibri" w:cs="Calibri" w:eastAsia="Calibri" w:hAnsi="Calibri"/>
          <w:sz w:val="22"/>
          <w:szCs w:val="22"/>
        </w:rPr>
        <w:t xml:space="preserve">Rate limiting por appId para prevenir abuso y spam de tickets</w:t>
      </w:r>
    </w:p>
    <w:p>
      <w:pPr>
        <w:pStyle w:val="ListParagraph"/>
        <w:numPr>
          <w:ilvl w:val="0"/>
          <w:numId w:val="2"/>
        </w:numPr>
      </w:pPr>
      <w:r>
        <w:rPr>
          <w:rFonts w:ascii="Calibri" w:cs="Calibri" w:eastAsia="Calibri" w:hAnsi="Calibri"/>
          <w:sz w:val="22"/>
          <w:szCs w:val="22"/>
        </w:rPr>
        <w:t xml:space="preserve">Validación de schema en entrada (Zod o Joi) con mensajes de error estructurados</w:t>
      </w:r>
    </w:p>
    <w:p>
      <w:pPr>
        <w:pStyle w:val="ListParagraph"/>
        <w:numPr>
          <w:ilvl w:val="0"/>
          <w:numId w:val="2"/>
        </w:numPr>
      </w:pPr>
      <w:r>
        <w:rPr>
          <w:rFonts w:ascii="Calibri" w:cs="Calibri" w:eastAsia="Calibri" w:hAnsi="Calibri"/>
          <w:sz w:val="22"/>
          <w:szCs w:val="22"/>
        </w:rPr>
        <w:t xml:space="preserve">Logging estructurado (JSON) de todas las requests para auditoría y debugging</w:t>
      </w:r>
    </w:p>
    <w:p>
      <w:pPr>
        <w:pStyle w:val="ListParagraph"/>
        <w:numPr>
          <w:ilvl w:val="0"/>
          <w:numId w:val="2"/>
        </w:numPr>
      </w:pPr>
      <w:r>
        <w:rPr>
          <w:rFonts w:ascii="Calibri" w:cs="Calibri" w:eastAsia="Calibri" w:hAnsi="Calibri"/>
          <w:sz w:val="22"/>
          <w:szCs w:val="22"/>
        </w:rPr>
        <w:t xml:space="preserve">Health check endpoint para monitoreo de infraestructura</w:t>
      </w:r>
    </w:p>
    <w:p>
      <w:pPr>
        <w:pStyle w:val="ListParagraph"/>
        <w:numPr>
          <w:ilvl w:val="0"/>
          <w:numId w:val="2"/>
        </w:numPr>
      </w:pPr>
      <w:r>
        <w:rPr>
          <w:rFonts w:ascii="Calibri" w:cs="Calibri" w:eastAsia="Calibri" w:hAnsi="Calibri"/>
          <w:sz w:val="22"/>
          <w:szCs w:val="22"/>
        </w:rPr>
        <w:t xml:space="preserve">Stack recomendado: Node.js + Fastify (bajo overhead, TypeScript nativo) o Hono (edge-compatible)</w:t>
      </w:r>
    </w:p>
    <w:p>
      <w:r>
        <w:t xml:space="preserve"/>
      </w:r>
    </w:p>
    <w:p>
      <w:pPr>
        <w:pStyle w:val="Heading2"/>
      </w:pPr>
      <w:r>
        <w:t xml:space="preserve">4.3 Ticket Service</w:t>
      </w:r>
    </w:p>
    <w:p>
      <w:r>
        <w:rPr>
          <w:rFonts w:ascii="Calibri" w:cs="Calibri" w:eastAsia="Calibri" w:hAnsi="Calibri"/>
          <w:sz w:val="22"/>
          <w:szCs w:val="22"/>
        </w:rPr>
        <w:t xml:space="preserve">Servicio principal que gestiona el ciclo de vida completo de un ticket.</w:t>
      </w:r>
    </w:p>
    <w:p>
      <w:r>
        <w:t xml:space="preserve"/>
      </w:r>
    </w:p>
    <w:p>
      <w:pPr>
        <w:pStyle w:val="ListParagraph"/>
        <w:numPr>
          <w:ilvl w:val="0"/>
          <w:numId w:val="2"/>
        </w:numPr>
      </w:pPr>
      <w:r>
        <w:rPr>
          <w:rFonts w:ascii="Calibri" w:cs="Calibri" w:eastAsia="Calibri" w:hAnsi="Calibri"/>
          <w:sz w:val="22"/>
          <w:szCs w:val="22"/>
        </w:rPr>
        <w:t xml:space="preserve">Entidades: Ticket, Comment, Attachment, Tag, Status, Priority</w:t>
      </w:r>
    </w:p>
    <w:p>
      <w:pPr>
        <w:pStyle w:val="ListParagraph"/>
        <w:numPr>
          <w:ilvl w:val="0"/>
          <w:numId w:val="2"/>
        </w:numPr>
      </w:pPr>
      <w:r>
        <w:rPr>
          <w:rFonts w:ascii="Calibri" w:cs="Calibri" w:eastAsia="Calibri" w:hAnsi="Calibri"/>
          <w:sz w:val="22"/>
          <w:szCs w:val="22"/>
        </w:rPr>
        <w:t xml:space="preserve">Estados del ticket: open → in_progress → pending_client → resolved → closed</w:t>
      </w:r>
    </w:p>
    <w:p>
      <w:pPr>
        <w:pStyle w:val="ListParagraph"/>
        <w:numPr>
          <w:ilvl w:val="0"/>
          <w:numId w:val="2"/>
        </w:numPr>
      </w:pPr>
      <w:r>
        <w:rPr>
          <w:rFonts w:ascii="Calibri" w:cs="Calibri" w:eastAsia="Calibri" w:hAnsi="Calibri"/>
          <w:sz w:val="22"/>
          <w:szCs w:val="22"/>
        </w:rPr>
        <w:t xml:space="preserve">Asignación manual o automática por reglas (por appId, tipo de error, keywords del título)</w:t>
      </w:r>
    </w:p>
    <w:p>
      <w:pPr>
        <w:pStyle w:val="ListParagraph"/>
        <w:numPr>
          <w:ilvl w:val="0"/>
          <w:numId w:val="2"/>
        </w:numPr>
      </w:pPr>
      <w:r>
        <w:rPr>
          <w:rFonts w:ascii="Calibri" w:cs="Calibri" w:eastAsia="Calibri" w:hAnsi="Calibri"/>
          <w:sz w:val="22"/>
          <w:szCs w:val="22"/>
        </w:rPr>
        <w:t xml:space="preserve">Soporte multi-tenant: cada organización ve únicamente sus propios tickets</w:t>
      </w:r>
    </w:p>
    <w:p>
      <w:pPr>
        <w:pStyle w:val="ListParagraph"/>
        <w:numPr>
          <w:ilvl w:val="0"/>
          <w:numId w:val="2"/>
        </w:numPr>
      </w:pPr>
      <w:r>
        <w:rPr>
          <w:rFonts w:ascii="Calibri" w:cs="Calibri" w:eastAsia="Calibri" w:hAnsi="Calibri"/>
          <w:sz w:val="22"/>
          <w:szCs w:val="22"/>
        </w:rPr>
        <w:t xml:space="preserve">Búsqueda full-text sobre título, descripción y comentarios (PostgreSQL tsvector)</w:t>
      </w:r>
    </w:p>
    <w:p>
      <w:pPr>
        <w:pStyle w:val="ListParagraph"/>
        <w:numPr>
          <w:ilvl w:val="0"/>
          <w:numId w:val="2"/>
        </w:numPr>
      </w:pPr>
      <w:r>
        <w:rPr>
          <w:rFonts w:ascii="Calibri" w:cs="Calibri" w:eastAsia="Calibri" w:hAnsi="Calibri"/>
          <w:sz w:val="22"/>
          <w:szCs w:val="22"/>
        </w:rPr>
        <w:t xml:space="preserve">Historial de cambios de estado por ticket (audit log)</w:t>
      </w:r>
    </w:p>
    <w:p>
      <w:pPr>
        <w:pStyle w:val="ListParagraph"/>
        <w:numPr>
          <w:ilvl w:val="0"/>
          <w:numId w:val="2"/>
        </w:numPr>
      </w:pPr>
      <w:r>
        <w:rPr>
          <w:rFonts w:ascii="Calibri" w:cs="Calibri" w:eastAsia="Calibri" w:hAnsi="Calibri"/>
          <w:sz w:val="22"/>
          <w:szCs w:val="22"/>
        </w:rPr>
        <w:t xml:space="preserve">Endpoint de webhooks outbound para notificar sistemas externos cuando cambia el estado</w:t>
      </w:r>
    </w:p>
    <w:p>
      <w:pPr>
        <w:pStyle w:val="ListParagraph"/>
        <w:numPr>
          <w:ilvl w:val="0"/>
          <w:numId w:val="2"/>
        </w:numPr>
      </w:pPr>
      <w:r>
        <w:rPr>
          <w:rFonts w:ascii="Calibri" w:cs="Calibri" w:eastAsia="Calibri" w:hAnsi="Calibri"/>
          <w:sz w:val="22"/>
          <w:szCs w:val="22"/>
        </w:rPr>
        <w:t xml:space="preserve">Paginación y filtros en el endpoint de listado: estado, prioridad, app origen, fecha</w:t>
      </w:r>
    </w:p>
    <w:p>
      <w:r>
        <w:t xml:space="preserve"/>
      </w:r>
    </w:p>
    <w:p>
      <w:r>
        <w:br w:type="page"/>
      </w:r>
    </w:p>
    <w:p>
      <w:pPr>
        <w:pStyle w:val="Heading2"/>
      </w:pPr>
      <w:r>
        <w:t xml:space="preserve">4.4 Context Service</w:t>
      </w:r>
    </w:p>
    <w:p>
      <w:r>
        <w:rPr>
          <w:rFonts w:ascii="Calibri" w:cs="Calibri" w:eastAsia="Calibri" w:hAnsi="Calibri"/>
          <w:sz w:val="22"/>
          <w:szCs w:val="22"/>
        </w:rPr>
        <w:t xml:space="preserve">El diferenciador clave frente a una ticketera genérica: captura y preserva el contexto de la sesión con el agente AI.</w:t>
      </w:r>
    </w:p>
    <w:p>
      <w:r>
        <w:t xml:space="preserve"/>
      </w:r>
    </w:p>
    <w:p>
      <w:pPr>
        <w:pStyle w:val="ListParagraph"/>
        <w:numPr>
          <w:ilvl w:val="0"/>
          <w:numId w:val="2"/>
        </w:numPr>
      </w:pPr>
      <w:r>
        <w:rPr>
          <w:rFonts w:ascii="Calibri" w:cs="Calibri" w:eastAsia="Calibri" w:hAnsi="Calibri"/>
          <w:sz w:val="22"/>
          <w:szCs w:val="22"/>
        </w:rPr>
        <w:t xml:space="preserve">Al crear un ticket, acepta un payload de contexto con los últimos N mensajes del agente</w:t>
      </w:r>
    </w:p>
    <w:p>
      <w:pPr>
        <w:pStyle w:val="ListParagraph"/>
        <w:numPr>
          <w:ilvl w:val="0"/>
          <w:numId w:val="2"/>
        </w:numPr>
      </w:pPr>
      <w:r>
        <w:rPr>
          <w:rFonts w:ascii="Calibri" w:cs="Calibri" w:eastAsia="Calibri" w:hAnsi="Calibri"/>
          <w:sz w:val="22"/>
          <w:szCs w:val="22"/>
        </w:rPr>
        <w:t xml:space="preserve">Almacena metadata de sesión: URL/pantalla donde ocurrió el error, datos del usuario, timestamp</w:t>
      </w:r>
    </w:p>
    <w:p>
      <w:pPr>
        <w:pStyle w:val="ListParagraph"/>
        <w:numPr>
          <w:ilvl w:val="0"/>
          <w:numId w:val="2"/>
        </w:numPr>
      </w:pPr>
      <w:r>
        <w:rPr>
          <w:rFonts w:ascii="Calibri" w:cs="Calibri" w:eastAsia="Calibri" w:hAnsi="Calibri"/>
          <w:sz w:val="22"/>
          <w:szCs w:val="22"/>
        </w:rPr>
        <w:t xml:space="preserve">Formato de almacenamiento: JSONB en PostgreSQL para contextos pequeños, objeto en S3/R2 para sesiones largas</w:t>
      </w:r>
    </w:p>
    <w:p>
      <w:pPr>
        <w:pStyle w:val="ListParagraph"/>
        <w:numPr>
          <w:ilvl w:val="0"/>
          <w:numId w:val="2"/>
        </w:numPr>
      </w:pPr>
      <w:r>
        <w:rPr>
          <w:rFonts w:ascii="Calibri" w:cs="Calibri" w:eastAsia="Calibri" w:hAnsi="Calibri"/>
          <w:sz w:val="22"/>
          <w:szCs w:val="22"/>
        </w:rPr>
        <w:t xml:space="preserve">Expone el contexto al agente mismo para que pueda hacer follow-up inteligente sobre tickets previos</w:t>
      </w:r>
    </w:p>
    <w:p>
      <w:pPr>
        <w:pStyle w:val="ListParagraph"/>
        <w:numPr>
          <w:ilvl w:val="0"/>
          <w:numId w:val="2"/>
        </w:numPr>
      </w:pPr>
      <w:r>
        <w:rPr>
          <w:rFonts w:ascii="Calibri" w:cs="Calibri" w:eastAsia="Calibri" w:hAnsi="Calibri"/>
          <w:sz w:val="22"/>
          <w:szCs w:val="22"/>
        </w:rPr>
        <w:t xml:space="preserve">Política de retención configurable por organización (ej: 90 días para contextos, 1 año para tickets)</w:t>
      </w:r>
    </w:p>
    <w:p>
      <w:r>
        <w:t xml:space="preserve"/>
      </w:r>
    </w:p>
    <w:p>
      <w:pPr>
        <w:pStyle w:val="Heading2"/>
      </w:pPr>
      <w:r>
        <w:t xml:space="preserve">4.5 Notification Service</w:t>
      </w:r>
    </w:p>
    <w:p>
      <w:r>
        <w:rPr>
          <w:rFonts w:ascii="Calibri" w:cs="Calibri" w:eastAsia="Calibri" w:hAnsi="Calibri"/>
          <w:sz w:val="22"/>
          <w:szCs w:val="22"/>
        </w:rPr>
        <w:t xml:space="preserve">Gestiona todas las comunicaciones salientes del sistema hacia usuarios y equipos de soporte.</w:t>
      </w:r>
    </w:p>
    <w:p>
      <w:r>
        <w:t xml:space="preserve"/>
      </w:r>
    </w:p>
    <w:p>
      <w:pPr>
        <w:pStyle w:val="ListParagraph"/>
        <w:numPr>
          <w:ilvl w:val="0"/>
          <w:numId w:val="2"/>
        </w:numPr>
      </w:pPr>
      <w:r>
        <w:rPr>
          <w:rFonts w:ascii="Calibri" w:cs="Calibri" w:eastAsia="Calibri" w:hAnsi="Calibri"/>
          <w:sz w:val="22"/>
          <w:szCs w:val="22"/>
        </w:rPr>
        <w:t xml:space="preserve">Email transaccional: confirmación al cliente y alertas al equipo (Resend o SendGrid)</w:t>
      </w:r>
    </w:p>
    <w:p>
      <w:pPr>
        <w:pStyle w:val="ListParagraph"/>
        <w:numPr>
          <w:ilvl w:val="0"/>
          <w:numId w:val="2"/>
        </w:numPr>
      </w:pPr>
      <w:r>
        <w:rPr>
          <w:rFonts w:ascii="Calibri" w:cs="Calibri" w:eastAsia="Calibri" w:hAnsi="Calibri"/>
          <w:sz w:val="22"/>
          <w:szCs w:val="22"/>
        </w:rPr>
        <w:t xml:space="preserve">Webhooks configurables por organización para integrar con Slack, Jira, Linear, Notion, etc.</w:t>
      </w:r>
    </w:p>
    <w:p>
      <w:pPr>
        <w:pStyle w:val="ListParagraph"/>
        <w:numPr>
          <w:ilvl w:val="0"/>
          <w:numId w:val="2"/>
        </w:numPr>
      </w:pPr>
      <w:r>
        <w:rPr>
          <w:rFonts w:ascii="Calibri" w:cs="Calibri" w:eastAsia="Calibri" w:hAnsi="Calibri"/>
          <w:sz w:val="22"/>
          <w:szCs w:val="22"/>
        </w:rPr>
        <w:t xml:space="preserve">Sistema de plantillas por evento: ticket creado, comentario añadido, estado cambiado, SLA en riesgo</w:t>
      </w:r>
    </w:p>
    <w:p>
      <w:pPr>
        <w:pStyle w:val="ListParagraph"/>
        <w:numPr>
          <w:ilvl w:val="0"/>
          <w:numId w:val="2"/>
        </w:numPr>
      </w:pPr>
      <w:r>
        <w:rPr>
          <w:rFonts w:ascii="Calibri" w:cs="Calibri" w:eastAsia="Calibri" w:hAnsi="Calibri"/>
          <w:sz w:val="22"/>
          <w:szCs w:val="22"/>
        </w:rPr>
        <w:t xml:space="preserve">Cola de reintentos con backoff exponencial para envíos fallidos</w:t>
      </w:r>
    </w:p>
    <w:p>
      <w:pPr>
        <w:pStyle w:val="ListParagraph"/>
        <w:numPr>
          <w:ilvl w:val="0"/>
          <w:numId w:val="2"/>
        </w:numPr>
      </w:pPr>
      <w:r>
        <w:rPr>
          <w:rFonts w:ascii="Calibri" w:cs="Calibri" w:eastAsia="Calibri" w:hAnsi="Calibri"/>
          <w:sz w:val="22"/>
          <w:szCs w:val="22"/>
        </w:rPr>
        <w:t xml:space="preserve">Registro de todos los envíos con estado para diagnóstico</w:t>
      </w:r>
    </w:p>
    <w:p>
      <w:r>
        <w:t xml:space="preserve"/>
      </w:r>
    </w:p>
    <w:p>
      <w:pPr>
        <w:pStyle w:val="Heading2"/>
      </w:pPr>
      <w:r>
        <w:t xml:space="preserve">4.6 Base de Datos y Storage</w:t>
      </w:r>
    </w:p>
    <w:p>
      <w:r>
        <w:rPr>
          <w:rFonts w:ascii="Calibri" w:cs="Calibri" w:eastAsia="Calibri" w:hAnsi="Calibri"/>
          <w:sz w:val="22"/>
          <w:szCs w:val="22"/>
        </w:rPr>
        <w:t xml:space="preserve">Capa de persistencia diseñada para soportar multi-tenancy desde el inicio.</w:t>
      </w:r>
    </w:p>
    <w:p>
      <w:r>
        <w:t xml:space="preserve"/>
      </w:r>
    </w:p>
    <w:p>
      <w:pPr>
        <w:pStyle w:val="ListParagraph"/>
        <w:numPr>
          <w:ilvl w:val="0"/>
          <w:numId w:val="2"/>
        </w:numPr>
      </w:pPr>
      <w:r>
        <w:rPr>
          <w:rFonts w:ascii="Calibri" w:cs="Calibri" w:eastAsia="Calibri" w:hAnsi="Calibri"/>
          <w:sz w:val="22"/>
          <w:szCs w:val="22"/>
        </w:rPr>
        <w:t xml:space="preserve">PostgreSQL como fuente de verdad para tickets, usuarios, organizaciones y configuraciones</w:t>
      </w:r>
    </w:p>
    <w:p>
      <w:pPr>
        <w:pStyle w:val="ListParagraph"/>
        <w:numPr>
          <w:ilvl w:val="0"/>
          <w:numId w:val="2"/>
        </w:numPr>
      </w:pPr>
      <w:r>
        <w:rPr>
          <w:rFonts w:ascii="Calibri" w:cs="Calibri" w:eastAsia="Calibri" w:hAnsi="Calibri"/>
          <w:sz w:val="22"/>
          <w:szCs w:val="22"/>
        </w:rPr>
        <w:t xml:space="preserve">Row-Level Security (RLS) en PostgreSQL para aislar datos por org_id en todas las tablas</w:t>
      </w:r>
    </w:p>
    <w:p>
      <w:pPr>
        <w:pStyle w:val="ListParagraph"/>
        <w:numPr>
          <w:ilvl w:val="0"/>
          <w:numId w:val="2"/>
        </w:numPr>
      </w:pPr>
      <w:r>
        <w:rPr>
          <w:rFonts w:ascii="Calibri" w:cs="Calibri" w:eastAsia="Calibri" w:hAnsi="Calibri"/>
          <w:sz w:val="22"/>
          <w:szCs w:val="22"/>
        </w:rPr>
        <w:t xml:space="preserve">Redis para caché de sesiones, rate limiting distribuido y pub/sub (WebSockets opcionales)</w:t>
      </w:r>
    </w:p>
    <w:p>
      <w:pPr>
        <w:pStyle w:val="ListParagraph"/>
        <w:numPr>
          <w:ilvl w:val="0"/>
          <w:numId w:val="2"/>
        </w:numPr>
      </w:pPr>
      <w:r>
        <w:rPr>
          <w:rFonts w:ascii="Calibri" w:cs="Calibri" w:eastAsia="Calibri" w:hAnsi="Calibri"/>
          <w:sz w:val="22"/>
          <w:szCs w:val="22"/>
        </w:rPr>
        <w:t xml:space="preserve">Object Storage: Cloudflare R2 (S3-compatible, costo reducido) para adjuntos y logs de sesiones largas</w:t>
      </w:r>
    </w:p>
    <w:p>
      <w:pPr>
        <w:pStyle w:val="ListParagraph"/>
        <w:numPr>
          <w:ilvl w:val="0"/>
          <w:numId w:val="2"/>
        </w:numPr>
      </w:pPr>
      <w:r>
        <w:rPr>
          <w:rFonts w:ascii="Calibri" w:cs="Calibri" w:eastAsia="Calibri" w:hAnsi="Calibri"/>
          <w:sz w:val="22"/>
          <w:szCs w:val="22"/>
        </w:rPr>
        <w:t xml:space="preserve">Índices en columnas de filtrado frecuente: org_id, status, created_at, app_id</w:t>
      </w:r>
    </w:p>
    <w:p>
      <w:pPr>
        <w:pStyle w:val="ListParagraph"/>
        <w:numPr>
          <w:ilvl w:val="0"/>
          <w:numId w:val="2"/>
        </w:numPr>
      </w:pPr>
      <w:r>
        <w:rPr>
          <w:rFonts w:ascii="Calibri" w:cs="Calibri" w:eastAsia="Calibri" w:hAnsi="Calibri"/>
          <w:sz w:val="22"/>
          <w:szCs w:val="22"/>
        </w:rPr>
        <w:t xml:space="preserve">Migraciones versionadas con Prisma Migrate o Flyway para evolución controlada del schema</w:t>
      </w:r>
    </w:p>
    <w:p>
      <w:r>
        <w:t xml:space="preserve"/>
      </w:r>
    </w:p>
    <w:p>
      <w:pPr>
        <w:pStyle w:val="Heading2"/>
      </w:pPr>
      <w:r>
        <w:t xml:space="preserve">4.7 Autenticación y Multitenancy</w:t>
      </w:r>
    </w:p>
    <w:p>
      <w:r>
        <w:rPr>
          <w:rFonts w:ascii="Calibri" w:cs="Calibri" w:eastAsia="Calibri" w:hAnsi="Calibri"/>
          <w:sz w:val="22"/>
          <w:szCs w:val="22"/>
        </w:rPr>
        <w:t xml:space="preserve">El modelo de seguridad permite que una sola instancia del servicio atienda múltiples organizaciones de forma segura e independiente.</w:t>
      </w:r>
    </w:p>
    <w:p>
      <w:r>
        <w:t xml:space="preserve"/>
      </w:r>
    </w:p>
    <w:p>
      <w:pPr>
        <w:pStyle w:val="ListParagraph"/>
        <w:numPr>
          <w:ilvl w:val="0"/>
          <w:numId w:val="2"/>
        </w:numPr>
      </w:pPr>
      <w:r>
        <w:rPr>
          <w:rFonts w:ascii="Calibri" w:cs="Calibri" w:eastAsia="Calibri" w:hAnsi="Calibri"/>
          <w:sz w:val="22"/>
          <w:szCs w:val="22"/>
        </w:rPr>
        <w:t xml:space="preserve">Cada organización recibe un org_id único + API Key al registrarse</w:t>
      </w:r>
    </w:p>
    <w:p>
      <w:pPr>
        <w:pStyle w:val="ListParagraph"/>
        <w:numPr>
          <w:ilvl w:val="0"/>
          <w:numId w:val="2"/>
        </w:numPr>
      </w:pPr>
      <w:r>
        <w:rPr>
          <w:rFonts w:ascii="Calibri" w:cs="Calibri" w:eastAsia="Calibri" w:hAnsi="Calibri"/>
          <w:sz w:val="22"/>
          <w:szCs w:val="22"/>
        </w:rPr>
        <w:t xml:space="preserve">El SDK usa la API Key en el header Authorization de cada request</w:t>
      </w:r>
    </w:p>
    <w:p>
      <w:pPr>
        <w:pStyle w:val="ListParagraph"/>
        <w:numPr>
          <w:ilvl w:val="0"/>
          <w:numId w:val="2"/>
        </w:numPr>
      </w:pPr>
      <w:r>
        <w:rPr>
          <w:rFonts w:ascii="Calibri" w:cs="Calibri" w:eastAsia="Calibri" w:hAnsi="Calibri"/>
          <w:sz w:val="22"/>
          <w:szCs w:val="22"/>
        </w:rPr>
        <w:t xml:space="preserve">El usuario final puede ser anónimo (solo email) o autenticado si la app cliente provee un JWT</w:t>
      </w:r>
    </w:p>
    <w:p>
      <w:pPr>
        <w:pStyle w:val="ListParagraph"/>
        <w:numPr>
          <w:ilvl w:val="0"/>
          <w:numId w:val="2"/>
        </w:numPr>
      </w:pPr>
      <w:r>
        <w:rPr>
          <w:rFonts w:ascii="Calibri" w:cs="Calibri" w:eastAsia="Calibri" w:hAnsi="Calibri"/>
          <w:sz w:val="22"/>
          <w:szCs w:val="22"/>
        </w:rPr>
        <w:t xml:space="preserve">Panel de administración con su propio flujo de auth (Clerk o Auth.js para acelerar desarrollo)</w:t>
      </w:r>
    </w:p>
    <w:p>
      <w:pPr>
        <w:pStyle w:val="ListParagraph"/>
        <w:numPr>
          <w:ilvl w:val="0"/>
          <w:numId w:val="2"/>
        </w:numPr>
      </w:pPr>
      <w:r>
        <w:rPr>
          <w:rFonts w:ascii="Calibri" w:cs="Calibri" w:eastAsia="Calibri" w:hAnsi="Calibri"/>
          <w:sz w:val="22"/>
          <w:szCs w:val="22"/>
        </w:rPr>
        <w:t xml:space="preserve">Roles básicos en el panel: Admin, Soporte, Solo lectura</w:t>
      </w:r>
    </w:p>
    <w:p>
      <w:pPr>
        <w:pStyle w:val="ListParagraph"/>
        <w:numPr>
          <w:ilvl w:val="0"/>
          <w:numId w:val="2"/>
        </w:numPr>
      </w:pPr>
      <w:r>
        <w:rPr>
          <w:rFonts w:ascii="Calibri" w:cs="Calibri" w:eastAsia="Calibri" w:hAnsi="Calibri"/>
          <w:sz w:val="22"/>
          <w:szCs w:val="22"/>
        </w:rPr>
        <w:t xml:space="preserve">Rotación de API Keys sin downtime mediante ventana de validez dual durante la transición</w:t>
      </w:r>
    </w:p>
    <w:p>
      <w:r>
        <w:t xml:space="preserve"/>
      </w:r>
    </w:p>
    <w:p>
      <w:pPr>
        <w:pStyle w:val="Heading2"/>
      </w:pPr>
      <w:r>
        <w:t xml:space="preserve">4.8 Panel de Administración</w:t>
      </w:r>
    </w:p>
    <w:p>
      <w:r>
        <w:rPr>
          <w:rFonts w:ascii="Calibri" w:cs="Calibri" w:eastAsia="Calibri" w:hAnsi="Calibri"/>
          <w:sz w:val="22"/>
          <w:szCs w:val="22"/>
        </w:rPr>
        <w:t xml:space="preserve">Interfaz web para que el equipo de soporte gestione los tickets recibidos de todas las organizaciones.</w:t>
      </w:r>
    </w:p>
    <w:p>
      <w:r>
        <w:t xml:space="preserve"/>
      </w:r>
    </w:p>
    <w:p>
      <w:pPr>
        <w:pStyle w:val="ListParagraph"/>
        <w:numPr>
          <w:ilvl w:val="0"/>
          <w:numId w:val="2"/>
        </w:numPr>
      </w:pPr>
      <w:r>
        <w:rPr>
          <w:rFonts w:ascii="Calibri" w:cs="Calibri" w:eastAsia="Calibri" w:hAnsi="Calibri"/>
          <w:sz w:val="22"/>
          <w:szCs w:val="22"/>
        </w:rPr>
        <w:t xml:space="preserve">Vista de tickets filtrable por estado, prioridad, app origen y agente asignado</w:t>
      </w:r>
    </w:p>
    <w:p>
      <w:pPr>
        <w:pStyle w:val="ListParagraph"/>
        <w:numPr>
          <w:ilvl w:val="0"/>
          <w:numId w:val="2"/>
        </w:numPr>
      </w:pPr>
      <w:r>
        <w:rPr>
          <w:rFonts w:ascii="Calibri" w:cs="Calibri" w:eastAsia="Calibri" w:hAnsi="Calibri"/>
          <w:sz w:val="22"/>
          <w:szCs w:val="22"/>
        </w:rPr>
        <w:t xml:space="preserve">Vista de conversación del ticket con el contexto del agente adjunto visible</w:t>
      </w:r>
    </w:p>
    <w:p>
      <w:pPr>
        <w:pStyle w:val="ListParagraph"/>
        <w:numPr>
          <w:ilvl w:val="0"/>
          <w:numId w:val="2"/>
        </w:numPr>
      </w:pPr>
      <w:r>
        <w:rPr>
          <w:rFonts w:ascii="Calibri" w:cs="Calibri" w:eastAsia="Calibri" w:hAnsi="Calibri"/>
          <w:sz w:val="22"/>
          <w:szCs w:val="22"/>
        </w:rPr>
        <w:t xml:space="preserve">Gestión de organizaciones: crear, editar, regenerar API Keys, configurar webhooks</w:t>
      </w:r>
    </w:p>
    <w:p>
      <w:pPr>
        <w:pStyle w:val="ListParagraph"/>
        <w:numPr>
          <w:ilvl w:val="0"/>
          <w:numId w:val="2"/>
        </w:numPr>
      </w:pPr>
      <w:r>
        <w:rPr>
          <w:rFonts w:ascii="Calibri" w:cs="Calibri" w:eastAsia="Calibri" w:hAnsi="Calibri"/>
          <w:sz w:val="22"/>
          <w:szCs w:val="22"/>
        </w:rPr>
        <w:t xml:space="preserve">Dashboard con métricas básicas: tickets por estado, tiempo promedio de resolución, volumen por app</w:t>
      </w:r>
    </w:p>
    <w:p>
      <w:pPr>
        <w:pStyle w:val="ListParagraph"/>
        <w:numPr>
          <w:ilvl w:val="0"/>
          <w:numId w:val="2"/>
        </w:numPr>
      </w:pPr>
      <w:r>
        <w:rPr>
          <w:rFonts w:ascii="Calibri" w:cs="Calibri" w:eastAsia="Calibri" w:hAnsi="Calibri"/>
          <w:sz w:val="22"/>
          <w:szCs w:val="22"/>
        </w:rPr>
        <w:t xml:space="preserve">Stack recomendado: Next.js + TypeScript + shadcn/ui</w:t>
      </w:r>
    </w:p>
    <w:p>
      <w:r>
        <w:t xml:space="preserve"/>
      </w:r>
    </w:p>
    <w:p>
      <w:r>
        <w:br w:type="page"/>
      </w:r>
    </w:p>
    <w:p>
      <w:pPr>
        <w:pStyle w:val="Heading1"/>
      </w:pPr>
      <w:r>
        <w:t xml:space="preserve">5. Stack Tecnológico Recomendado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65A82" w:sz="1"/>
              <w:left w:val="single" w:color="065A82" w:sz="1"/>
              <w:bottom w:val="single" w:color="065A82" w:sz="1"/>
              <w:right w:val="single" w:color="065A82" w:sz="1"/>
            </w:tcBorders>
            <w:shd w:fill="065A82" w:val="clear"/>
            <w:tcMar>
              <w:top w:type="dxa" w:w="100"/>
              <w:left w:type="dxa" w:w="140"/>
              <w:bottom w:type="dxa" w:w="100"/>
              <w:right w:type="dxa" w:w="140"/>
            </w:tcMar>
          </w:tcPr>
          <w:p>
            <w:r>
              <w:rPr>
                <w:rFonts w:ascii="Calibri" w:cs="Calibri" w:eastAsia="Calibri" w:hAnsi="Calibri"/>
                <w:b/>
                <w:bCs/>
                <w:color w:val="FFFFFF"/>
                <w:sz w:val="20"/>
                <w:szCs w:val="20"/>
              </w:rPr>
              <w:t xml:space="preserve">Capa</w:t>
            </w:r>
          </w:p>
        </w:tc>
        <w:tc>
          <w:tcPr>
            <w:tcW w:type="dxa" w:w="2800"/>
            <w:tcBorders>
              <w:top w:val="single" w:color="065A82" w:sz="1"/>
              <w:left w:val="single" w:color="065A82" w:sz="1"/>
              <w:bottom w:val="single" w:color="065A82" w:sz="1"/>
              <w:right w:val="single" w:color="065A82" w:sz="1"/>
            </w:tcBorders>
            <w:shd w:fill="065A82" w:val="clear"/>
            <w:tcMar>
              <w:top w:type="dxa" w:w="100"/>
              <w:left w:type="dxa" w:w="140"/>
              <w:bottom w:type="dxa" w:w="100"/>
              <w:right w:type="dxa" w:w="140"/>
            </w:tcMar>
          </w:tcPr>
          <w:p>
            <w:r>
              <w:rPr>
                <w:rFonts w:ascii="Calibri" w:cs="Calibri" w:eastAsia="Calibri" w:hAnsi="Calibri"/>
                <w:b/>
                <w:bCs/>
                <w:color w:val="FFFFFF"/>
                <w:sz w:val="20"/>
                <w:szCs w:val="20"/>
              </w:rPr>
              <w:t xml:space="preserve">Tecnología</w:t>
            </w:r>
          </w:p>
        </w:tc>
        <w:tc>
          <w:tcPr>
            <w:tcW w:type="dxa" w:w="4560"/>
            <w:tcBorders>
              <w:top w:val="single" w:color="065A82" w:sz="1"/>
              <w:left w:val="single" w:color="065A82" w:sz="1"/>
              <w:bottom w:val="single" w:color="065A82" w:sz="1"/>
              <w:right w:val="single" w:color="065A82" w:sz="1"/>
            </w:tcBorders>
            <w:shd w:fill="065A82" w:val="clear"/>
            <w:tcMar>
              <w:top w:type="dxa" w:w="100"/>
              <w:left w:type="dxa" w:w="140"/>
              <w:bottom w:type="dxa" w:w="100"/>
              <w:right w:type="dxa" w:w="140"/>
            </w:tcMar>
          </w:tcPr>
          <w:p>
            <w:r>
              <w:rPr>
                <w:rFonts w:ascii="Calibri" w:cs="Calibri" w:eastAsia="Calibri" w:hAnsi="Calibri"/>
                <w:b/>
                <w:bCs/>
                <w:color w:val="FFFFFF"/>
                <w:sz w:val="20"/>
                <w:szCs w:val="20"/>
              </w:rPr>
              <w:t xml:space="preserve">Justificación</w:t>
            </w:r>
          </w:p>
        </w:tc>
      </w:tr>
      <w:tr>
        <w:tc>
          <w:tcPr>
            <w:tcW w:type="dxa" w:w="2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SDK / Widget</w:t>
            </w:r>
          </w:p>
        </w:tc>
        <w:tc>
          <w:tcPr>
            <w:tcW w:type="dxa" w:w="28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TypeScript + Web Components</w:t>
            </w:r>
          </w:p>
        </w:tc>
        <w:tc>
          <w:tcPr>
            <w:tcW w:type="dxa" w:w="45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Compatibilidad universal, sin dependencia de framework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API Gateway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Node.js + Fastify o Hono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Bajo overhead, TypeScript nativo, edge-compatible</w:t>
            </w:r>
          </w:p>
        </w:tc>
      </w:tr>
      <w:tr>
        <w:tc>
          <w:tcPr>
            <w:tcW w:type="dxa" w:w="2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Servicios Core</w:t>
            </w:r>
          </w:p>
        </w:tc>
        <w:tc>
          <w:tcPr>
            <w:tcW w:type="dxa" w:w="28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Node.js + TypeScript</w:t>
            </w:r>
          </w:p>
        </w:tc>
        <w:tc>
          <w:tcPr>
            <w:tcW w:type="dxa" w:w="45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Ecosistema maduro, fácil integración con PostgreSQL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Base de datos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PostgreSQL + Redis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Robustez, RLS para multitenancy, caché eficiente</w:t>
            </w:r>
          </w:p>
        </w:tc>
      </w:tr>
      <w:tr>
        <w:tc>
          <w:tcPr>
            <w:tcW w:type="dxa" w:w="2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Object Storage</w:t>
            </w:r>
          </w:p>
        </w:tc>
        <w:tc>
          <w:tcPr>
            <w:tcW w:type="dxa" w:w="28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Cloudflare R2</w:t>
            </w:r>
          </w:p>
        </w:tc>
        <w:tc>
          <w:tcPr>
            <w:tcW w:type="dxa" w:w="45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S3-compatible, costo reducido, baja latencia global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Panel Admin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Next.js + shadcn/ui</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App Router, SSR, componentes accesibles listos para usar</w:t>
            </w:r>
          </w:p>
        </w:tc>
      </w:tr>
      <w:tr>
        <w:tc>
          <w:tcPr>
            <w:tcW w:type="dxa" w:w="2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Notificaciones</w:t>
            </w:r>
          </w:p>
        </w:tc>
        <w:tc>
          <w:tcPr>
            <w:tcW w:type="dxa" w:w="28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Resend + webhooks propios</w:t>
            </w:r>
          </w:p>
        </w:tc>
        <w:tc>
          <w:tcPr>
            <w:tcW w:type="dxa" w:w="45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API simple, plantillas HTML, alta deliverability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Deploy (inicio)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Railway o Fly.io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Despliegue simple, soporte PostgreSQL gestionado</w:t>
            </w:r>
          </w:p>
        </w:tc>
      </w:tr>
      <w:tr>
        <w:tc>
          <w:tcPr>
            <w:tcW w:type="dxa" w:w="2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Deploy (escala)</w:t>
            </w:r>
          </w:p>
        </w:tc>
        <w:tc>
          <w:tcPr>
            <w:tcW w:type="dxa" w:w="28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AWS ECS o Kubernetes</w:t>
            </w:r>
          </w:p>
        </w:tc>
        <w:tc>
          <w:tcPr>
            <w:tcW w:type="dxa" w:w="45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Alta disponibilidad, auto-scaling, control total</w:t>
            </w:r>
          </w:p>
        </w:tc>
      </w:tr>
    </w:tbl>
    <w:p>
      <w:r>
        <w:t xml:space="preserve"/>
      </w:r>
    </w:p>
    <w:p>
      <w:pPr>
        <w:pStyle w:val="Heading1"/>
      </w:pPr>
      <w:r>
        <w:t xml:space="preserve">6. Roadmap de Implementación (MVP)</w:t>
      </w:r>
    </w:p>
    <w:p>
      <w:r>
        <w:rPr>
          <w:rFonts w:ascii="Calibri" w:cs="Calibri" w:eastAsia="Calibri" w:hAnsi="Calibri"/>
          <w:sz w:val="22"/>
          <w:szCs w:val="22"/>
        </w:rPr>
        <w:t xml:space="preserve">El orden recomendado prioriza las piezas que generan valor más rápido y desbloquean las siguientes fases: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500"/>
        <w:gridCol w:w="2960"/>
      </w:tblGrid>
      <w:tr>
        <w:trPr>
          <w:tblHeader/>
        </w:trPr>
        <w:tc>
          <w:tcPr>
            <w:tcW w:type="dxa" w:w="900"/>
            <w:tcBorders>
              <w:top w:val="single" w:color="065A82" w:sz="1"/>
              <w:left w:val="single" w:color="065A82" w:sz="1"/>
              <w:bottom w:val="single" w:color="065A82" w:sz="1"/>
              <w:right w:val="single" w:color="065A82" w:sz="1"/>
            </w:tcBorders>
            <w:shd w:fill="065A82" w:val="clear"/>
            <w:tcMar>
              <w:top w:type="dxa" w:w="100"/>
              <w:left w:type="dxa" w:w="140"/>
              <w:bottom w:type="dxa" w:w="100"/>
              <w:right w:type="dxa" w:w="140"/>
            </w:tcMar>
          </w:tcPr>
          <w:p>
            <w:r>
              <w:rPr>
                <w:rFonts w:ascii="Calibri" w:cs="Calibri" w:eastAsia="Calibri" w:hAnsi="Calibri"/>
                <w:b/>
                <w:bCs/>
                <w:color w:val="FFFFFF"/>
                <w:sz w:val="20"/>
                <w:szCs w:val="20"/>
              </w:rPr>
              <w:t xml:space="preserve">Fase</w:t>
            </w:r>
          </w:p>
        </w:tc>
        <w:tc>
          <w:tcPr>
            <w:tcW w:type="dxa" w:w="2000"/>
            <w:tcBorders>
              <w:top w:val="single" w:color="065A82" w:sz="1"/>
              <w:left w:val="single" w:color="065A82" w:sz="1"/>
              <w:bottom w:val="single" w:color="065A82" w:sz="1"/>
              <w:right w:val="single" w:color="065A82" w:sz="1"/>
            </w:tcBorders>
            <w:shd w:fill="065A82" w:val="clear"/>
            <w:tcMar>
              <w:top w:type="dxa" w:w="100"/>
              <w:left w:type="dxa" w:w="140"/>
              <w:bottom w:type="dxa" w:w="100"/>
              <w:right w:type="dxa" w:w="140"/>
            </w:tcMar>
          </w:tcPr>
          <w:p>
            <w:r>
              <w:rPr>
                <w:rFonts w:ascii="Calibri" w:cs="Calibri" w:eastAsia="Calibri" w:hAnsi="Calibri"/>
                <w:b/>
                <w:bCs/>
                <w:color w:val="FFFFFF"/>
                <w:sz w:val="20"/>
                <w:szCs w:val="20"/>
              </w:rPr>
              <w:t xml:space="preserve">Objetivo</w:t>
            </w:r>
          </w:p>
        </w:tc>
        <w:tc>
          <w:tcPr>
            <w:tcW w:type="dxa" w:w="3500"/>
            <w:tcBorders>
              <w:top w:val="single" w:color="065A82" w:sz="1"/>
              <w:left w:val="single" w:color="065A82" w:sz="1"/>
              <w:bottom w:val="single" w:color="065A82" w:sz="1"/>
              <w:right w:val="single" w:color="065A82" w:sz="1"/>
            </w:tcBorders>
            <w:shd w:fill="065A82" w:val="clear"/>
            <w:tcMar>
              <w:top w:type="dxa" w:w="100"/>
              <w:left w:type="dxa" w:w="140"/>
              <w:bottom w:type="dxa" w:w="100"/>
              <w:right w:type="dxa" w:w="140"/>
            </w:tcMar>
          </w:tcPr>
          <w:p>
            <w:r>
              <w:rPr>
                <w:rFonts w:ascii="Calibri" w:cs="Calibri" w:eastAsia="Calibri" w:hAnsi="Calibri"/>
                <w:b/>
                <w:bCs/>
                <w:color w:val="FFFFFF"/>
                <w:sz w:val="20"/>
                <w:szCs w:val="20"/>
              </w:rPr>
              <w:t xml:space="preserve">Entregables clave</w:t>
            </w:r>
          </w:p>
        </w:tc>
        <w:tc>
          <w:tcPr>
            <w:tcW w:type="dxa" w:w="2960"/>
            <w:tcBorders>
              <w:top w:val="single" w:color="065A82" w:sz="1"/>
              <w:left w:val="single" w:color="065A82" w:sz="1"/>
              <w:bottom w:val="single" w:color="065A82" w:sz="1"/>
              <w:right w:val="single" w:color="065A82" w:sz="1"/>
            </w:tcBorders>
            <w:shd w:fill="065A82" w:val="clear"/>
            <w:tcMar>
              <w:top w:type="dxa" w:w="100"/>
              <w:left w:type="dxa" w:w="140"/>
              <w:bottom w:type="dxa" w:w="100"/>
              <w:right w:type="dxa" w:w="140"/>
            </w:tcMar>
          </w:tcPr>
          <w:p>
            <w:r>
              <w:rPr>
                <w:rFonts w:ascii="Calibri" w:cs="Calibri" w:eastAsia="Calibri" w:hAnsi="Calibri"/>
                <w:b/>
                <w:bCs/>
                <w:color w:val="FFFFFF"/>
                <w:sz w:val="20"/>
                <w:szCs w:val="20"/>
              </w:rPr>
              <w:t xml:space="preserve">Duración estimada</w:t>
            </w:r>
          </w:p>
        </w:tc>
      </w:tr>
      <w:tr>
        <w:tc>
          <w:tcPr>
            <w:tcW w:type="dxa" w:w="9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1</w:t>
            </w:r>
          </w:p>
        </w:tc>
        <w:tc>
          <w:tcPr>
            <w:tcW w:type="dxa" w:w="2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Backend base</w:t>
            </w:r>
          </w:p>
        </w:tc>
        <w:tc>
          <w:tcPr>
            <w:tcW w:type="dxa" w:w="35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Ticket Service + PostgreSQL + endpoints CRUD básicos</w:t>
            </w:r>
          </w:p>
        </w:tc>
        <w:tc>
          <w:tcPr>
            <w:tcW w:type="dxa" w:w="29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1-2 semanas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SDK / Widget mínimo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Formulario embebible con título, descripción y email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1 semana</w:t>
            </w:r>
          </w:p>
        </w:tc>
      </w:tr>
      <w:tr>
        <w:tc>
          <w:tcPr>
            <w:tcW w:type="dxa" w:w="9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3</w:t>
            </w:r>
          </w:p>
        </w:tc>
        <w:tc>
          <w:tcPr>
            <w:tcW w:type="dxa" w:w="2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Integración contextual</w:t>
            </w:r>
          </w:p>
        </w:tc>
        <w:tc>
          <w:tcPr>
            <w:tcW w:type="dxa" w:w="35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Context Service — adjunta historial del agente al ticket</w:t>
            </w:r>
          </w:p>
        </w:tc>
        <w:tc>
          <w:tcPr>
            <w:tcW w:type="dxa" w:w="29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1 semana</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Notificaciones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Email de confirmación + webhook básico hacia Slack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3-4 días</w:t>
            </w:r>
          </w:p>
        </w:tc>
      </w:tr>
      <w:tr>
        <w:tc>
          <w:tcPr>
            <w:tcW w:type="dxa" w:w="9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5</w:t>
            </w:r>
          </w:p>
        </w:tc>
        <w:tc>
          <w:tcPr>
            <w:tcW w:type="dxa" w:w="2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Panel Admin v1</w:t>
            </w:r>
          </w:p>
        </w:tc>
        <w:tc>
          <w:tcPr>
            <w:tcW w:type="dxa" w:w="35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Lista de tickets con filtros y vista de detalle</w:t>
            </w:r>
          </w:p>
        </w:tc>
        <w:tc>
          <w:tcPr>
            <w:tcW w:type="dxa" w:w="29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1-2 semanas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Multitenancy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Soporte para múltiples organizaciones con aislamiento por org_id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1 semana</w:t>
            </w:r>
          </w:p>
        </w:tc>
      </w:tr>
      <w:tr>
        <w:tc>
          <w:tcPr>
            <w:tcW w:type="dxa" w:w="9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7</w:t>
            </w:r>
          </w:p>
        </w:tc>
        <w:tc>
          <w:tcPr>
            <w:tcW w:type="dxa" w:w="20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Observabilidad</w:t>
            </w:r>
          </w:p>
        </w:tc>
        <w:tc>
          <w:tcPr>
            <w:tcW w:type="dxa" w:w="350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Logging estructurado, métricas, alertas de SLA</w:t>
            </w:r>
          </w:p>
        </w:tc>
        <w:tc>
          <w:tcPr>
            <w:tcW w:type="dxa" w:w="2960"/>
            <w:tcBorders>
              <w:top w:val="single" w:color="CCCCCC" w:sz="1"/>
              <w:left w:val="single" w:color="CCCCCC" w:sz="1"/>
              <w:bottom w:val="single" w:color="CCCCCC" w:sz="1"/>
              <w:right w:val="single" w:color="CCCCCC" w:sz="1"/>
            </w:tcBorders>
            <w:shd w:fill="F0F6FA" w:val="clear"/>
            <w:tcMar>
              <w:top w:type="dxa" w:w="100"/>
              <w:left w:type="dxa" w:w="140"/>
              <w:bottom w:type="dxa" w:w="100"/>
              <w:right w:type="dxa" w:w="140"/>
            </w:tcMar>
          </w:tcPr>
          <w:p>
            <w:r>
              <w:rPr>
                <w:rFonts w:ascii="Calibri" w:cs="Calibri" w:eastAsia="Calibri" w:hAnsi="Calibri"/>
                <w:sz w:val="20"/>
                <w:szCs w:val="20"/>
              </w:rPr>
              <w:t xml:space="preserve">3-4 días</w:t>
            </w:r>
          </w:p>
        </w:tc>
      </w:tr>
    </w:tbl>
    <w:p>
      <w:r>
        <w:t xml:space="preserve"/>
      </w:r>
    </w:p>
    <w:p>
      <w:r>
        <w:rPr>
          <w:rFonts w:ascii="Calibri" w:cs="Calibri" w:eastAsia="Calibri" w:hAnsi="Calibri"/>
          <w:sz w:val="22"/>
          <w:szCs w:val="22"/>
        </w:rPr>
        <w:t xml:space="preserve">Total estimado para un MVP funcional con una organización: 6-8 semanas con un desarrollador dedicado.</w:t>
      </w:r>
    </w:p>
    <w:p>
      <w:r>
        <w:t xml:space="preserve"/>
      </w:r>
    </w:p>
    <w:p>
      <w:pPr>
        <w:pBdr>
          <w:top w:val="single" w:color="028090" w:sz="4" w:space="4"/>
        </w:pBdr>
        <w:spacing w:before="400"/>
        <w:jc w:val="center"/>
      </w:pPr>
      <w:r>
        <w:rPr>
          <w:rFonts w:ascii="Calibri" w:cs="Calibri" w:eastAsia="Calibri" w:hAnsi="Calibri"/>
          <w:color w:val="888888"/>
          <w:sz w:val="18"/>
          <w:szCs w:val="18"/>
        </w:rPr>
        <w:t xml:space="preserve">Documento generado por Claude (Anthropic)  —  v1.0  —  </w:t>
      </w:r>
      <w:r>
        <w:rPr>
          <w:rFonts w:ascii="Calibri" w:cs="Calibri" w:eastAsia="Calibri" w:hAnsi="Calibri"/>
          <w:b/>
          <w:bCs/>
          <w:color w:val="065A82"/>
          <w:sz w:val="18"/>
          <w:szCs w:val="18"/>
        </w:rPr>
        <w:t xml:space="preserve">Confidencial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2809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28090" w:sz="6" w:space="4"/>
      </w:pBdr>
      <w:spacing w:after="160" w:before="400"/>
      <w:outlineLvl w:val="0"/>
    </w:pPr>
    <w:rPr>
      <w:rFonts w:ascii="Calibri" w:cs="Calibri" w:eastAsia="Calibri" w:hAnsi="Calibri"/>
      <w:b/>
      <w:bCs/>
      <w:color w:val="0A1628"/>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065A82"/>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028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2026-05-08T20:13:08.677Z</dcterms:created>
  <dcterms:modified xsi:type="dcterms:W3CDTF">2026-05-08T20:13:08.693Z</dcterms:modified>
</cp:coreProperties>
</file>

<file path=docProps/custom.xml><?xml version="1.0" encoding="utf-8"?>
<Properties xmlns="http://schemas.openxmlformats.org/officeDocument/2006/custom-properties" xmlns:vt="http://schemas.openxmlformats.org/officeDocument/2006/docPropsVTypes"/>
</file>