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СТАНДАРТНАЯ концовка (сбор предметов):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Кухня -&gt; Осмотреть стол, осмотреть мусорку, осмотреть КОРОБОЧКУ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Ванная -&gt; Отвертка -&gt; Зеркало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Спальня 1 -&gt; Блокнот.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Спальня 2 -&gt; Собрать игрушки (одна из них на переднем плане, из-за чего ее можно не заметить)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Гостиная 2 -&gt; Свеча 13 -&gt; Менора -&gt; Посмотреть флешбек -&gt; Прожать нужную комбинацию свечей, держа зажигалку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Второй этаж -&gt; Бусы и топор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Задний двор -&gt; Осмотреть сарай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Задний двор 2 -&gt; Осмотреть цветы -&gt; Осмотреть могилу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Питер гриффин упал с лестницы концовка: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Символы в спальне. Менора.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Зеркальная концовка: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Открутить.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"Все это с тобой" концовка: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(После прохождения на хотя бы одну концовку)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В спальне 1 НЕ подбирать блокнот. Посмотреть флешбек. Подобрать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Пистолет концовка: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Чистая удача. Не обязательна для полного прохождения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НАСТОЯЩАЯ концовка (после прохождения всех остальных):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Осмотреть тела. Все.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Повторить действия стандартной концовки и помнить, что "Все это с тобой".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