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r>
              <w:t>By the end of Year 10 students should have had the opportunity to design and produce at least 4 designed solutions focused on one or more of the 4 technologies contexts:</w:t>
            </w:r>
          </w:p>
          <w:p>
            <w:r>
              <w:t>• Engineering principles and systems</w:t>
            </w:r>
          </w:p>
          <w:p>
            <w:r>
              <w:t>• Food and fibre production</w:t>
            </w:r>
          </w:p>
          <w:p>
            <w:r>
              <w:t>• Food specialisations</w:t>
            </w:r>
          </w:p>
          <w:p>
            <w:r>
              <w:t>• Materials and technologies specialisations.</w:t>
            </w:r>
          </w:p>
          <w:p>
            <w:r>
              <w:t>Students should have opportunities to experience creating designed solutions for products, services and environments.</w:t>
            </w:r>
          </w:p>
          <w:p>
            <w: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opportunities to understand the complex interdependencies involved in the development of technologies and enterprises.</w:t>
            </w:r>
          </w:p>
          <w:p>
            <w:r>
              <w:t>Students specifically focus on preferred futures, taking into account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views of design ideas and designed solutions.</w:t>
            </w:r>
          </w:p>
          <w:p>
            <w:r>
              <w:t>Students identify the steps involved in planning the production of designed solutions. They develop detailed project management plans, incorporating elements such as sequenced time, cost and action plans, to manage design tasks safely. Students apply management plans, making adjustments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9154"/>
        <w:gridCol w:w="9154"/>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9154"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9154"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9154"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9154"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9154"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9154"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9154"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 practical factors when designing engineered solutions. The unit builds students’ knowledge of materials and forces while developing their ability to apply the design process to solve authentic engineering problems.</w:t>
            </w:r>
            <w:r>
              <w:rPr>
                <w:sz w:val="19"/>
              </w:rPr>
              <w:t xml:space="preserve"/>
            </w:r>
          </w:p>
        </w:tc>
        <w:tc>
          <w:tcPr>
            <w:tcW w:w="9154"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students develop an understanding of how designers and engineers respond to challenges related to security, sustainability, and human needs. The unit emphasises thoughtful planning, innovation, and the responsible use of technologies to create sustainable living environments.</w:t>
            </w:r>
            <w:r>
              <w:rPr>
                <w:sz w:val="19"/>
              </w:rPr>
              <w:t/>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9155"/>
        <w:gridCol w:w="9155"/>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9155"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9155"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9155"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9155"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9155"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9155"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9155"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 ability to analyse engineering principles and apply theoretical knowledge to real-world design contexts.</w:t>
            </w:r>
            <w:r>
              <w:rPr>
                <w:sz w:val="19"/>
              </w:rPr>
              <w:t/>
            </w:r>
          </w:p>
        </w:tc>
        <w:tc>
          <w:tcPr>
            <w:tcW w:w="9155"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design a sustainable doomsday shelter in response to a given scenario that requires living off the grid for an extended period of time.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solution using digital tools while demonstrating effective project planning and safe, appropriate use of technologies.</w:t>
            </w:r>
            <w:proofErr w:type="gramStart"/>
            <w:r>
              <w:rPr>
                <w:sz w:val="19"/>
              </w:rPr>
              <w:t/>
            </w:r>
            <w:proofErr w:type="gramEnd"/>
            <w:r>
              <w:rPr>
                <w:sz w:val="19"/>
              </w:rPr>
              <w:t xml:space="preserve"/>
            </w:r>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9155"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9155"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9155"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9155"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9155"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9155"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2–3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9155"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9155"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9155"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9155"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2 — Paddle-pop stick bridges</w:t>
            </w: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4 — Sustainability Exam</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9155"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2</w:t>
            </w:r>
          </w:p>
        </w:tc>
        <w:tc>
          <w:tcPr>
            <w:tcW w:w="9155"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9155"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9</w:t>
            </w:r>
          </w:p>
        </w:tc>
        <w:tc>
          <w:tcPr>
            <w:tcW w:w="9155"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9</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9155"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justification to an audience. This assessment emphasises teamwork, project management, safe production skills, and the ability to evaluate and communicate engineered solutions using engineering and sustainability considerations.</w:t>
            </w:r>
            <w:r>
              <w:rPr>
                <w:sz w:val="19"/>
              </w:rPr>
              <w:t/>
            </w:r>
          </w:p>
        </w:tc>
        <w:tc>
          <w:tcPr>
            <w:tcW w:w="9155"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service and/or environmental design contexts.</w:t>
            </w:r>
            <w:proofErr w:type="gramStart"/>
            <w:r>
              <w:rPr>
                <w:sz w:val="19"/>
              </w:rPr>
              <w:t/>
            </w:r>
            <w:proofErr w:type="gramEnd"/>
            <w:r>
              <w:rPr>
                <w:sz w:val="19"/>
              </w:rPr>
              <w:t xml:space="preserve"/>
            </w:r>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9155"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Project</w:t>
            </w:r>
          </w:p>
        </w:tc>
        <w:tc>
          <w:tcPr>
            <w:tcW w:w="9155"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9155"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Multimodal</w:t>
            </w:r>
          </w:p>
        </w:tc>
        <w:tc>
          <w:tcPr>
            <w:tcW w:w="9155"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9155"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4–6 A3 pages or equivalent digital media pages that may include annotated graphical representations</w:t>
            </w:r>
          </w:p>
          <w:p w14:paraId="7488BB85" w14:textId="77777777" w:rsidR="00A94BB1" w:rsidRDefault="003E7651">
            <w:pPr>
              <w:numPr>
                <w:ilvl w:val="0"/>
                <w:numId w:val="2"/>
              </w:numPr>
              <w:spacing w:after="9" w:line="259" w:lineRule="auto"/>
              <w:ind w:hanging="299"/>
            </w:pPr>
            <w:r>
              <w:rPr>
                <w:sz w:val="19"/>
              </w:rPr>
              <w:t/>
            </w:r>
          </w:p>
          <w:p w14:paraId="3C8EC5D8" w14:textId="77777777" w:rsidR="00A94BB1" w:rsidRDefault="003E7651">
            <w:pPr>
              <w:numPr>
                <w:ilvl w:val="0"/>
                <w:numId w:val="2"/>
              </w:numPr>
              <w:spacing w:line="259" w:lineRule="auto"/>
              <w:ind w:hanging="299"/>
            </w:pPr>
            <w:r>
              <w:rPr>
                <w:sz w:val="19"/>
              </w:rPr>
              <w:t/>
            </w:r>
          </w:p>
          <w:p w14:paraId="4C48B1EE" w14:textId="77777777" w:rsidR="00A94BB1" w:rsidRDefault="003E7651">
            <w:pPr>
              <w:spacing w:after="9" w:line="259" w:lineRule="auto"/>
              <w:ind w:left="382"/>
            </w:pPr>
            <w:r>
              <w:rPr>
                <w:sz w:val="19"/>
              </w:rPr>
              <w:t/>
            </w:r>
          </w:p>
          <w:p w14:paraId="1BDED5B9" w14:textId="77777777" w:rsidR="00A94BB1" w:rsidRDefault="003E7651">
            <w:pPr>
              <w:numPr>
                <w:ilvl w:val="0"/>
                <w:numId w:val="2"/>
              </w:numPr>
              <w:spacing w:after="17"/>
              <w:ind w:hanging="299"/>
            </w:pPr>
            <w:r>
              <w:rPr>
                <w:sz w:val="19"/>
              </w:rPr>
              <w:t/>
            </w:r>
          </w:p>
          <w:p w14:paraId="4EB9E104" w14:textId="77777777" w:rsidR="00A94BB1" w:rsidRDefault="003E7651">
            <w:pPr>
              <w:numPr>
                <w:ilvl w:val="0"/>
                <w:numId w:val="2"/>
              </w:numPr>
              <w:spacing w:line="259" w:lineRule="auto"/>
              <w:ind w:hanging="299"/>
            </w:pPr>
            <w:r>
              <w:rPr>
                <w:sz w:val="19"/>
              </w:rPr>
              <w:t/>
            </w:r>
          </w:p>
        </w:tc>
        <w:tc>
          <w:tcPr>
            <w:tcW w:w="9155"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9155"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9155"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9155" w:type="dxa"/>
            <w:tcBorders>
              <w:top w:val="single" w:sz="12" w:space="0" w:color="D52A1D"/>
              <w:left w:val="single" w:sz="2" w:space="0" w:color="A8A8A8"/>
              <w:bottom w:val="single" w:sz="8" w:space="0" w:color="A8A8A8"/>
              <w:right w:val="single" w:sz="2" w:space="0" w:color="A8A8A8"/>
            </w:tcBorders>
          </w:tcPr>
          <w:p>
            <w:r>
              <w:t>Monitoring: Week 3</w:t>
            </w:r>
          </w:p>
          <w:p>
            <w:r>
              <w:t>Conferencing: Week 6</w:t>
            </w:r>
          </w:p>
          <w:p>
            <w:r>
              <w:t>Cross marking within the department.</w:t>
            </w:r>
          </w:p>
        </w:tc>
        <w:tc>
          <w:tcPr>
            <w:tcW w:w="9155"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marking within the department.</w:t>
            </w:r>
          </w:p>
        </w:tc>
      </w:tr>
    </w:tbl>
    <w:p w14:paraId="469455D2" w14:textId="77777777" w:rsidR="002F1FEC" w:rsidRDefault="002F1FEC"/>
    <w:tbl>
      <w:tblPr>
        <w:tblStyle w:val="TableGrid"/>
        <w:tblW w:w="17322" w:type="dxa"/>
        <w:tblInd w:w="0" w:type="dxa"/>
        <w:tblCellMar>
          <w:top w:w="0" w:type="dxa"/>
          <w:left w:w="0" w:type="dxa"/>
          <w:bottom w:w="0" w:type="dxa"/>
          <w:right w:w="0" w:type="dxa"/>
        </w:tblCellMar>
        <w:tblLook w:val="04A0" w:firstRow="1" w:lastRow="0" w:firstColumn="1" w:lastColumn="0" w:noHBand="0" w:noVBand="1"/>
        <w:tblLayout w:type="fixed"/>
      </w:tblPr>
      <w:tblGrid>
        <w:gridCol w:w="7113"/>
        <w:gridCol w:w="702"/>
        <w:gridCol w:w="702"/>
        <w:gridCol w:w="7401"/>
        <w:gridCol w:w="702"/>
        <w:gridCol w:w="702"/>
      </w:tblGrid>
      <w:tr w:rsidR="002F1FEC" w14:paraId="2C5A0F38" w14:textId="77777777" w:rsidTr="002F1FEC">
        <w:tc>
          <w:tcPr>
            <w:tcW w:w="7113"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1404" w:type="dxa"/>
            <w:tcBorders>
              <w:top w:val="single" w:sz="4" w:space="0" w:color="A8A8A8"/>
              <w:left w:val="single" w:sz="2" w:space="0" w:color="A8A8A8"/>
              <w:bottom w:val="single" w:sz="12" w:space="0" w:color="D52A1D"/>
              <w:right w:val="single" w:sz="2" w:space="0" w:color="A8A8A8"/>
            </w:tcBorders>
            <w:shd w:val="clear" w:color="auto" w:fill="7E8081"/>
          </w:tcPr>
          <w:gridSpan w:val="2"/>
          <w:p w14:paraId="526432F5" w14:textId="48127E7A" w:rsidR="002F1FEC" w:rsidRDefault="002F1FEC" w:rsidP="002F1FEC">
            <w:pPr>
              <w:spacing w:after="160" w:line="259" w:lineRule="auto"/>
              <w:jc w:val="center"/>
            </w:pPr>
            <w:r>
              <w:rPr>
                <w:b/>
                <w:color w:val="FFFFFF"/>
                <w:sz w:val="20"/>
              </w:rPr>
              <w:t>Units</w:t>
            </w:r>
          </w:p>
        </w:tc>
        <w:tc>
          <w:tcPr>
            <w:tcW w:w="7401"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1404" w:type="dxa"/>
            <w:tcBorders>
              <w:top w:val="single" w:sz="4" w:space="0" w:color="A8A8A8"/>
              <w:left w:val="single" w:sz="2" w:space="0" w:color="A8A8A8"/>
              <w:bottom w:val="single" w:sz="12" w:space="0" w:color="D52A1D"/>
              <w:right w:val="single" w:sz="2" w:space="0" w:color="A8A8A8"/>
            </w:tcBorders>
            <w:shd w:val="clear" w:color="auto" w:fill="7E8081"/>
          </w:tcPr>
          <w:gridSpan w:val="2"/>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c>
          <w:tcPr>
            <w:tcW w:w="7113"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2</w:t>
            </w:r>
          </w:p>
        </w:tc>
        <w:tc>
          <w:tcPr>
            <w:tcW w:w="7401"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2</w:t>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how people in design and technologies occupations consider ethical, security and sustainability factors to innovate and improve products, services and environments (AC9TDE10K01)</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Investigating and defininganalyse needs or opportunities for designing; develop design briefs; and investigate, analyse and select materials, systems, components, tools and equipment to create designed solutions (AC9TDE10P01)</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the impact of innovation, enterprise and emerging technologies on designed solutions for global preferred futures (AC9TDE10K02)</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Generating and designingapply innovation and enterprise skills to generate, test, iterate and communicate design ideas, processes and solutions, including using digital tools (AC9TDE10P02)</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Engineering principles and systemsanalyse and make judgements on how the characteristics and properties of materials are combined with force, motion and energy to control engineered systems (AC9TDE10K03)</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Producing and implementingselect, justify, test and use suitable technologies, skills and processes, and apply safety procedures to safely make designed solutions (AC9TDE10P03)</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and fibre productionanalyse and make judgements on the ethical, secure and sustainable production and marketing of food and fibre enterprises (AC9TDE10K04)</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Evaluatingdevelop design criteria independently including sustainability to evaluate design ideas, processes and solutions (AC9TDE10P04)</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specialisationsanalyse and make judgements on how the sensory and functional properties of food influence the design and preparation of sustainable food solutions for healthy eating (AC9TDE10K05)</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Collaborating and managingdevelop project plans for intended purposes and audiences to individually and collaboratively manage projects, taking into consideration time, cost, risk, processes and production of designed solutions (AC9TDE10P05)</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Materials and technologies specialisationsanalyse and make judgements on how characteristics and properties of materials, systems, components, tools and equipment can be combined to create designed solutions (AC9TDE10K06)</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bl>
    <w:p w14:paraId="1B442903" w14:textId="77777777" w:rsidR="002F1FEC" w:rsidRDefault="002F1FEC"/>
    <w:p w14:paraId="70314E06" w14:textId="14A50F2F" w:rsidR="002F1FEC" w:rsidRDefault="002F1FEC">
      <w:r>
        <w:br w:type="page"/>
      </w:r>
    </w:p>
    <w:tbl>
      <w:tblPr>
        <w:tblStyle w:val="TableGrid"/>
        <w:tblW w:w="21222" w:type="dxa"/>
        <w:tblInd w:w="0" w:type="dxa"/>
        <w:tblCellMar>
          <w:top w:w="0" w:type="dxa"/>
          <w:left w:w="0" w:type="dxa"/>
          <w:bottom w:w="0" w:type="dxa"/>
          <w:right w:w="0" w:type="dxa"/>
        </w:tblCellMar>
        <w:tblLook w:val="04A0" w:firstRow="1" w:lastRow="0" w:firstColumn="1" w:lastColumn="0" w:noHBand="0" w:noVBand="1"/>
      </w:tblPr>
      <w:tblGrid>
        <w:gridCol w:w="10200"/>
        <w:gridCol w:w="11022"/>
      </w:tblGrid>
      <w:tr w:rsidR="00A94BB1" w14:paraId="3D5C2532" w14:textId="77777777">
        <w:trPr>
          <w:trHeight w:val="4914"/>
        </w:trPr>
        <w:tc>
          <w:tcPr>
            <w:tcW w:w="10200" w:type="dxa"/>
            <w:tcBorders>
              <w:top w:val="nil"/>
              <w:left w:val="nil"/>
              <w:bottom w:val="nil"/>
              <w:right w:val="nil"/>
            </w:tcBorders>
          </w:tcPr>
          <w:tbl>
            <w:tblPr>
              <w:tblStyle w:val="TableGrid"/>
              <w:tblW w:w="4798"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2484"/>
              <w:gridCol w:w="1157"/>
              <w:gridCol w:w="1157"/>
            </w:tblGrid>
            <w:tr w:rsidR="00126D17" w14:paraId="76A58689" w14:textId="77777777" w:rsidTr="00322776">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7" w:type="dxa"/>
                  <w:tcBorders>
                    <w:top w:val="single" w:sz="4" w:space="0" w:color="A8A8A8"/>
                    <w:left w:val="nil"/>
                    <w:bottom w:val="single" w:sz="12" w:space="0" w:color="D52A1D"/>
                    <w:right w:val="single" w:sz="2" w:space="0" w:color="A8A8A8"/>
                  </w:tcBorders>
                  <w:shd w:val="clear" w:color="auto" w:fill="7E8081"/>
                </w:tcPr>
                <w:gridSpan w:val="2"/>
                <w:p w14:paraId="3F85D056" w14:textId="77777777" w:rsidR="00126D17" w:rsidRDefault="00126D17" w:rsidP="00126D17">
                  <w:pPr>
                    <w:spacing w:line="259" w:lineRule="auto"/>
                    <w:ind w:left="12"/>
                    <w:jc w:val="center"/>
                  </w:pPr>
                  <w:r>
                    <w:rPr>
                      <w:b/>
                      <w:color w:val="FFFFFF"/>
                      <w:sz w:val="20"/>
                    </w:rPr>
                    <w:t>Units</w:t>
                  </w:r>
                </w:p>
              </w:tc>
            </w:tr>
            <w:tr w:rsidR="00126D17" w14:paraId="0753C5E8" w14:textId="77777777" w:rsidTr="00322776">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2</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Digital 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Ethical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Intercultural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Numeracy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2" w:space="0" w:color="A8A8A8"/>
                    <w:right w:val="single" w:sz="2" w:space="0" w:color="A8A8A8"/>
                  </w:tcBorders>
                </w:tcPr>
                <w:p w14:paraId="33DC0337" w14:textId="77777777" w:rsidR="00126D17" w:rsidRDefault="00126D17" w:rsidP="00126D17">
                  <w:pPr>
                    <w:spacing w:line="259" w:lineRule="auto"/>
                  </w:pPr>
                  <w:r>
                    <w:rPr>
                      <w:sz w:val="19"/>
                    </w:rPr>
                    <w:t>Personal and social capability</w:t>
                  </w: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1022" w:type="dxa"/>
            <w:tcBorders>
              <w:top w:val="nil"/>
              <w:left w:val="nil"/>
              <w:bottom w:val="nil"/>
              <w:right w:val="nil"/>
            </w:tcBorders>
          </w:tcPr>
          <w:tbl>
            <w:tblPr>
              <w:tblStyle w:val="TableGrid"/>
              <w:tblpPr w:leftFromText="180" w:rightFromText="180" w:horzAnchor="page" w:tblpX="2170" w:tblpY="954"/>
              <w:tblOverlap w:val="never"/>
              <w:tblW w:w="5484"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3170"/>
              <w:gridCol w:w="1157"/>
              <w:gridCol w:w="1157"/>
            </w:tblGrid>
            <w:tr w:rsidR="00A94BB1" w14:paraId="36AE1F58" w14:textId="77777777" w:rsidTr="00126D17">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157" w:type="dxa"/>
                  <w:tcBorders>
                    <w:top w:val="single" w:sz="4" w:space="0" w:color="A8A8A8"/>
                    <w:left w:val="nil"/>
                    <w:bottom w:val="single" w:sz="12" w:space="0" w:color="D52A1D"/>
                    <w:right w:val="single" w:sz="2" w:space="0" w:color="A8A8A8"/>
                  </w:tcBorders>
                  <w:shd w:val="clear" w:color="auto" w:fill="7E8081"/>
                </w:tcPr>
                <w:gridSpan w:val="2"/>
                <w:p w14:paraId="589B45DB" w14:textId="77777777" w:rsidR="00A94BB1" w:rsidRDefault="003E7651">
                  <w:pPr>
                    <w:spacing w:line="259" w:lineRule="auto"/>
                    <w:ind w:left="12"/>
                    <w:jc w:val="center"/>
                  </w:pPr>
                  <w:r>
                    <w:rPr>
                      <w:b/>
                      <w:color w:val="FFFFFF"/>
                      <w:sz w:val="20"/>
                    </w:rPr>
                    <w:t>Units</w:t>
                  </w:r>
                </w:p>
              </w:tc>
            </w:tr>
            <w:tr w:rsidR="00A94BB1" w14:paraId="23157987" w14:textId="77777777" w:rsidTr="00126D17">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2</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 Islander histories and cultures</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Asia and Australia's engagement with Asia</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2" w:space="0" w:color="A8A8A8"/>
                    <w:right w:val="single" w:sz="2" w:space="0" w:color="A8A8A8"/>
                  </w:tcBorders>
                </w:tcPr>
                <w:p w14:paraId="09E4004B" w14:textId="77777777" w:rsidR="00A94BB1" w:rsidRDefault="003E7651">
                  <w:pPr>
                    <w:spacing w:line="259" w:lineRule="auto"/>
                  </w:pPr>
                  <w:r>
                    <w:rPr>
                      <w:sz w:val="19"/>
                    </w:rPr>
                    <w:t>Sustainability</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4677E30F" w14:textId="77777777" w:rsidR="00A94BB1" w:rsidRDefault="00A94BB1">
                  <w:pPr>
                    <w:spacing w:after="160" w:line="259" w:lineRule="auto"/>
                  </w:pPr>
                  <w:r>
                    <w:rPr>
                      <w:rFonts w:ascii="Wingdings" w:hAnsi="Wingdings" w:cs="Wingdings"/>
                      <w:sz w:val="30"/>
                    </w:rPr>
                    <w:sym w:font="Wingdings" w:char="00FC"/>
                  </w: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