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0A452">
      <w:pPr>
        <w:autoSpaceDE w:val="0"/>
        <w:autoSpaceDN w:val="0"/>
        <w:adjustRightInd w:val="0"/>
        <w:spacing w:after="0" w:line="360" w:lineRule="auto"/>
        <w:rPr>
          <w:rFonts w:ascii="宋体" w:hAnsi="宋体" w:eastAsia="宋体" w:cs="AppleSystemUIFont"/>
          <w:kern w:val="0"/>
          <w:sz w:val="20"/>
          <w:szCs w:val="20"/>
          <w:lang w:val="en-US"/>
        </w:rPr>
      </w:pPr>
      <w:r>
        <w:rPr>
          <w:rFonts w:ascii="宋体" w:hAnsi="宋体" w:eastAsia="宋体" w:cs="AppleSystemUIFont"/>
          <w:kern w:val="0"/>
          <w:sz w:val="20"/>
          <w:szCs w:val="20"/>
          <w:lang w:val="en-US"/>
        </w:rPr>
        <w:t>1.2022-2024年12月末及2025年6月末合并范围内</w:t>
      </w:r>
      <w:r>
        <w:rPr>
          <w:rFonts w:ascii="宋体" w:hAnsi="宋体" w:eastAsia="宋体" w:cs="AppleSystemUIFont"/>
          <w:kern w:val="0"/>
          <w:sz w:val="20"/>
          <w:szCs w:val="20"/>
          <w:highlight w:val="yellow"/>
          <w:lang w:val="en-US"/>
        </w:rPr>
        <w:t>全部主体末级科目余额表</w:t>
      </w:r>
      <w:r>
        <w:rPr>
          <w:rFonts w:ascii="宋体" w:hAnsi="宋体" w:eastAsia="宋体" w:cs="AppleSystemUIFont"/>
          <w:kern w:val="0"/>
          <w:sz w:val="20"/>
          <w:szCs w:val="20"/>
          <w:lang w:val="en-US"/>
        </w:rPr>
        <w:t>（期初、本期借、本期贷、期末余额；所有科目均截止到末级科目）</w:t>
      </w:r>
    </w:p>
    <w:p w14:paraId="14401A43">
      <w:p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5F95174E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hint="eastAsia" w:ascii="宋体" w:hAnsi="宋体" w:eastAsia="宋体" w:cs="AppleExternalUIFontSimplifiedCh"/>
          <w:kern w:val="0"/>
          <w:sz w:val="20"/>
          <w:szCs w:val="20"/>
          <w:highlight w:val="yellow"/>
          <w:lang w:val="en-US"/>
        </w:rPr>
      </w:pPr>
      <w:r>
        <w:rPr>
          <w:rFonts w:hint="eastAsia" w:ascii="宋体" w:hAnsi="宋体" w:eastAsia="宋体" w:cs="AppleExternalUIFontSimplifiedCh"/>
          <w:kern w:val="0"/>
          <w:sz w:val="20"/>
          <w:szCs w:val="20"/>
          <w:lang w:val="en-US"/>
        </w:rPr>
        <w:t>合并范围内全部主体</w:t>
      </w:r>
      <w:r>
        <w:rPr>
          <w:rFonts w:ascii="宋体" w:hAnsi="宋体" w:eastAsia="宋体" w:cs="AppleSystemUIFont"/>
          <w:kern w:val="0"/>
          <w:sz w:val="20"/>
          <w:szCs w:val="20"/>
          <w:lang w:val="en-US"/>
        </w:rPr>
        <w:t>2022</w:t>
      </w:r>
      <w:r>
        <w:rPr>
          <w:rFonts w:hint="eastAsia" w:ascii="宋体" w:hAnsi="宋体" w:eastAsia="宋体" w:cs="AppleExternalUIFontSimplifiedCh"/>
          <w:kern w:val="0"/>
          <w:sz w:val="20"/>
          <w:szCs w:val="20"/>
          <w:lang w:val="en-US"/>
        </w:rPr>
        <w:t>年</w:t>
      </w:r>
      <w:r>
        <w:rPr>
          <w:rFonts w:ascii="宋体" w:hAnsi="宋体" w:eastAsia="宋体" w:cs="AppleSystemUIFont"/>
          <w:kern w:val="0"/>
          <w:sz w:val="20"/>
          <w:szCs w:val="20"/>
          <w:lang w:val="en-US"/>
        </w:rPr>
        <w:t>-2024</w:t>
      </w:r>
      <w:r>
        <w:rPr>
          <w:rFonts w:hint="eastAsia" w:ascii="宋体" w:hAnsi="宋体" w:eastAsia="宋体" w:cs="AppleExternalUIFontSimplifiedCh"/>
          <w:kern w:val="0"/>
          <w:sz w:val="20"/>
          <w:szCs w:val="20"/>
          <w:lang w:val="en-US"/>
        </w:rPr>
        <w:t>年合并审计报告</w:t>
      </w:r>
      <w:r>
        <w:rPr>
          <w:rFonts w:ascii="宋体" w:hAnsi="宋体" w:eastAsia="宋体" w:cs="AppleSystemUIFont"/>
          <w:kern w:val="0"/>
          <w:sz w:val="20"/>
          <w:szCs w:val="20"/>
          <w:lang w:val="en-US"/>
        </w:rPr>
        <w:t>/</w:t>
      </w:r>
      <w:r>
        <w:rPr>
          <w:rFonts w:hint="eastAsia" w:ascii="宋体" w:hAnsi="宋体" w:eastAsia="宋体" w:cs="AppleExternalUIFontSimplifiedCh"/>
          <w:kern w:val="0"/>
          <w:sz w:val="20"/>
          <w:szCs w:val="20"/>
          <w:lang w:val="en-US"/>
        </w:rPr>
        <w:t>合并及单体财务报表。</w:t>
      </w:r>
      <w:r>
        <w:rPr>
          <w:rFonts w:ascii="宋体" w:hAnsi="宋体" w:eastAsia="宋体" w:cs="AppleSystemUIFont"/>
          <w:kern w:val="0"/>
          <w:sz w:val="20"/>
          <w:szCs w:val="20"/>
          <w:lang w:val="en-US"/>
        </w:rPr>
        <w:t>2025</w:t>
      </w:r>
      <w:r>
        <w:rPr>
          <w:rFonts w:hint="eastAsia" w:ascii="宋体" w:hAnsi="宋体" w:eastAsia="宋体" w:cs="AppleExternalUIFontSimplifiedCh"/>
          <w:kern w:val="0"/>
          <w:sz w:val="20"/>
          <w:szCs w:val="20"/>
          <w:lang w:val="en-US"/>
        </w:rPr>
        <w:t>年</w:t>
      </w:r>
      <w:r>
        <w:rPr>
          <w:rFonts w:ascii="宋体" w:hAnsi="宋体" w:eastAsia="宋体" w:cs="AppleSystemUIFont"/>
          <w:kern w:val="0"/>
          <w:sz w:val="20"/>
          <w:szCs w:val="20"/>
          <w:lang w:val="en-US"/>
        </w:rPr>
        <w:t>6</w:t>
      </w:r>
      <w:r>
        <w:rPr>
          <w:rFonts w:hint="eastAsia" w:ascii="宋体" w:hAnsi="宋体" w:eastAsia="宋体" w:cs="AppleExternalUIFontSimplifiedCh"/>
          <w:kern w:val="0"/>
          <w:sz w:val="20"/>
          <w:szCs w:val="20"/>
          <w:lang w:val="en-US"/>
        </w:rPr>
        <w:t>月末合并及</w:t>
      </w:r>
      <w:r>
        <w:rPr>
          <w:rFonts w:hint="eastAsia" w:ascii="宋体" w:hAnsi="宋体" w:eastAsia="宋体" w:cs="AppleExternalUIFontSimplifiedCh"/>
          <w:kern w:val="0"/>
          <w:sz w:val="20"/>
          <w:szCs w:val="20"/>
          <w:highlight w:val="yellow"/>
          <w:lang w:val="en-US"/>
        </w:rPr>
        <w:t>单体财务报表</w:t>
      </w:r>
      <w:r>
        <w:rPr>
          <w:rFonts w:hint="eastAsia" w:ascii="宋体" w:hAnsi="宋体" w:eastAsia="宋体" w:cs="AppleExternalUIFontSimplifiedCh"/>
          <w:kern w:val="0"/>
          <w:sz w:val="20"/>
          <w:szCs w:val="20"/>
          <w:lang w:val="en-US"/>
        </w:rPr>
        <w:t>（资产负债表、利润表、现金流量表）、</w:t>
      </w:r>
      <w:r>
        <w:rPr>
          <w:rFonts w:hint="eastAsia" w:ascii="宋体" w:hAnsi="宋体" w:eastAsia="宋体" w:cs="AppleExternalUIFontSimplifiedCh"/>
          <w:kern w:val="0"/>
          <w:sz w:val="20"/>
          <w:szCs w:val="20"/>
          <w:highlight w:val="yellow"/>
          <w:lang w:val="en-US"/>
        </w:rPr>
        <w:t>合并财务报表底稿</w:t>
      </w:r>
    </w:p>
    <w:p w14:paraId="0B8EF70C">
      <w:pPr>
        <w:autoSpaceDE w:val="0"/>
        <w:autoSpaceDN w:val="0"/>
        <w:adjustRightInd w:val="0"/>
        <w:spacing w:after="0" w:line="360" w:lineRule="auto"/>
        <w:rPr>
          <w:rFonts w:hint="eastAsia" w:ascii="宋体" w:hAnsi="宋体" w:eastAsia="宋体" w:cs="AppleExternalUIFontSimplifiedCh"/>
          <w:kern w:val="0"/>
          <w:sz w:val="20"/>
          <w:szCs w:val="20"/>
          <w:highlight w:val="yellow"/>
          <w:lang w:val="en-US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635614D3">
      <w:pPr>
        <w:spacing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AppleExternalUIFontSimplifiedCh"/>
          <w:kern w:val="0"/>
          <w:sz w:val="20"/>
          <w:szCs w:val="20"/>
          <w:lang w:val="en-US"/>
        </w:rPr>
        <w:t>3．</w:t>
      </w: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2022年-2024年及2025年1-6月全部主体财务序时明细账</w:t>
      </w:r>
    </w:p>
    <w:p w14:paraId="706898DE">
      <w:p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37A29A21">
      <w:pPr>
        <w:spacing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4.与收购有关的协议、资产评估报告、资金划转凭证、税务扣缴、备案登记等资料</w:t>
      </w:r>
    </w:p>
    <w:p w14:paraId="48B6991F">
      <w:p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无</w:t>
      </w:r>
    </w:p>
    <w:p w14:paraId="071700FB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2022年-2024年及2025年1-6月增值税申报表、所得税申报表、2022年-2024年所得税汇算清缴资料（如已完成）</w:t>
      </w:r>
    </w:p>
    <w:p w14:paraId="3BA76D61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242DA891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请提供全部政府税收优惠/减免政策以及财政补贴的文件</w:t>
      </w:r>
    </w:p>
    <w:p w14:paraId="7F08642B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1E0BA6BD">
      <w:pPr>
        <w:spacing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7.2022年-2024年及2025年1-6月所有账户银行对账单、理财余额对账单及银行余额调节表</w:t>
      </w:r>
    </w:p>
    <w:p w14:paraId="0C4C67E9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3CCE05C9">
      <w:pPr>
        <w:spacing w:after="0"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8.2022-2024年12月末及2025年6月末往来账目明细：应收账款、应付账款、其他应收、其他应付、预付、预收款明细（如与余额表有重复，可不提供）</w:t>
      </w:r>
    </w:p>
    <w:p w14:paraId="0AEC0ED0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见附件1</w:t>
      </w:r>
    </w:p>
    <w:p w14:paraId="2CFAE242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2022-2024年12月末及2025年6月末应收帐款和其他应收款分客户、预付账款分供应商的帐龄明细表以及坏账准备表</w:t>
      </w:r>
    </w:p>
    <w:p w14:paraId="533338A3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见附件1</w:t>
      </w:r>
    </w:p>
    <w:p w14:paraId="7A51D79A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其他应收、其他应付款中涉及股东等关联方的款项拆借协议</w:t>
      </w:r>
    </w:p>
    <w:p w14:paraId="2B6F315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Times New Roman"/>
          <w:b/>
          <w:bCs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0000FF"/>
          <w:kern w:val="0"/>
          <w:sz w:val="20"/>
          <w:szCs w:val="20"/>
          <w:lang w:val="en-US" w:eastAsia="zh-CN"/>
          <w14:ligatures w14:val="none"/>
        </w:rPr>
        <w:t>无</w:t>
      </w:r>
    </w:p>
    <w:p w14:paraId="627FC8E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2022-2024年12月末及2025年6月末存货明细表，包含数量、单价、库龄等信息；以及2022年-2024年及2025年1-6月各期间存货进、销、存明细表</w:t>
      </w:r>
    </w:p>
    <w:p w14:paraId="75579DB8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4B3BCB1F">
      <w:pPr>
        <w:spacing w:line="360" w:lineRule="auto"/>
        <w:rPr>
          <w:rFonts w:hint="default" w:ascii="宋体" w:hAnsi="宋体" w:eastAsia="宋体" w:cs="Times New Roman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12.</w:t>
      </w:r>
      <w:r>
        <w:rPr>
          <w:rFonts w:hint="eastAsia" w:ascii="宋体" w:hAnsi="宋体" w:eastAsia="宋体"/>
          <w:color w:val="000000"/>
          <w:sz w:val="20"/>
          <w:szCs w:val="20"/>
        </w:rPr>
        <w:t xml:space="preserve"> </w:t>
      </w: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2022-2024年12月末及2025年6月末按类别的存货盘点表以及固定资产盘点表</w:t>
      </w: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见附件11和附件13</w:t>
      </w:r>
    </w:p>
    <w:p w14:paraId="13614B58">
      <w:pPr>
        <w:spacing w:after="0"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13.2022-2024年12月末及2025年6月末固定资产清单、无形资产清单（</w:t>
      </w: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:highlight w:val="yellow"/>
          <w14:ligatures w14:val="none"/>
        </w:rPr>
        <w:t>含折旧、摊销计提明细表</w:t>
      </w: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）。若有房产、土地、车辆，请提供相关使用权证、土地出让合同及出让金支付凭证</w:t>
      </w:r>
    </w:p>
    <w:p w14:paraId="6B568D27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225B6DD5">
      <w:pPr>
        <w:numPr>
          <w:ilvl w:val="0"/>
          <w:numId w:val="4"/>
        </w:numPr>
        <w:spacing w:after="0"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2022-2024年12月末及2025年6月末开发支出按类别统计的明细表及符合资本化处理的支持性文件</w:t>
      </w:r>
    </w:p>
    <w:p w14:paraId="7625855E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2D8B04BD">
      <w:pPr>
        <w:spacing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15.</w:t>
      </w:r>
      <w:r>
        <w:rPr>
          <w:rFonts w:hint="eastAsia" w:ascii="宋体" w:hAnsi="宋体" w:eastAsia="宋体"/>
          <w:color w:val="000000"/>
          <w:sz w:val="20"/>
          <w:szCs w:val="20"/>
        </w:rPr>
        <w:t xml:space="preserve"> </w:t>
      </w: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2022-2024年12月末及2025年6月末长期待摊费用摊销明细表、支出凭证及相关合同</w:t>
      </w:r>
    </w:p>
    <w:p w14:paraId="0879AC9A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540A8D8F">
      <w:pPr>
        <w:spacing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17.2022-2024年12月末及2025年6月末应付账款余额以及账龄分析</w:t>
      </w:r>
    </w:p>
    <w:p w14:paraId="79BF3416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见附件1科目余额表</w:t>
      </w:r>
    </w:p>
    <w:p w14:paraId="64C20B80">
      <w:pPr>
        <w:numPr>
          <w:ilvl w:val="0"/>
          <w:numId w:val="5"/>
        </w:numPr>
        <w:spacing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2022年-2024年及2025年1-6月按客户维度的收入和毛利明细表</w:t>
      </w:r>
    </w:p>
    <w:p w14:paraId="5535E476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default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0BBC38C6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2022年-2024年及2025年1-6月按产品维度的销售量、金额和毛利表</w:t>
      </w:r>
    </w:p>
    <w:p w14:paraId="3D889A7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Times New Roman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见附件18</w:t>
      </w:r>
    </w:p>
    <w:p w14:paraId="63263BC9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2022年-2024年及2025年1-6月销售台账，包含发货单号、数量及日期，销售发票号、金额及日期，回款金额及日期等信息</w:t>
      </w:r>
    </w:p>
    <w:p w14:paraId="0358BA1B">
      <w:pPr>
        <w:numPr>
          <w:ilvl w:val="0"/>
          <w:numId w:val="0"/>
        </w:numPr>
        <w:autoSpaceDE w:val="0"/>
        <w:autoSpaceDN w:val="0"/>
        <w:adjustRightInd w:val="0"/>
        <w:spacing w:after="0" w:line="360" w:lineRule="auto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AppleSystemUIFont"/>
          <w:b/>
          <w:bCs/>
          <w:color w:val="0000FF"/>
          <w:kern w:val="0"/>
          <w:sz w:val="20"/>
          <w:szCs w:val="20"/>
          <w:lang w:val="en-US" w:eastAsia="zh-CN"/>
        </w:rPr>
        <w:t>已提供</w:t>
      </w:r>
    </w:p>
    <w:p w14:paraId="30135D14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color w:val="000000"/>
          <w:kern w:val="0"/>
          <w:sz w:val="20"/>
          <w:szCs w:val="20"/>
          <w14:ligatures w14:val="none"/>
        </w:rPr>
        <w:t>2022年-2024年及2025年1-6月生产成本按类别统计明细表（如直接材料、直接人工、制造费用等）、主要产品BOM成本</w:t>
      </w:r>
    </w:p>
    <w:p w14:paraId="0D6D634C">
      <w:pPr>
        <w:spacing w:after="0" w:line="360" w:lineRule="auto"/>
        <w:rPr>
          <w:rFonts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  <w:t>22.未列入资产负债表的资产及负债清单；已声明及未声明的各种索偿、为第三者提供担保的清单；贵公司抵押资产的清单；任何现有或潜在的诉讼，包括潜在损失及和解文件。</w:t>
      </w:r>
    </w:p>
    <w:p w14:paraId="4DFE0A9F">
      <w:pPr>
        <w:spacing w:line="360" w:lineRule="auto"/>
        <w:rPr>
          <w:rFonts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  <w:t>23.</w:t>
      </w:r>
      <w:r>
        <w:rPr>
          <w:rFonts w:hint="eastAsia" w:ascii="宋体" w:hAnsi="宋体" w:eastAsia="宋体"/>
          <w:b/>
          <w:bCs/>
          <w:color w:val="FF0000"/>
          <w:sz w:val="20"/>
          <w:szCs w:val="20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  <w:t>未来的销售规划，</w:t>
      </w:r>
      <w:r>
        <w:rPr>
          <w:rFonts w:hint="eastAsia" w:ascii="宋体" w:hAnsi="宋体" w:eastAsia="宋体" w:cs="Times New Roman"/>
          <w:b/>
          <w:bCs/>
          <w:color w:val="FF0000"/>
          <w:kern w:val="0"/>
          <w:sz w:val="20"/>
          <w:szCs w:val="20"/>
          <w:highlight w:val="yellow"/>
          <w14:ligatures w14:val="none"/>
        </w:rPr>
        <w:t>包括销售品种、销售模式和销售预测</w:t>
      </w:r>
    </w:p>
    <w:p w14:paraId="682F5FEC">
      <w:pPr>
        <w:spacing w:line="360" w:lineRule="auto"/>
        <w:rPr>
          <w:rFonts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  <w:t>24.</w:t>
      </w:r>
      <w:r>
        <w:rPr>
          <w:rFonts w:hint="eastAsia" w:ascii="宋体" w:hAnsi="宋体" w:eastAsia="宋体"/>
          <w:b/>
          <w:bCs/>
          <w:color w:val="FF0000"/>
          <w:sz w:val="20"/>
          <w:szCs w:val="20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  <w:t>未来生产运营规划，特别是相应的资金使用规划和相应的资本支出计划</w:t>
      </w:r>
    </w:p>
    <w:p w14:paraId="3BCEB548">
      <w:pPr>
        <w:spacing w:line="360" w:lineRule="auto"/>
        <w:rPr>
          <w:rFonts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  <w:t>25.</w:t>
      </w:r>
      <w:r>
        <w:rPr>
          <w:rFonts w:hint="eastAsia" w:ascii="宋体" w:hAnsi="宋体" w:eastAsia="宋体"/>
          <w:b/>
          <w:bCs/>
          <w:color w:val="FF0000"/>
          <w:sz w:val="20"/>
          <w:szCs w:val="20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FF0000"/>
          <w:kern w:val="0"/>
          <w:sz w:val="20"/>
          <w:szCs w:val="20"/>
          <w14:ligatures w14:val="none"/>
        </w:rPr>
        <w:t>各子公司业务及功能定位说明</w:t>
      </w:r>
    </w:p>
    <w:p w14:paraId="680D1BC7">
      <w:pPr>
        <w:rPr>
          <w:rFonts w:hint="eastAsia" w:ascii="微软雅黑" w:hAnsi="微软雅黑" w:eastAsia="微软雅黑" w:cs="Times New Roman"/>
          <w:color w:val="000000"/>
          <w:kern w:val="0"/>
          <w:sz w:val="20"/>
          <w:szCs w:val="20"/>
          <w14:ligatures w14:val="none"/>
        </w:rPr>
      </w:pPr>
    </w:p>
    <w:p w14:paraId="1BA6AD06">
      <w:pPr>
        <w:rPr>
          <w:rFonts w:hint="eastAsia" w:ascii="微软雅黑" w:hAnsi="微软雅黑" w:eastAsia="微软雅黑" w:cs="Times New Roman"/>
          <w:color w:val="000000"/>
          <w:kern w:val="0"/>
          <w:sz w:val="20"/>
          <w:szCs w:val="20"/>
          <w14:ligatures w14:val="none"/>
        </w:rPr>
      </w:pPr>
    </w:p>
    <w:p w14:paraId="7B8CB7F0">
      <w:pPr>
        <w:spacing w:after="0" w:line="240" w:lineRule="auto"/>
        <w:rPr>
          <w:rFonts w:hint="eastAsia" w:ascii="微软雅黑" w:hAnsi="微软雅黑" w:eastAsia="微软雅黑" w:cs="Times New Roman"/>
          <w:color w:val="000000"/>
          <w:kern w:val="0"/>
          <w:sz w:val="20"/>
          <w:szCs w:val="20"/>
          <w14:ligatures w14:val="none"/>
        </w:rPr>
      </w:pPr>
      <w:bookmarkStart w:id="0" w:name="_GoBack"/>
      <w:bookmarkEnd w:id="0"/>
    </w:p>
    <w:p w14:paraId="30A393B9">
      <w:pPr>
        <w:rPr>
          <w:rFonts w:hint="eastAsia" w:ascii="宋体" w:hAnsi="宋体" w:eastAsia="宋体" w:cs="AppleExternalUIFontSimplifiedCh"/>
          <w:kern w:val="0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AppleExternalUIFontSimplifiedCh">
    <w:altName w:val="微软雅黑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663123"/>
    <w:multiLevelType w:val="singleLevel"/>
    <w:tmpl w:val="BD663123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D883486D"/>
    <w:multiLevelType w:val="singleLevel"/>
    <w:tmpl w:val="D883486D"/>
    <w:lvl w:ilvl="0" w:tentative="0">
      <w:start w:val="18"/>
      <w:numFmt w:val="decimal"/>
      <w:suff w:val="space"/>
      <w:lvlText w:val="%1."/>
      <w:lvlJc w:val="left"/>
    </w:lvl>
  </w:abstractNum>
  <w:abstractNum w:abstractNumId="2">
    <w:nsid w:val="4EDD810B"/>
    <w:multiLevelType w:val="singleLevel"/>
    <w:tmpl w:val="4EDD810B"/>
    <w:lvl w:ilvl="0" w:tentative="0">
      <w:start w:val="9"/>
      <w:numFmt w:val="decimal"/>
      <w:suff w:val="space"/>
      <w:lvlText w:val="%1."/>
      <w:lvlJc w:val="left"/>
    </w:lvl>
  </w:abstractNum>
  <w:abstractNum w:abstractNumId="3">
    <w:nsid w:val="55B157F2"/>
    <w:multiLevelType w:val="singleLevel"/>
    <w:tmpl w:val="55B157F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73388B6"/>
    <w:multiLevelType w:val="singleLevel"/>
    <w:tmpl w:val="673388B6"/>
    <w:lvl w:ilvl="0" w:tentative="0">
      <w:start w:val="14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2E3"/>
    <w:rsid w:val="000126D1"/>
    <w:rsid w:val="000B42E3"/>
    <w:rsid w:val="008B0481"/>
    <w:rsid w:val="00B23650"/>
    <w:rsid w:val="00B6466A"/>
    <w:rsid w:val="00BE3F6D"/>
    <w:rsid w:val="00D96A09"/>
    <w:rsid w:val="00F50CDF"/>
    <w:rsid w:val="00F77A62"/>
    <w:rsid w:val="02714395"/>
    <w:rsid w:val="02C32E43"/>
    <w:rsid w:val="02F54FC6"/>
    <w:rsid w:val="041476CE"/>
    <w:rsid w:val="04A40A52"/>
    <w:rsid w:val="07322345"/>
    <w:rsid w:val="07B76CEE"/>
    <w:rsid w:val="093525C0"/>
    <w:rsid w:val="09AB63DF"/>
    <w:rsid w:val="0A93759F"/>
    <w:rsid w:val="0C7B653C"/>
    <w:rsid w:val="113C1605"/>
    <w:rsid w:val="1173012A"/>
    <w:rsid w:val="11BD3153"/>
    <w:rsid w:val="136715C8"/>
    <w:rsid w:val="13BF7656"/>
    <w:rsid w:val="15A43DFF"/>
    <w:rsid w:val="17124A88"/>
    <w:rsid w:val="174560C4"/>
    <w:rsid w:val="184719C8"/>
    <w:rsid w:val="1BC65AF3"/>
    <w:rsid w:val="1C6D20FE"/>
    <w:rsid w:val="21627873"/>
    <w:rsid w:val="2297354C"/>
    <w:rsid w:val="235A4CA6"/>
    <w:rsid w:val="243F3E9B"/>
    <w:rsid w:val="25D86356"/>
    <w:rsid w:val="26D66D39"/>
    <w:rsid w:val="286D547B"/>
    <w:rsid w:val="28996C52"/>
    <w:rsid w:val="28ED2118"/>
    <w:rsid w:val="298F66CE"/>
    <w:rsid w:val="2A48213D"/>
    <w:rsid w:val="2BA411B4"/>
    <w:rsid w:val="2C0003B4"/>
    <w:rsid w:val="2C6170A5"/>
    <w:rsid w:val="2F2B5748"/>
    <w:rsid w:val="2FB614B6"/>
    <w:rsid w:val="2FD14541"/>
    <w:rsid w:val="301306B6"/>
    <w:rsid w:val="30913CD1"/>
    <w:rsid w:val="30FC55EE"/>
    <w:rsid w:val="31973569"/>
    <w:rsid w:val="31F6028F"/>
    <w:rsid w:val="346A0AC1"/>
    <w:rsid w:val="35C3492C"/>
    <w:rsid w:val="35CF32D1"/>
    <w:rsid w:val="38AA3B82"/>
    <w:rsid w:val="39E44E71"/>
    <w:rsid w:val="3B6C15C2"/>
    <w:rsid w:val="3B9823B7"/>
    <w:rsid w:val="3BAB20EB"/>
    <w:rsid w:val="4001677D"/>
    <w:rsid w:val="431C567C"/>
    <w:rsid w:val="43572B58"/>
    <w:rsid w:val="46645F2F"/>
    <w:rsid w:val="46933EA7"/>
    <w:rsid w:val="475F022D"/>
    <w:rsid w:val="4A176B9D"/>
    <w:rsid w:val="4A653DAC"/>
    <w:rsid w:val="4BA601D9"/>
    <w:rsid w:val="4BBF74EC"/>
    <w:rsid w:val="4C485734"/>
    <w:rsid w:val="4E4C150B"/>
    <w:rsid w:val="506568B4"/>
    <w:rsid w:val="50E83041"/>
    <w:rsid w:val="50ED0658"/>
    <w:rsid w:val="50F33EC0"/>
    <w:rsid w:val="51DD247A"/>
    <w:rsid w:val="52C06024"/>
    <w:rsid w:val="52CF0CF7"/>
    <w:rsid w:val="53283BC9"/>
    <w:rsid w:val="535F09ED"/>
    <w:rsid w:val="544E58B1"/>
    <w:rsid w:val="545816E6"/>
    <w:rsid w:val="54817A35"/>
    <w:rsid w:val="54BE088E"/>
    <w:rsid w:val="55C20305"/>
    <w:rsid w:val="56260894"/>
    <w:rsid w:val="56B51C18"/>
    <w:rsid w:val="5730129E"/>
    <w:rsid w:val="57711FE2"/>
    <w:rsid w:val="587A6C75"/>
    <w:rsid w:val="59017396"/>
    <w:rsid w:val="5AC16DDD"/>
    <w:rsid w:val="5D1318B6"/>
    <w:rsid w:val="5E954808"/>
    <w:rsid w:val="5EC62C14"/>
    <w:rsid w:val="5F700DD2"/>
    <w:rsid w:val="5FC829BC"/>
    <w:rsid w:val="61021EFD"/>
    <w:rsid w:val="61B50D1E"/>
    <w:rsid w:val="6200468F"/>
    <w:rsid w:val="621E2D67"/>
    <w:rsid w:val="62C84A81"/>
    <w:rsid w:val="633B34A5"/>
    <w:rsid w:val="65F8567D"/>
    <w:rsid w:val="66C11F13"/>
    <w:rsid w:val="68224C33"/>
    <w:rsid w:val="68F24605"/>
    <w:rsid w:val="694330B3"/>
    <w:rsid w:val="69AC0C58"/>
    <w:rsid w:val="6CA36342"/>
    <w:rsid w:val="6CA83959"/>
    <w:rsid w:val="6DE94229"/>
    <w:rsid w:val="6E445903"/>
    <w:rsid w:val="6ED50C51"/>
    <w:rsid w:val="6F4F27B2"/>
    <w:rsid w:val="6F63000B"/>
    <w:rsid w:val="71153587"/>
    <w:rsid w:val="71493231"/>
    <w:rsid w:val="71CA25C3"/>
    <w:rsid w:val="736305DA"/>
    <w:rsid w:val="739509AF"/>
    <w:rsid w:val="774B7D02"/>
    <w:rsid w:val="79982FA7"/>
    <w:rsid w:val="79D73ACF"/>
    <w:rsid w:val="7ACA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4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1030</Words>
  <Characters>1281</Characters>
  <Lines>9</Lines>
  <Paragraphs>2</Paragraphs>
  <TotalTime>2</TotalTime>
  <ScaleCrop>false</ScaleCrop>
  <LinksUpToDate>false</LinksUpToDate>
  <CharactersWithSpaces>1286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2025-07-14T07:41:00Z</dcterms:created>
  <dc:creator>Jiang, Sicong</dc:creator>
  <cp:lastModifiedBy>李姿</cp:lastModifiedBy>
  <dcterms:modified xsi:type="dcterms:W3CDTF">2025-07-16T06:38:15Z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eyJoZGlkIjoiM2M0YTljOWFiYWMyNWQyMjRjZTgzNDAxNGVhNzQ2ZWUiLCJ1c2VySWQiOiI0ODk3MTIwMjcifQ==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79B100CC4B1046F18AC2B92B7AA31240_12</vt:lpwstr>
  </property>
</Properties>
</file>