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20" w:after="180"/>
      </w:pPr>
      <w:bookmarkStart w:id="0" w:name="_GoBack"/>
      <w:bookmarkEnd w:id="0"/>
      <w:r>
        <w:rPr>
          <w:b/>
          <w:bCs/>
          <w:color w:val="1F3864"/>
          <w:sz w:val="44"/>
          <w:szCs w:val="44"/>
        </w:rPr>
        <w:t>深圳君柔科技有限公司投资尽职调查报告</w:t>
      </w:r>
    </w:p>
    <w:p>
      <w:pPr>
        <w:spacing w:after="100"/>
      </w:pPr>
      <w:r>
        <w:rPr>
          <w:b/>
          <w:bCs/>
        </w:rPr>
        <w:t>报告日期：</w:t>
      </w:r>
      <w:r>
        <w:t xml:space="preserve"> 2026年3月</w:t>
      </w:r>
    </w:p>
    <w:p>
      <w:pPr>
        <w:spacing w:after="100"/>
      </w:pPr>
      <w:r>
        <w:rPr>
          <w:b/>
          <w:bCs/>
        </w:rPr>
        <w:t>报告类型：</w:t>
      </w:r>
      <w:r>
        <w:t xml:space="preserve"> 投资决策参考报告（</w:t>
      </w:r>
      <w:r>
        <w:rPr>
          <w:rFonts w:hint="eastAsia"/>
        </w:rPr>
        <w:t>种子＋</w:t>
      </w:r>
      <w:r>
        <w:t>轮）</w:t>
      </w:r>
    </w:p>
    <w:p>
      <w:pPr>
        <w:spacing w:after="100"/>
      </w:pPr>
      <w:r>
        <w:rPr>
          <w:rFonts w:hint="eastAsia"/>
          <w:b/>
          <w:bCs/>
        </w:rPr>
        <w:t>融资</w:t>
      </w:r>
      <w:r>
        <w:rPr>
          <w:b/>
          <w:bCs/>
        </w:rPr>
        <w:t>金额：</w:t>
      </w:r>
      <w:r>
        <w:t xml:space="preserve"> 人民币3000万元</w:t>
      </w:r>
    </w:p>
    <w:p>
      <w:pPr>
        <w:spacing w:after="100"/>
      </w:pPr>
      <w:r>
        <w:rPr>
          <w:b/>
          <w:bCs/>
        </w:rPr>
        <w:t>对应估值：</w:t>
      </w:r>
      <w:r>
        <w:t xml:space="preserve"> 投前2.7亿元人民币</w:t>
      </w:r>
    </w:p>
    <w:p>
      <w:pPr>
        <w:spacing w:after="100"/>
      </w:pPr>
      <w:r>
        <w:rPr>
          <w:b/>
          <w:bCs/>
        </w:rPr>
        <w:t>结论：</w:t>
      </w:r>
      <w:r>
        <w:t xml:space="preserve"> </w:t>
      </w:r>
      <w:r>
        <w:rPr>
          <w:b/>
          <w:bCs/>
        </w:rPr>
        <w:t>有条件建议投资</w:t>
      </w:r>
      <w:r>
        <w:t>（前置合规整改条件满足）</w:t>
      </w:r>
    </w:p>
    <w:p>
      <w:pPr>
        <w:spacing w:before="220" w:after="120"/>
      </w:pPr>
      <w:r>
        <w:rPr>
          <w:b/>
          <w:bCs/>
          <w:color w:val="2E5090"/>
          <w:sz w:val="34"/>
          <w:szCs w:val="34"/>
        </w:rPr>
        <w:t>目录</w:t>
      </w:r>
    </w:p>
    <w:p>
      <w:pPr>
        <w:numPr>
          <w:ilvl w:val="0"/>
          <w:numId w:val="1"/>
        </w:numPr>
        <w:spacing w:after="60"/>
      </w:pPr>
      <w:r>
        <w:t>执行摘要</w:t>
      </w:r>
    </w:p>
    <w:p>
      <w:pPr>
        <w:numPr>
          <w:ilvl w:val="0"/>
          <w:numId w:val="1"/>
        </w:numPr>
        <w:spacing w:after="60"/>
      </w:pPr>
      <w:r>
        <w:t>公司基本情况</w:t>
      </w:r>
    </w:p>
    <w:p>
      <w:pPr>
        <w:numPr>
          <w:ilvl w:val="0"/>
          <w:numId w:val="1"/>
        </w:numPr>
        <w:spacing w:after="60"/>
      </w:pPr>
      <w:r>
        <w:t>核心技术分析（BCI神经电极方向）</w:t>
      </w:r>
    </w:p>
    <w:p>
      <w:pPr>
        <w:numPr>
          <w:ilvl w:val="0"/>
          <w:numId w:val="1"/>
        </w:numPr>
        <w:spacing w:after="60"/>
      </w:pPr>
      <w:r>
        <w:t>商业模式与市场空间（以BCI为核心赛道）</w:t>
      </w:r>
    </w:p>
    <w:p>
      <w:pPr>
        <w:numPr>
          <w:ilvl w:val="0"/>
          <w:numId w:val="1"/>
        </w:numPr>
        <w:spacing w:after="60"/>
      </w:pPr>
      <w:r>
        <w:t>团队评估</w:t>
      </w:r>
    </w:p>
    <w:p>
      <w:pPr>
        <w:numPr>
          <w:ilvl w:val="0"/>
          <w:numId w:val="1"/>
        </w:numPr>
        <w:spacing w:after="60"/>
      </w:pPr>
      <w:r>
        <w:t>财务健康度分析</w:t>
      </w:r>
    </w:p>
    <w:p>
      <w:pPr>
        <w:numPr>
          <w:ilvl w:val="0"/>
          <w:numId w:val="1"/>
        </w:numPr>
        <w:spacing w:after="60"/>
      </w:pPr>
      <w:r>
        <w:t>股权结构及历史沿革</w:t>
      </w:r>
    </w:p>
    <w:p>
      <w:pPr>
        <w:numPr>
          <w:ilvl w:val="0"/>
          <w:numId w:val="1"/>
        </w:numPr>
        <w:spacing w:after="60"/>
      </w:pPr>
      <w:r>
        <w:t>知识产权与技术壁垒</w:t>
      </w:r>
    </w:p>
    <w:p>
      <w:pPr>
        <w:numPr>
          <w:ilvl w:val="0"/>
          <w:numId w:val="1"/>
        </w:numPr>
        <w:spacing w:after="60"/>
      </w:pPr>
      <w:r>
        <w:t>合同及业务进展</w:t>
      </w:r>
    </w:p>
    <w:p>
      <w:pPr>
        <w:numPr>
          <w:ilvl w:val="0"/>
          <w:numId w:val="1"/>
        </w:numPr>
        <w:spacing w:after="60"/>
      </w:pPr>
      <w:r>
        <w:t>法律与合规风险评估</w:t>
      </w:r>
    </w:p>
    <w:p>
      <w:pPr>
        <w:numPr>
          <w:ilvl w:val="0"/>
          <w:numId w:val="1"/>
        </w:numPr>
        <w:spacing w:after="60"/>
      </w:pPr>
      <w:r>
        <w:rPr>
          <w:b w:val="0"/>
          <w:bCs w:val="0"/>
        </w:rPr>
        <w:t>电话会议关键披露（2026年3月更新）</w:t>
      </w:r>
    </w:p>
    <w:p>
      <w:pPr>
        <w:numPr>
          <w:ilvl w:val="0"/>
          <w:numId w:val="1"/>
        </w:numPr>
        <w:spacing w:after="60"/>
      </w:pPr>
      <w:r>
        <w:t>投资逻辑与估值分析</w:t>
      </w:r>
    </w:p>
    <w:p>
      <w:pPr>
        <w:numPr>
          <w:ilvl w:val="0"/>
          <w:numId w:val="1"/>
        </w:numPr>
        <w:spacing w:after="60"/>
      </w:pPr>
      <w:r>
        <w:t>风险提示与管理建议</w:t>
      </w:r>
    </w:p>
    <w:p>
      <w:pPr>
        <w:numPr>
          <w:ilvl w:val="0"/>
          <w:numId w:val="1"/>
        </w:numPr>
        <w:spacing w:after="60"/>
      </w:pPr>
      <w:r>
        <w:t>投资结论</w:t>
      </w:r>
    </w:p>
    <w:p>
      <w:pPr>
        <w:spacing w:before="220" w:after="120"/>
      </w:pPr>
      <w:r>
        <w:rPr>
          <w:b/>
          <w:bCs/>
          <w:color w:val="2E5090"/>
          <w:sz w:val="34"/>
          <w:szCs w:val="34"/>
        </w:rPr>
        <w:t>一、执行摘要</w:t>
      </w:r>
    </w:p>
    <w:p>
      <w:pPr>
        <w:spacing w:after="100"/>
      </w:pPr>
      <w:r>
        <w:t>本报告系投资方对深圳君柔科技有限公司（以下简称"君柔科技"或"标的公司"）进行的</w:t>
      </w:r>
      <w:r>
        <w:rPr>
          <w:rFonts w:hint="eastAsia"/>
        </w:rPr>
        <w:t>种子+</w:t>
      </w:r>
      <w:r>
        <w:t>轮投资尽职调查综合报告。调查基于标的公司提交的全套尽调文件，并重点参考了创始人刘志远课题组于2025年9月在《Nature》正刊（IF&gt;60）发表的核心研究成果，以及中科院深圳先进技术研究院2025年专项学术报告。</w:t>
      </w:r>
    </w:p>
    <w:p>
      <w:pPr>
        <w:spacing w:after="100"/>
      </w:pPr>
      <w:r>
        <w:rPr>
          <w:b/>
          <w:bCs/>
        </w:rPr>
        <w:t>核心调查结论如下：</w:t>
      </w:r>
    </w:p>
    <w:p>
      <w:pPr>
        <w:spacing w:after="100"/>
      </w:pPr>
      <w:r>
        <w:t>君柔科技成立于2025年4月，其核心技术根植于刘志远课题组在</w:t>
      </w:r>
      <w:r>
        <w:rPr>
          <w:b/>
          <w:bCs/>
        </w:rPr>
        <w:t>脑机接口（Brain-Computer Interface，BCI）神经电极材料</w:t>
      </w:r>
      <w:r>
        <w:t>领域的全球领先学术积累。2025年9月，刘志远作为共同通讯作者，在《Nature》正刊发表题为《A movable long-term implantable soft microfibre for dynamic bioelectronics》的研究论文（DOI: 10.1038/s41586-025-09344-w），这是</w:t>
      </w:r>
      <w:r>
        <w:rPr>
          <w:b/>
          <w:bCs/>
        </w:rPr>
        <w:t>中国团队在BCI植入式神经电极材料领域发表的第一篇《Nature》正刊论文</w:t>
      </w:r>
      <w:r>
        <w:t>，标志着刘志远课题组在可移动植入柔性神经电极技术上已跻身</w:t>
      </w:r>
      <w:r>
        <w:rPr>
          <w:b/>
          <w:bCs/>
        </w:rPr>
        <w:t>全球第一梯队</w:t>
      </w:r>
      <w:r>
        <w:t>。该成果不仅在学术上具有开创性，更是君柔科技在BCI商业化路径上无可替代的技术护城河来源。</w:t>
      </w:r>
    </w:p>
    <w:p>
      <w:pPr>
        <w:spacing w:after="100"/>
      </w:pPr>
      <w:r>
        <w:t>公司的商业战略部署遵循"近中远三层架构"：</w:t>
      </w:r>
    </w:p>
    <w:p>
      <w:pPr>
        <w:spacing w:after="60"/>
      </w:pPr>
      <w:r>
        <w:t xml:space="preserve">• </w:t>
      </w:r>
      <w:r>
        <w:rPr>
          <w:b/>
          <w:bCs/>
        </w:rPr>
        <w:t>近期（2025-2027年）</w:t>
      </w:r>
      <w:r>
        <w:t>：柔性</w:t>
      </w:r>
      <w:r>
        <w:rPr>
          <w:rFonts w:hint="eastAsia"/>
          <w:lang w:val="en-US" w:eastAsia="zh-Hans"/>
        </w:rPr>
        <w:t>电极贴片</w:t>
      </w:r>
      <w:r>
        <w:t>医疗高校科研场景，快速形成营收</w:t>
      </w:r>
    </w:p>
    <w:p>
      <w:pPr>
        <w:spacing w:after="60"/>
      </w:pPr>
      <w:r>
        <w:t xml:space="preserve">• </w:t>
      </w:r>
      <w:r>
        <w:rPr>
          <w:b/>
          <w:bCs/>
        </w:rPr>
        <w:t>中期（2026-2028年）</w:t>
      </w:r>
      <w:r>
        <w:t>：进入</w:t>
      </w:r>
      <w:r>
        <w:rPr>
          <w:rFonts w:hint="eastAsia"/>
        </w:rPr>
        <w:t>智能脑电监测</w:t>
      </w:r>
      <w:r>
        <w:t>等高</w:t>
      </w:r>
      <w:r>
        <w:rPr>
          <w:rFonts w:hint="eastAsia"/>
          <w:lang w:val="en-US" w:eastAsia="zh-Hans"/>
        </w:rPr>
        <w:t>销售</w:t>
      </w:r>
      <w:r>
        <w:t>市场</w:t>
      </w:r>
    </w:p>
    <w:p>
      <w:pPr>
        <w:spacing w:after="60"/>
      </w:pPr>
      <w:r>
        <w:t xml:space="preserve">• </w:t>
      </w:r>
      <w:r>
        <w:rPr>
          <w:b/>
          <w:bCs/>
        </w:rPr>
        <w:t>长远（2027年后）</w:t>
      </w:r>
      <w:r>
        <w:t>：以NeuroWorm技术平台进入BCI植入式神经电极高端市场，实现跳跃式估值升维</w:t>
      </w:r>
    </w:p>
    <w:p>
      <w:pPr>
        <w:spacing w:after="100"/>
      </w:pPr>
      <w:r>
        <w:t>本次融资拟以</w:t>
      </w:r>
      <w:r>
        <w:rPr>
          <w:b/>
          <w:bCs/>
        </w:rPr>
        <w:t>投前估值2.7亿元人民币</w:t>
      </w:r>
      <w:r>
        <w:t>为基础，融资</w:t>
      </w:r>
      <w:r>
        <w:rPr>
          <w:rFonts w:hint="eastAsia"/>
        </w:rPr>
        <w:t>3</w:t>
      </w:r>
      <w:r>
        <w:t>000万元，对应融资后持股约</w:t>
      </w:r>
      <w:r>
        <w:rPr>
          <w:rFonts w:hint="eastAsia"/>
        </w:rPr>
        <w:t>1</w:t>
      </w:r>
      <w:r>
        <w:t>0%。</w:t>
      </w:r>
    </w:p>
    <w:p>
      <w:pPr>
        <w:spacing w:after="100"/>
      </w:pPr>
      <w:r>
        <w:t>调查组认为，综合公司技术背景、创始人学术地位（《Nature》正刊BCI领域通讯作者）、已形成的初步市场验证及政府引导基金背书，</w:t>
      </w:r>
      <w:r>
        <w:rPr>
          <w:b/>
          <w:bCs/>
        </w:rPr>
        <w:t>本轮投资具有高度的战略合理性</w:t>
      </w:r>
      <w:r>
        <w:t>，全球BCI技术制高点</w:t>
      </w:r>
      <w:r>
        <w:rPr>
          <w:rFonts w:hint="eastAsia"/>
        </w:rPr>
        <w:t>具有</w:t>
      </w:r>
      <w:r>
        <w:t>稀缺</w:t>
      </w:r>
      <w:r>
        <w:rPr>
          <w:rFonts w:hint="eastAsia"/>
        </w:rPr>
        <w:t>性</w:t>
      </w:r>
      <w:r>
        <w:t>机会。但同时，电话会议揭示了若干合规风险，须在交割前形成书面处置方案，本报告将相关投资结论为</w:t>
      </w:r>
      <w:r>
        <w:rPr>
          <w:b/>
          <w:bCs/>
        </w:rPr>
        <w:t>"建议投资"</w:t>
      </w:r>
      <w:r>
        <w:t>。</w:t>
      </w:r>
    </w:p>
    <w:p>
      <w:pPr>
        <w:spacing w:before="220" w:after="120"/>
      </w:pPr>
      <w:r>
        <w:rPr>
          <w:b/>
          <w:bCs/>
          <w:color w:val="2E5090"/>
          <w:sz w:val="34"/>
          <w:szCs w:val="34"/>
        </w:rPr>
        <w:t>二、公司基本情况</w:t>
      </w:r>
    </w:p>
    <w:p>
      <w:pPr>
        <w:spacing w:before="160" w:after="80"/>
      </w:pPr>
      <w:r>
        <w:rPr>
          <w:b/>
          <w:bCs/>
          <w:color w:val="2F75B6"/>
          <w:sz w:val="28"/>
          <w:szCs w:val="28"/>
        </w:rPr>
        <w:t>2.1 基本工商信息</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4320"/>
      </w:tblGrid>
      <w:tr>
        <w:tc>
          <w:tcPr>
            <w:tcW w:w="4320" w:type="dxa"/>
          </w:tcPr>
          <w:p>
            <w:pPr>
              <w:spacing w:before="40" w:after="40"/>
            </w:pPr>
            <w:r>
              <w:rPr>
                <w:b/>
                <w:bCs/>
                <w:sz w:val="20"/>
                <w:szCs w:val="20"/>
              </w:rPr>
              <w:t>项目</w:t>
            </w:r>
          </w:p>
        </w:tc>
        <w:tc>
          <w:tcPr>
            <w:tcW w:w="4320" w:type="dxa"/>
          </w:tcPr>
          <w:p>
            <w:pPr>
              <w:spacing w:before="40" w:after="40"/>
            </w:pPr>
            <w:r>
              <w:rPr>
                <w:b/>
                <w:bCs/>
                <w:sz w:val="20"/>
                <w:szCs w:val="20"/>
              </w:rPr>
              <w:t>内容</w:t>
            </w:r>
          </w:p>
        </w:tc>
      </w:tr>
      <w:tr>
        <w:tc>
          <w:tcPr>
            <w:tcW w:w="4320" w:type="dxa"/>
          </w:tcPr>
          <w:p>
            <w:pPr>
              <w:spacing w:before="40" w:after="40"/>
            </w:pPr>
            <w:r>
              <w:rPr>
                <w:sz w:val="20"/>
                <w:szCs w:val="20"/>
              </w:rPr>
              <w:t>公司全称</w:t>
            </w:r>
          </w:p>
        </w:tc>
        <w:tc>
          <w:tcPr>
            <w:tcW w:w="4320" w:type="dxa"/>
          </w:tcPr>
          <w:p>
            <w:pPr>
              <w:spacing w:before="40" w:after="40"/>
            </w:pPr>
            <w:r>
              <w:rPr>
                <w:sz w:val="20"/>
                <w:szCs w:val="20"/>
              </w:rPr>
              <w:t>深圳君柔科技有限公司</w:t>
            </w:r>
          </w:p>
        </w:tc>
      </w:tr>
      <w:tr>
        <w:tc>
          <w:tcPr>
            <w:tcW w:w="4320" w:type="dxa"/>
          </w:tcPr>
          <w:p>
            <w:pPr>
              <w:spacing w:before="40" w:after="40"/>
            </w:pPr>
            <w:r>
              <w:rPr>
                <w:sz w:val="20"/>
                <w:szCs w:val="20"/>
              </w:rPr>
              <w:t>统一社会信用代码</w:t>
            </w:r>
          </w:p>
        </w:tc>
        <w:tc>
          <w:tcPr>
            <w:tcW w:w="4320" w:type="dxa"/>
          </w:tcPr>
          <w:p>
            <w:pPr>
              <w:spacing w:before="40" w:after="40"/>
            </w:pPr>
            <w:r>
              <w:rPr>
                <w:sz w:val="20"/>
                <w:szCs w:val="20"/>
              </w:rPr>
              <w:t>91440300MAEFDW7K2F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成立日期</w:t>
            </w:r>
          </w:p>
        </w:tc>
        <w:tc>
          <w:tcPr>
            <w:tcW w:w="4320" w:type="dxa"/>
          </w:tcPr>
          <w:p>
            <w:pPr>
              <w:spacing w:before="40" w:after="40"/>
            </w:pPr>
            <w:r>
              <w:rPr>
                <w:sz w:val="20"/>
                <w:szCs w:val="20"/>
              </w:rPr>
              <w:t>2025年4月7日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法定代表人</w:t>
            </w:r>
          </w:p>
        </w:tc>
        <w:tc>
          <w:tcPr>
            <w:tcW w:w="4320" w:type="dxa"/>
          </w:tcPr>
          <w:p>
            <w:pPr>
              <w:spacing w:before="40" w:after="40"/>
            </w:pPr>
            <w:r>
              <w:rPr>
                <w:sz w:val="20"/>
                <w:szCs w:val="20"/>
              </w:rPr>
              <w:t>刘志远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注册地址</w:t>
            </w:r>
          </w:p>
        </w:tc>
        <w:tc>
          <w:tcPr>
            <w:tcW w:w="4320" w:type="dxa"/>
          </w:tcPr>
          <w:p>
            <w:pPr>
              <w:spacing w:before="40" w:after="40"/>
            </w:pPr>
            <w:r>
              <w:rPr>
                <w:sz w:val="20"/>
                <w:szCs w:val="20"/>
              </w:rPr>
              <w:t>深圳市南山区招商街道工业六路4号兴华工业大厦7栋CD座405-13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注册资本</w:t>
            </w:r>
          </w:p>
        </w:tc>
        <w:tc>
          <w:tcPr>
            <w:tcW w:w="4320" w:type="dxa"/>
          </w:tcPr>
          <w:p>
            <w:pPr>
              <w:spacing w:before="40" w:after="40"/>
            </w:pPr>
            <w:r>
              <w:rPr>
                <w:sz w:val="20"/>
                <w:szCs w:val="20"/>
              </w:rPr>
              <w:t>11.73624万元人民币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最新核准日期</w:t>
            </w:r>
          </w:p>
        </w:tc>
        <w:tc>
          <w:tcPr>
            <w:tcW w:w="4320" w:type="dxa"/>
          </w:tcPr>
          <w:p>
            <w:pPr>
              <w:spacing w:before="40" w:after="40"/>
            </w:pPr>
            <w:r>
              <w:rPr>
                <w:sz w:val="20"/>
                <w:szCs w:val="20"/>
              </w:rPr>
              <w:t>2025年12月12日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主营业务</w:t>
            </w:r>
          </w:p>
        </w:tc>
        <w:tc>
          <w:tcPr>
            <w:tcW w:w="4320" w:type="dxa"/>
          </w:tcPr>
          <w:p>
            <w:pPr>
              <w:spacing w:before="40" w:after="40"/>
            </w:pPr>
            <w:r>
              <w:rPr>
                <w:sz w:val="20"/>
                <w:szCs w:val="20"/>
              </w:rPr>
              <w:t>柔性神经/触觉电极材料研发、BCI传感系统及工业触觉模组产业化</w:t>
            </w:r>
          </w:p>
        </w:tc>
      </w:tr>
    </w:tbl>
    <w:p>
      <w:pPr>
        <w:spacing w:after="60"/>
      </w:pPr>
    </w:p>
    <w:p>
      <w:pPr>
        <w:spacing w:after="100"/>
      </w:pPr>
      <w:r>
        <w:t>公司在深圳南山区（全国硬科技创业最密集的生态聚集地之一）注册运营，紧邻中科院深圳先进技术研究院（SIAT）、</w:t>
      </w:r>
      <w:r>
        <w:rPr>
          <w:rFonts w:hint="eastAsia"/>
        </w:rPr>
        <w:t>清华大学深圳研究院、北京大学深圳研究院、</w:t>
      </w:r>
      <w:r>
        <w:t>，</w:t>
      </w:r>
      <w:r>
        <w:rPr>
          <w:rFonts w:hint="eastAsia"/>
        </w:rPr>
        <w:t>哈尔滨工业大学深圳院，</w:t>
      </w:r>
      <w:r>
        <w:t>地理位置具有明显的产学研协同及BCI产业政策资源获取优势。</w:t>
      </w:r>
    </w:p>
    <w:p>
      <w:pPr>
        <w:spacing w:before="160" w:after="80"/>
      </w:pPr>
      <w:r>
        <w:rPr>
          <w:b/>
          <w:bCs/>
          <w:color w:val="2F75B6"/>
          <w:sz w:val="28"/>
          <w:szCs w:val="28"/>
        </w:rPr>
        <w:t>2.2 集团实体架构</w:t>
      </w:r>
    </w:p>
    <w:p>
      <w:pPr>
        <w:spacing w:after="100"/>
      </w:pPr>
      <w:r>
        <w:t>根据《公司各实体业务情况介绍》文件，君柔科技旗下形成"1个研发核心主体 + 2个持股激励平台 + 1个配套运营主体"的架构布局：</w:t>
      </w:r>
    </w:p>
    <w:p>
      <w:pPr>
        <w:spacing w:after="60"/>
      </w:pPr>
      <w:r>
        <w:t xml:space="preserve">• </w:t>
      </w:r>
      <w:r>
        <w:rPr>
          <w:b/>
          <w:bCs/>
        </w:rPr>
        <w:t>深圳君柔科技有限公司</w:t>
      </w:r>
      <w:r>
        <w:t>（核心主体）：负责技术研发、产品研制、对外签约及收入确认</w:t>
      </w:r>
    </w:p>
    <w:p>
      <w:pPr>
        <w:spacing w:after="60"/>
      </w:pPr>
      <w:r>
        <w:t xml:space="preserve">• </w:t>
      </w:r>
      <w:r>
        <w:rPr>
          <w:b/>
          <w:bCs/>
        </w:rPr>
        <w:t>深圳泓远志科技有限公司</w:t>
      </w:r>
      <w:r>
        <w:t>（GP管理主体）：由刘志远持股99%，专门管理两个有限合伙持股平台</w:t>
      </w:r>
    </w:p>
    <w:p>
      <w:pPr>
        <w:spacing w:after="60"/>
      </w:pPr>
      <w:r>
        <w:t xml:space="preserve">• </w:t>
      </w:r>
      <w:r>
        <w:rPr>
          <w:b/>
          <w:bCs/>
        </w:rPr>
        <w:t>深圳感柔科技合伙企业（有限合伙）</w:t>
      </w:r>
      <w:r>
        <w:t>：核心员工持股激励平台</w:t>
      </w:r>
    </w:p>
    <w:p>
      <w:pPr>
        <w:spacing w:after="60"/>
      </w:pPr>
      <w:r>
        <w:t xml:space="preserve">• </w:t>
      </w:r>
      <w:r>
        <w:rPr>
          <w:b/>
          <w:bCs/>
        </w:rPr>
        <w:t>深圳鹏鑫澄科技合伙企业（有限合伙）</w:t>
      </w:r>
      <w:r>
        <w:t>：</w:t>
      </w:r>
      <w:r>
        <w:rPr>
          <w:rFonts w:hint="eastAsia"/>
        </w:rPr>
        <w:t>资源方</w:t>
      </w:r>
      <w:r>
        <w:t>持股平台</w:t>
      </w:r>
    </w:p>
    <w:p>
      <w:pPr>
        <w:spacing w:after="60"/>
      </w:pPr>
    </w:p>
    <w:p>
      <w:pPr>
        <w:spacing w:after="100"/>
      </w:pPr>
      <w:r>
        <w:t>此架构具备良好的上市及未来融资兼容性，是科技型早期创业公司的常见合规化股权设计。</w:t>
      </w:r>
    </w:p>
    <w:p>
      <w:pPr>
        <w:spacing w:before="160" w:after="80"/>
      </w:pPr>
      <w:r>
        <w:rPr>
          <w:b/>
          <w:bCs/>
          <w:color w:val="2F75B6"/>
          <w:sz w:val="28"/>
          <w:szCs w:val="28"/>
        </w:rPr>
        <w:t>2.3 发展阶段判断</w:t>
      </w:r>
    </w:p>
    <w:p>
      <w:pPr>
        <w:spacing w:after="100"/>
      </w:pPr>
      <w:r>
        <w:t>公司自2025年4月成立至今约11个月，处于：</w:t>
      </w:r>
    </w:p>
    <w:p>
      <w:pPr>
        <w:spacing w:after="60"/>
      </w:pPr>
      <w:r>
        <w:t xml:space="preserve">• </w:t>
      </w:r>
      <w:r>
        <w:rPr>
          <w:b/>
          <w:bCs/>
        </w:rPr>
        <w:t>技术完善期</w:t>
      </w:r>
      <w:r>
        <w:t>：柔性可拉伸电极产品从实验室</w:t>
      </w:r>
      <w:r>
        <w:rPr>
          <w:rFonts w:hint="eastAsia"/>
          <w:lang w:val="en-US" w:eastAsia="zh-Hans"/>
        </w:rPr>
        <w:t>走向产品</w:t>
      </w:r>
      <w:r>
        <w:t>；BCI神经电极平台（NeuroWorm体系）完成动物实验验证</w:t>
      </w:r>
    </w:p>
    <w:p>
      <w:pPr>
        <w:spacing w:after="60"/>
      </w:pPr>
      <w:r>
        <w:t xml:space="preserve">• </w:t>
      </w:r>
      <w:r>
        <w:rPr>
          <w:b/>
          <w:bCs/>
        </w:rPr>
        <w:t>市场验证期</w:t>
      </w:r>
      <w:r>
        <w:t>：已获得若干首批订单（高校、医院、</w:t>
      </w:r>
      <w:r>
        <w:rPr>
          <w:rFonts w:hint="eastAsia"/>
          <w:lang w:val="en-US" w:eastAsia="zh-Hans"/>
        </w:rPr>
        <w:t>美容</w:t>
      </w:r>
      <w:r>
        <w:t>）</w:t>
      </w:r>
    </w:p>
    <w:p>
      <w:pPr>
        <w:spacing w:after="60"/>
      </w:pPr>
      <w:r>
        <w:t xml:space="preserve">• </w:t>
      </w:r>
      <w:r>
        <w:rPr>
          <w:b/>
          <w:bCs/>
        </w:rPr>
        <w:t>早期营收期</w:t>
      </w:r>
      <w:r>
        <w:t>：已形成初步收入，尚未实现规模化盈利</w:t>
      </w:r>
    </w:p>
    <w:p>
      <w:pPr>
        <w:spacing w:before="220" w:after="120"/>
      </w:pPr>
      <w:r>
        <w:rPr>
          <w:b/>
          <w:bCs/>
          <w:color w:val="2E5090"/>
          <w:sz w:val="34"/>
          <w:szCs w:val="34"/>
        </w:rPr>
        <w:t>三、核心技术分析</w:t>
      </w:r>
    </w:p>
    <w:p>
      <w:pPr>
        <w:spacing w:before="160" w:after="80"/>
      </w:pPr>
      <w:r>
        <w:rPr>
          <w:b/>
          <w:bCs/>
          <w:color w:val="2F75B6"/>
          <w:sz w:val="28"/>
          <w:szCs w:val="28"/>
        </w:rPr>
        <w:t>3.1 技术定位：以BCI神经电极为核心，</w:t>
      </w:r>
      <w:r>
        <w:rPr>
          <w:rFonts w:hint="eastAsia"/>
          <w:b/>
          <w:bCs/>
          <w:color w:val="2F75B6"/>
          <w:sz w:val="28"/>
          <w:szCs w:val="28"/>
          <w:lang w:val="en-US" w:eastAsia="zh-Hans"/>
        </w:rPr>
        <w:t>体表电极</w:t>
      </w:r>
      <w:r>
        <w:rPr>
          <w:b/>
          <w:bCs/>
          <w:color w:val="2F75B6"/>
          <w:sz w:val="28"/>
          <w:szCs w:val="28"/>
        </w:rPr>
        <w:t>感知为现阶段商业化路径</w:t>
      </w:r>
    </w:p>
    <w:p>
      <w:pPr>
        <w:spacing w:after="100"/>
      </w:pPr>
      <w:r>
        <w:t>君柔科技的技术架构以</w:t>
      </w:r>
      <w:r>
        <w:rPr>
          <w:b/>
          <w:bCs/>
        </w:rPr>
        <w:t>柔性可植入/可穿戴电极材料体系</w:t>
      </w:r>
      <w:r>
        <w:t>为底层，分两条路径并行推进：</w:t>
      </w:r>
    </w:p>
    <w:p>
      <w:pPr>
        <w:spacing w:after="100"/>
      </w:pPr>
      <w:r>
        <w:rPr>
          <w:b/>
          <w:bCs/>
        </w:rPr>
        <w:t>主路径A——BCI神经电极（战略制高点）</w:t>
      </w:r>
    </w:p>
    <w:p>
      <w:pPr>
        <w:spacing w:after="100"/>
      </w:pPr>
      <w:r>
        <w:t>公司核心技术来源是刘志远课题组在可移动植入式软微纤维神经电极领域的全球领先成果，代表作为</w:t>
      </w:r>
      <w:r>
        <w:rPr>
          <w:b/>
          <w:bCs/>
        </w:rPr>
        <w:t>NeuroWorm技术平台</w:t>
      </w:r>
      <w:r>
        <w:t>（《Nature》正刊，2025年9月）。该技术路径面向脑机接口（BCI）、神经调控、运动皮层记录等高端医疗应用，属于全球BCI材料领域的开创性工作。</w:t>
      </w:r>
    </w:p>
    <w:p>
      <w:pPr>
        <w:spacing w:after="100"/>
      </w:pPr>
      <w:r>
        <w:rPr>
          <w:b/>
          <w:bCs/>
        </w:rPr>
        <w:t>副路径B——柔性触觉传感（近期商业化变现路径）</w:t>
      </w:r>
    </w:p>
    <w:p>
      <w:pPr>
        <w:spacing w:after="100"/>
      </w:pPr>
      <w:r>
        <w:t>基于同一柔性电极材料体系，公司同步推进应用于</w:t>
      </w:r>
      <w:r>
        <w:rPr>
          <w:rFonts w:hint="eastAsia"/>
        </w:rPr>
        <w:t>体表健康监测、</w:t>
      </w:r>
      <w:r>
        <w:t>工业机器人、手术机器人、智能假肢的"电子皮肤"触觉传感模组，已有初步合同验证，是近期营收的主要来源。</w:t>
      </w:r>
    </w:p>
    <w:p>
      <w:pPr>
        <w:spacing w:before="160" w:after="80"/>
      </w:pPr>
      <w:r>
        <w:rPr>
          <w:b/>
          <w:bCs/>
          <w:color w:val="2F75B6"/>
          <w:sz w:val="28"/>
          <w:szCs w:val="28"/>
        </w:rPr>
        <w:t>3.2 NeuroWorm技术平台（《Nature》正刊核心成果详解）</w:t>
      </w:r>
    </w:p>
    <w:p>
      <w:pPr>
        <w:spacing w:after="100"/>
      </w:pPr>
      <w:r>
        <w:rPr>
          <w:b/>
          <w:bCs/>
        </w:rPr>
        <w:t>论文基本信息：</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b/>
                <w:bCs/>
                <w:sz w:val="20"/>
                <w:szCs w:val="20"/>
              </w:rPr>
              <w:t>项目</w:t>
            </w:r>
          </w:p>
        </w:tc>
        <w:tc>
          <w:tcPr>
            <w:tcW w:w="4320" w:type="dxa"/>
          </w:tcPr>
          <w:p>
            <w:pPr>
              <w:spacing w:before="40" w:after="40"/>
            </w:pPr>
            <w:r>
              <w:rPr>
                <w:b/>
                <w:bCs/>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标题</w:t>
            </w:r>
          </w:p>
        </w:tc>
        <w:tc>
          <w:tcPr>
            <w:tcW w:w="4320" w:type="dxa"/>
          </w:tcPr>
          <w:p>
            <w:pPr>
              <w:spacing w:before="40" w:after="40"/>
            </w:pPr>
            <w:r>
              <w:rPr>
                <w:sz w:val="20"/>
                <w:szCs w:val="20"/>
              </w:rPr>
              <w:t>A movable long-term implantable soft microfibre for dynamic bioelectronics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期刊</w:t>
            </w:r>
          </w:p>
        </w:tc>
        <w:tc>
          <w:tcPr>
            <w:tcW w:w="4320" w:type="dxa"/>
          </w:tcPr>
          <w:p>
            <w:pPr>
              <w:spacing w:before="40" w:after="40"/>
            </w:pPr>
            <w:r>
              <w:rPr>
                <w:sz w:val="20"/>
                <w:szCs w:val="20"/>
              </w:rPr>
              <w:t>Nature（2025年9月，Volume 645, pp.648-655）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通讯作者</w:t>
            </w:r>
          </w:p>
        </w:tc>
        <w:tc>
          <w:tcPr>
            <w:tcW w:w="4320" w:type="dxa"/>
          </w:tcPr>
          <w:p>
            <w:pPr>
              <w:spacing w:before="40" w:after="40"/>
            </w:pPr>
            <w:r>
              <w:rPr>
                <w:sz w:val="20"/>
                <w:szCs w:val="20"/>
              </w:rPr>
              <w:t>刘志远（Zhiyuan Liu）等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DOI</w:t>
            </w:r>
          </w:p>
        </w:tc>
        <w:tc>
          <w:tcPr>
            <w:tcW w:w="4320" w:type="dxa"/>
          </w:tcPr>
          <w:p>
            <w:pPr>
              <w:spacing w:before="40" w:after="40"/>
            </w:pPr>
            <w:r>
              <w:rPr>
                <w:sz w:val="20"/>
                <w:szCs w:val="20"/>
              </w:rPr>
              <w:t>10.1038/s41586-025-09344-w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历史意义</w:t>
            </w:r>
          </w:p>
        </w:tc>
        <w:tc>
          <w:tcPr>
            <w:tcW w:w="4320" w:type="dxa"/>
          </w:tcPr>
          <w:p>
            <w:pPr>
              <w:spacing w:before="40" w:after="40"/>
            </w:pPr>
            <w:r>
              <w:rPr>
                <w:sz w:val="20"/>
                <w:szCs w:val="20"/>
              </w:rPr>
              <w:t>中国团队在BCI植入式神经电极材料领域发表的第一篇《Nature》正刊论文</w:t>
            </w:r>
          </w:p>
        </w:tc>
      </w:tr>
    </w:tbl>
    <w:p>
      <w:pPr>
        <w:spacing w:after="60"/>
      </w:pPr>
    </w:p>
    <w:p>
      <w:pPr>
        <w:spacing w:after="100"/>
      </w:pPr>
      <w:r>
        <w:rPr>
          <w:b/>
          <w:bCs/>
        </w:rPr>
        <w:t>NeuroWorm三大核心技术突破：</w:t>
      </w:r>
    </w:p>
    <w:p>
      <w:pPr>
        <w:spacing w:after="100"/>
      </w:pPr>
      <w:r>
        <w:rPr>
          <w:b/>
          <w:bCs/>
        </w:rPr>
        <w:t>突破一：可移动性（Movability）——颠覆传统神经电极"植入即固定"范式</w:t>
      </w:r>
    </w:p>
    <w:p>
      <w:pPr>
        <w:spacing w:after="100"/>
      </w:pPr>
      <w:r>
        <w:t>传统刚性电极（如Utah阵列、密歇根探针）及现有柔性电极植入脑组织后均无法重新定位，若需调整靶区记录位置只能再次手术。NeuroWorm采用内嵌磁性</w:t>
      </w:r>
      <w:r>
        <w:rPr>
          <w:rFonts w:hint="eastAsia"/>
        </w:rPr>
        <w:t>颗粒</w:t>
      </w:r>
      <w:r>
        <w:t>设计，植入后可通过</w:t>
      </w:r>
      <w:r>
        <w:rPr>
          <w:b/>
          <w:bCs/>
        </w:rPr>
        <w:t>外部旋转磁场精准引导</w:t>
      </w:r>
      <w:r>
        <w:t>，像蠕虫一样在脑组织内自主行进，实现对不同脑区的定向靶向记录，无需二次开颅手术。</w:t>
      </w:r>
    </w:p>
    <w:p>
      <w:pPr>
        <w:spacing w:after="100"/>
      </w:pPr>
      <w:r>
        <w:rPr>
          <w:b/>
          <w:bCs/>
        </w:rPr>
        <w:t>突破二：超长期稳定性（43周以上）——解决神经电极"慢性失效"瓶颈</w:t>
      </w:r>
    </w:p>
    <w:p>
      <w:pPr>
        <w:spacing w:after="100"/>
      </w:pPr>
      <w:r>
        <w:t>现有BCI电极（包括Neuralink N1芯片）面临的最大挑战是：随着时间推移，胶质细胞在电极表面增生，导致信号质量逐渐衰减，通常3-12个月后即需更换。NeuroWorm采用超柔性（弯曲刚度接近神经组织）纤维材料，最大程度降低了机械刺激引发的炎症反应，在大鼠脑内持续稳定工作</w:t>
      </w:r>
      <w:r>
        <w:rPr>
          <w:b/>
          <w:bCs/>
        </w:rPr>
        <w:t>超过43周</w:t>
      </w:r>
      <w:r>
        <w:t>（约10个月），远超行业平均水平。</w:t>
      </w:r>
    </w:p>
    <w:p>
      <w:pPr>
        <w:spacing w:after="100"/>
      </w:pPr>
      <w:r>
        <w:rPr>
          <w:b/>
          <w:bCs/>
        </w:rPr>
        <w:t>突破三：超高通道密度（60+独立通道）——多模态神经信号同步采集</w:t>
      </w:r>
    </w:p>
    <w:p>
      <w:pPr>
        <w:spacing w:after="100"/>
      </w:pPr>
      <w:r>
        <w:t>NeuroWorm集成超过</w:t>
      </w:r>
      <w:r>
        <w:rPr>
          <w:b/>
          <w:bCs/>
        </w:rPr>
        <w:t>60路独立电极通道</w:t>
      </w:r>
      <w:r>
        <w:t>，可同时采集：</w:t>
      </w:r>
    </w:p>
    <w:p>
      <w:pPr>
        <w:spacing w:after="60"/>
      </w:pPr>
      <w:r>
        <w:t>• LFP（局部场电位）：反映神经集群网络活动</w:t>
      </w:r>
    </w:p>
    <w:p>
      <w:pPr>
        <w:spacing w:after="60"/>
      </w:pPr>
      <w:r>
        <w:t xml:space="preserve">• </w:t>
      </w:r>
      <w:r>
        <w:rPr>
          <w:rFonts w:hint="eastAsia"/>
        </w:rPr>
        <w:t>SEEG</w:t>
      </w:r>
      <w:r>
        <w:t>（</w:t>
      </w:r>
      <w:r>
        <w:rPr>
          <w:rFonts w:hint="eastAsia"/>
        </w:rPr>
        <w:t>深部</w:t>
      </w:r>
      <w:r>
        <w:t>脑电图）：高空间分辨率脑</w:t>
      </w:r>
      <w:r>
        <w:rPr>
          <w:rFonts w:hint="eastAsia"/>
        </w:rPr>
        <w:t>深部电</w:t>
      </w:r>
      <w:r>
        <w:t>信号</w:t>
      </w:r>
    </w:p>
    <w:p>
      <w:pPr>
        <w:spacing w:after="60"/>
      </w:pPr>
      <w:r>
        <w:t>• EMG（肌肉电图）：运动神经肌肉信号</w:t>
      </w:r>
    </w:p>
    <w:p>
      <w:pPr>
        <w:spacing w:after="60"/>
      </w:pPr>
      <w:r>
        <w:t>• 应变信号：脑组织机械形变感知</w:t>
      </w:r>
    </w:p>
    <w:p>
      <w:pPr>
        <w:spacing w:after="100"/>
      </w:pPr>
      <w:r>
        <w:t>这一多模态采集能力使NeuroWorm成为目前已知</w:t>
      </w:r>
      <w:r>
        <w:rPr>
          <w:b/>
          <w:bCs/>
        </w:rPr>
        <w:t>综合性能最强的柔性植入式BCI传感系统之一</w:t>
      </w:r>
      <w:r>
        <w:t>。</w:t>
      </w:r>
    </w:p>
    <w:p>
      <w:pPr>
        <w:spacing w:after="100"/>
      </w:pPr>
      <w:r>
        <w:rPr>
          <w:b/>
          <w:bCs/>
        </w:rPr>
        <w:t>与竞品的性能对比：</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b/>
                <w:bCs/>
                <w:sz w:val="20"/>
                <w:szCs w:val="20"/>
              </w:rPr>
              <w:t>指标</w:t>
            </w:r>
          </w:p>
        </w:tc>
        <w:tc>
          <w:tcPr>
            <w:tcW w:w="1728" w:type="dxa"/>
          </w:tcPr>
          <w:p>
            <w:pPr>
              <w:spacing w:before="40" w:after="40"/>
            </w:pPr>
            <w:r>
              <w:rPr>
                <w:b/>
                <w:bCs/>
                <w:sz w:val="20"/>
                <w:szCs w:val="20"/>
              </w:rPr>
              <w:t>Neuralink N1</w:t>
            </w:r>
          </w:p>
        </w:tc>
        <w:tc>
          <w:tcPr>
            <w:tcW w:w="1728" w:type="dxa"/>
          </w:tcPr>
          <w:p>
            <w:pPr>
              <w:spacing w:before="40" w:after="40"/>
            </w:pPr>
            <w:r>
              <w:rPr>
                <w:b/>
                <w:bCs/>
                <w:sz w:val="20"/>
                <w:szCs w:val="20"/>
              </w:rPr>
              <w:t>Stentrode</w:t>
            </w:r>
          </w:p>
        </w:tc>
        <w:tc>
          <w:tcPr>
            <w:tcW w:w="1728" w:type="dxa"/>
          </w:tcPr>
          <w:p>
            <w:pPr>
              <w:spacing w:before="40" w:after="40"/>
            </w:pPr>
            <w:r>
              <w:rPr>
                <w:b/>
                <w:bCs/>
                <w:sz w:val="20"/>
                <w:szCs w:val="20"/>
              </w:rPr>
              <w:t>Utah Array</w:t>
            </w:r>
          </w:p>
        </w:tc>
        <w:tc>
          <w:tcPr>
            <w:tcW w:w="1728" w:type="dxa"/>
          </w:tcPr>
          <w:p>
            <w:pPr>
              <w:spacing w:before="40" w:after="40"/>
            </w:pPr>
            <w:r>
              <w:rPr>
                <w:b/>
                <w:bCs/>
                <w:sz w:val="20"/>
                <w:szCs w:val="20"/>
              </w:rPr>
              <w:t>NeuroWorm（刘志远）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可移动性</w:t>
            </w:r>
          </w:p>
        </w:tc>
        <w:tc>
          <w:tcPr>
            <w:tcW w:w="1728" w:type="dxa"/>
          </w:tcPr>
          <w:p>
            <w:pPr>
              <w:spacing w:before="40" w:after="40"/>
            </w:pPr>
            <w:r>
              <w:rPr>
                <w:sz w:val="20"/>
                <w:szCs w:val="20"/>
              </w:rPr>
              <w:t>无</w:t>
            </w:r>
          </w:p>
        </w:tc>
        <w:tc>
          <w:tcPr>
            <w:tcW w:w="1728" w:type="dxa"/>
          </w:tcPr>
          <w:p>
            <w:pPr>
              <w:spacing w:before="40" w:after="40"/>
            </w:pPr>
            <w:r>
              <w:rPr>
                <w:sz w:val="20"/>
                <w:szCs w:val="20"/>
              </w:rPr>
              <w:t>无</w:t>
            </w:r>
          </w:p>
        </w:tc>
        <w:tc>
          <w:tcPr>
            <w:tcW w:w="1728" w:type="dxa"/>
          </w:tcPr>
          <w:p>
            <w:pPr>
              <w:spacing w:before="40" w:after="40"/>
            </w:pPr>
            <w:r>
              <w:rPr>
                <w:sz w:val="20"/>
                <w:szCs w:val="20"/>
              </w:rPr>
              <w:t>无</w:t>
            </w:r>
          </w:p>
        </w:tc>
        <w:tc>
          <w:tcPr>
            <w:tcW w:w="1728" w:type="dxa"/>
          </w:tcPr>
          <w:p>
            <w:pPr>
              <w:spacing w:before="40" w:after="40"/>
            </w:pPr>
            <w:r>
              <w:rPr>
                <w:sz w:val="20"/>
                <w:szCs w:val="20"/>
              </w:rPr>
              <w:t>有（磁控引导）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植入方式</w:t>
            </w:r>
          </w:p>
        </w:tc>
        <w:tc>
          <w:tcPr>
            <w:tcW w:w="1728" w:type="dxa"/>
          </w:tcPr>
          <w:p>
            <w:pPr>
              <w:spacing w:before="40" w:after="40"/>
            </w:pPr>
            <w:r>
              <w:rPr>
                <w:sz w:val="20"/>
                <w:szCs w:val="20"/>
              </w:rPr>
              <w:t>开颅手术</w:t>
            </w:r>
          </w:p>
        </w:tc>
        <w:tc>
          <w:tcPr>
            <w:tcW w:w="1728" w:type="dxa"/>
          </w:tcPr>
          <w:p>
            <w:pPr>
              <w:spacing w:before="40" w:after="40"/>
            </w:pPr>
            <w:r>
              <w:rPr>
                <w:sz w:val="20"/>
                <w:szCs w:val="20"/>
              </w:rPr>
              <w:t>血管内</w:t>
            </w:r>
          </w:p>
        </w:tc>
        <w:tc>
          <w:tcPr>
            <w:tcW w:w="1728" w:type="dxa"/>
          </w:tcPr>
          <w:p>
            <w:pPr>
              <w:spacing w:before="40" w:after="40"/>
            </w:pPr>
            <w:r>
              <w:rPr>
                <w:sz w:val="20"/>
                <w:szCs w:val="20"/>
              </w:rPr>
              <w:t>开颅手术</w:t>
            </w:r>
          </w:p>
        </w:tc>
        <w:tc>
          <w:tcPr>
            <w:tcW w:w="1728" w:type="dxa"/>
          </w:tcPr>
          <w:p>
            <w:pPr>
              <w:spacing w:before="40" w:after="40"/>
            </w:pPr>
            <w:r>
              <w:rPr>
                <w:sz w:val="20"/>
                <w:szCs w:val="20"/>
              </w:rPr>
              <w:t>微创软纤维穿刺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稳定工作周期</w:t>
            </w:r>
          </w:p>
        </w:tc>
        <w:tc>
          <w:tcPr>
            <w:tcW w:w="1728" w:type="dxa"/>
          </w:tcPr>
          <w:p>
            <w:pPr>
              <w:spacing w:before="40" w:after="40"/>
            </w:pPr>
            <w:r>
              <w:rPr>
                <w:sz w:val="20"/>
                <w:szCs w:val="20"/>
              </w:rPr>
              <w:t>约6-12个月</w:t>
            </w:r>
          </w:p>
        </w:tc>
        <w:tc>
          <w:tcPr>
            <w:tcW w:w="1728" w:type="dxa"/>
          </w:tcPr>
          <w:p>
            <w:pPr>
              <w:spacing w:before="40" w:after="40"/>
            </w:pPr>
            <w:r>
              <w:rPr>
                <w:sz w:val="20"/>
                <w:szCs w:val="20"/>
              </w:rPr>
              <w:t>约12个月</w:t>
            </w:r>
          </w:p>
        </w:tc>
        <w:tc>
          <w:tcPr>
            <w:tcW w:w="1728" w:type="dxa"/>
          </w:tcPr>
          <w:p>
            <w:pPr>
              <w:spacing w:before="40" w:after="40"/>
            </w:pPr>
            <w:r>
              <w:rPr>
                <w:sz w:val="20"/>
                <w:szCs w:val="20"/>
              </w:rPr>
              <w:t>约6个月</w:t>
            </w:r>
          </w:p>
        </w:tc>
        <w:tc>
          <w:tcPr>
            <w:tcW w:w="1728" w:type="dxa"/>
          </w:tcPr>
          <w:p>
            <w:pPr>
              <w:spacing w:before="40" w:after="40"/>
            </w:pPr>
            <w:r>
              <w:rPr>
                <w:sz w:val="20"/>
                <w:szCs w:val="20"/>
              </w:rPr>
              <w:t>43周+（持续验证中）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电极通道数</w:t>
            </w:r>
          </w:p>
        </w:tc>
        <w:tc>
          <w:tcPr>
            <w:tcW w:w="1728" w:type="dxa"/>
          </w:tcPr>
          <w:p>
            <w:pPr>
              <w:spacing w:before="40" w:after="40"/>
            </w:pPr>
            <w:r>
              <w:rPr>
                <w:sz w:val="20"/>
                <w:szCs w:val="20"/>
              </w:rPr>
              <w:t>1024通道（硬质）</w:t>
            </w:r>
          </w:p>
        </w:tc>
        <w:tc>
          <w:tcPr>
            <w:tcW w:w="1728" w:type="dxa"/>
          </w:tcPr>
          <w:p>
            <w:pPr>
              <w:spacing w:before="40" w:after="40"/>
            </w:pPr>
            <w:r>
              <w:rPr>
                <w:sz w:val="20"/>
                <w:szCs w:val="20"/>
              </w:rPr>
              <w:t>8-16通道</w:t>
            </w:r>
          </w:p>
        </w:tc>
        <w:tc>
          <w:tcPr>
            <w:tcW w:w="1728" w:type="dxa"/>
          </w:tcPr>
          <w:p>
            <w:pPr>
              <w:spacing w:before="40" w:after="40"/>
            </w:pPr>
            <w:r>
              <w:rPr>
                <w:sz w:val="20"/>
                <w:szCs w:val="20"/>
              </w:rPr>
              <w:t>96通道</w:t>
            </w:r>
          </w:p>
        </w:tc>
        <w:tc>
          <w:tcPr>
            <w:tcW w:w="1728" w:type="dxa"/>
          </w:tcPr>
          <w:p>
            <w:pPr>
              <w:spacing w:before="40" w:after="40"/>
            </w:pPr>
            <w:r>
              <w:rPr>
                <w:sz w:val="20"/>
                <w:szCs w:val="20"/>
              </w:rPr>
              <w:t>60-128通道（软质）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生物相容性</w:t>
            </w:r>
          </w:p>
        </w:tc>
        <w:tc>
          <w:tcPr>
            <w:tcW w:w="1728" w:type="dxa"/>
          </w:tcPr>
          <w:p>
            <w:pPr>
              <w:spacing w:before="40" w:after="40"/>
            </w:pPr>
            <w:r>
              <w:rPr>
                <w:sz w:val="20"/>
                <w:szCs w:val="20"/>
              </w:rPr>
              <w:t>中等</w:t>
            </w:r>
          </w:p>
        </w:tc>
        <w:tc>
          <w:tcPr>
            <w:tcW w:w="1728" w:type="dxa"/>
          </w:tcPr>
          <w:p>
            <w:pPr>
              <w:spacing w:before="40" w:after="40"/>
            </w:pPr>
            <w:r>
              <w:rPr>
                <w:sz w:val="20"/>
                <w:szCs w:val="20"/>
              </w:rPr>
              <w:t>较好</w:t>
            </w:r>
          </w:p>
        </w:tc>
        <w:tc>
          <w:tcPr>
            <w:tcW w:w="1728" w:type="dxa"/>
          </w:tcPr>
          <w:p>
            <w:pPr>
              <w:spacing w:before="40" w:after="40"/>
            </w:pPr>
            <w:r>
              <w:rPr>
                <w:sz w:val="20"/>
                <w:szCs w:val="20"/>
              </w:rPr>
              <w:t>较差</w:t>
            </w:r>
          </w:p>
        </w:tc>
        <w:tc>
          <w:tcPr>
            <w:tcW w:w="1728" w:type="dxa"/>
          </w:tcPr>
          <w:p>
            <w:pPr>
              <w:spacing w:before="40" w:after="40"/>
            </w:pPr>
            <w:r>
              <w:rPr>
                <w:sz w:val="20"/>
                <w:szCs w:val="20"/>
              </w:rPr>
              <w:t>优秀（胶质反应极低）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学术发表级别</w:t>
            </w:r>
          </w:p>
        </w:tc>
        <w:tc>
          <w:tcPr>
            <w:tcW w:w="1728" w:type="dxa"/>
          </w:tcPr>
          <w:p>
            <w:pPr>
              <w:spacing w:before="40" w:after="40"/>
            </w:pPr>
            <w:r>
              <w:rPr>
                <w:sz w:val="20"/>
                <w:szCs w:val="20"/>
              </w:rPr>
              <w:t>Science/Nature子刊</w:t>
            </w:r>
          </w:p>
        </w:tc>
        <w:tc>
          <w:tcPr>
            <w:tcW w:w="1728" w:type="dxa"/>
          </w:tcPr>
          <w:p>
            <w:pPr>
              <w:spacing w:before="40" w:after="40"/>
            </w:pPr>
            <w:r>
              <w:rPr>
                <w:sz w:val="20"/>
                <w:szCs w:val="20"/>
              </w:rPr>
              <w:t>Nature Biomedical Eng.</w:t>
            </w:r>
          </w:p>
        </w:tc>
        <w:tc>
          <w:tcPr>
            <w:tcW w:w="1728" w:type="dxa"/>
          </w:tcPr>
          <w:p>
            <w:pPr>
              <w:spacing w:before="40" w:after="40"/>
            </w:pPr>
            <w:r>
              <w:rPr>
                <w:sz w:val="20"/>
                <w:szCs w:val="20"/>
              </w:rPr>
              <w:t>临床报告</w:t>
            </w:r>
          </w:p>
        </w:tc>
        <w:tc>
          <w:tcPr>
            <w:tcW w:w="1728" w:type="dxa"/>
          </w:tcPr>
          <w:p>
            <w:pPr>
              <w:spacing w:before="40" w:after="40"/>
            </w:pPr>
            <w:r>
              <w:rPr>
                <w:sz w:val="20"/>
                <w:szCs w:val="20"/>
              </w:rPr>
              <w:t>Nature正刊</w:t>
            </w:r>
          </w:p>
        </w:tc>
      </w:tr>
    </w:tbl>
    <w:p>
      <w:pPr>
        <w:spacing w:after="60"/>
      </w:pPr>
    </w:p>
    <w:p>
      <w:pPr>
        <w:spacing w:before="160" w:after="80"/>
      </w:pPr>
      <w:r>
        <w:rPr>
          <w:b/>
          <w:bCs/>
          <w:color w:val="2F75B6"/>
          <w:sz w:val="28"/>
          <w:szCs w:val="28"/>
        </w:rPr>
        <w:t>3.3 柔性</w:t>
      </w:r>
      <w:r>
        <w:rPr>
          <w:rFonts w:hint="eastAsia"/>
          <w:b/>
          <w:bCs/>
          <w:color w:val="2F75B6"/>
          <w:sz w:val="28"/>
          <w:szCs w:val="28"/>
          <w:lang w:val="en-US" w:eastAsia="zh-Hans"/>
        </w:rPr>
        <w:t>体表电极监测</w:t>
      </w:r>
      <w:r>
        <w:rPr>
          <w:b/>
          <w:bCs/>
          <w:color w:val="2F75B6"/>
          <w:sz w:val="28"/>
          <w:szCs w:val="28"/>
        </w:rPr>
        <w:t>技术（近期商业化路径）</w:t>
      </w:r>
    </w:p>
    <w:p>
      <w:pPr>
        <w:spacing w:after="100"/>
      </w:pPr>
      <w:r>
        <w:t>基于与BCI神经电极同源的柔性可拉伸薄膜电极体系，公司同步开发应用于</w:t>
      </w:r>
      <w:r>
        <w:rPr>
          <w:rFonts w:hint="eastAsia"/>
          <w:lang w:val="en-US" w:eastAsia="zh-Hans"/>
        </w:rPr>
        <w:t>人体表面的电信号监测</w:t>
      </w:r>
      <w:r>
        <w:t>模组。</w:t>
      </w:r>
    </w:p>
    <w:p>
      <w:pPr>
        <w:spacing w:before="160" w:after="80"/>
      </w:pPr>
      <w:r>
        <w:rPr>
          <w:b/>
          <w:bCs/>
          <w:color w:val="2F75B6"/>
          <w:sz w:val="28"/>
          <w:szCs w:val="28"/>
        </w:rPr>
        <w:t>3.4 技术路线独特性评估</w:t>
      </w:r>
    </w:p>
    <w:p>
      <w:pPr>
        <w:spacing w:after="100"/>
      </w:pPr>
      <w:r>
        <w:t>相较同类公司，君柔科技的核心差异在于：</w:t>
      </w:r>
      <w:r>
        <w:rPr>
          <w:b/>
          <w:bCs/>
        </w:rPr>
        <w:t>其产品不是从工程角度堆砌现有材料，而是直接来自对柔性电极制备物理机制的深层理解</w:t>
      </w:r>
      <w:r>
        <w:t>，这使其在材料性能上具有根本性优势，且随着NeuroWorm等学术成果的持续输出，技术壁垒会随时间加深而非稀释。</w:t>
      </w:r>
    </w:p>
    <w:p>
      <w:pPr>
        <w:spacing w:before="220" w:after="120"/>
      </w:pPr>
      <w:r>
        <w:rPr>
          <w:b/>
          <w:bCs/>
          <w:color w:val="2E5090"/>
          <w:sz w:val="34"/>
          <w:szCs w:val="34"/>
        </w:rPr>
        <w:t>四、商业模式与市场空间</w:t>
      </w:r>
    </w:p>
    <w:p>
      <w:pPr>
        <w:spacing w:before="160" w:after="80"/>
      </w:pPr>
      <w:r>
        <w:rPr>
          <w:b/>
          <w:bCs/>
          <w:color w:val="2F75B6"/>
          <w:sz w:val="28"/>
          <w:szCs w:val="28"/>
        </w:rPr>
        <w:t>4.1 BCI：未来最重要的基座性科技之一，应用场景广泛无边界</w:t>
      </w:r>
    </w:p>
    <w:p>
      <w:pPr>
        <w:spacing w:after="100"/>
      </w:pPr>
      <w:r>
        <w:t>脑机接口（Brain-Computer Interface，BCI）技术在人类与计算机之间建立直接神经通信通道，被全球学术界、产业界和政府公认为</w:t>
      </w:r>
      <w:r>
        <w:rPr>
          <w:b/>
          <w:bCs/>
        </w:rPr>
        <w:t>继蒸汽机、电力、互联网、人工智能之后，下一个真正颠覆人类社会的基座性技术平台</w:t>
      </w:r>
      <w:r>
        <w:t>。与AI不同，BCI不以算法取胜，而是以"人机神经融合"为终极目标，</w:t>
      </w:r>
      <w:r>
        <w:rPr>
          <w:b/>
          <w:bCs/>
        </w:rPr>
        <w:t>其应用场景横跨所有人类活动的几乎所有维度</w:t>
      </w:r>
      <w:r>
        <w:t>：</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b/>
                <w:bCs/>
                <w:sz w:val="20"/>
                <w:szCs w:val="20"/>
              </w:rPr>
              <w:t>BCI应用维度</w:t>
            </w:r>
          </w:p>
        </w:tc>
        <w:tc>
          <w:tcPr>
            <w:tcW w:w="2880" w:type="dxa"/>
          </w:tcPr>
          <w:p>
            <w:pPr>
              <w:spacing w:before="40" w:after="40"/>
            </w:pPr>
            <w:r>
              <w:rPr>
                <w:b/>
                <w:bCs/>
                <w:sz w:val="20"/>
                <w:szCs w:val="20"/>
              </w:rPr>
              <w:t>代表性场景</w:t>
            </w:r>
          </w:p>
        </w:tc>
        <w:tc>
          <w:tcPr>
            <w:tcW w:w="2880" w:type="dxa"/>
          </w:tcPr>
          <w:p>
            <w:pPr>
              <w:spacing w:before="40" w:after="40"/>
            </w:pPr>
            <w:r>
              <w:rPr>
                <w:b/>
                <w:bCs/>
                <w:sz w:val="20"/>
                <w:szCs w:val="20"/>
              </w:rPr>
              <w:t>颠覆性说明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医疗/神经治疗</w:t>
            </w:r>
          </w:p>
        </w:tc>
        <w:tc>
          <w:tcPr>
            <w:tcW w:w="2880" w:type="dxa"/>
          </w:tcPr>
          <w:p>
            <w:pPr>
              <w:spacing w:before="40" w:after="40"/>
            </w:pPr>
            <w:r>
              <w:rPr>
                <w:sz w:val="20"/>
                <w:szCs w:val="20"/>
              </w:rPr>
              <w:t>ALS失语患者脑控交流、脊髓损伤患者脑控义肢、帕金森DBS闭环神经调控</w:t>
            </w:r>
          </w:p>
        </w:tc>
        <w:tc>
          <w:tcPr>
            <w:tcW w:w="2880" w:type="dxa"/>
          </w:tcPr>
          <w:p>
            <w:pPr>
              <w:spacing w:before="40" w:after="40"/>
            </w:pPr>
            <w:r>
              <w:rPr>
                <w:sz w:val="20"/>
                <w:szCs w:val="20"/>
              </w:rPr>
              <w:t>当前无其他技术可代替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神经康复</w:t>
            </w:r>
          </w:p>
        </w:tc>
        <w:tc>
          <w:tcPr>
            <w:tcW w:w="2880" w:type="dxa"/>
          </w:tcPr>
          <w:p>
            <w:pPr>
              <w:spacing w:before="40" w:after="40"/>
            </w:pPr>
            <w:r>
              <w:rPr>
                <w:sz w:val="20"/>
                <w:szCs w:val="20"/>
              </w:rPr>
              <w:t>中风后肢体功能重建、脑卒中运动皮层激活、远程康复监测</w:t>
            </w:r>
          </w:p>
        </w:tc>
        <w:tc>
          <w:tcPr>
            <w:tcW w:w="2880" w:type="dxa"/>
          </w:tcPr>
          <w:p>
            <w:pPr>
              <w:spacing w:before="40" w:after="40"/>
            </w:pPr>
            <w:r>
              <w:rPr>
                <w:sz w:val="20"/>
                <w:szCs w:val="20"/>
              </w:rPr>
              <w:t>全球数千万患者刚需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科研与脑科学</w:t>
            </w:r>
          </w:p>
        </w:tc>
        <w:tc>
          <w:tcPr>
            <w:tcW w:w="2880" w:type="dxa"/>
          </w:tcPr>
          <w:p>
            <w:pPr>
              <w:spacing w:before="40" w:after="40"/>
            </w:pPr>
            <w:r>
              <w:rPr>
                <w:sz w:val="20"/>
                <w:szCs w:val="20"/>
              </w:rPr>
              <w:t>全脑神经元活动精密测量、行为神经科学、药物研发前机制研究</w:t>
            </w:r>
          </w:p>
        </w:tc>
        <w:tc>
          <w:tcPr>
            <w:tcW w:w="2880" w:type="dxa"/>
          </w:tcPr>
          <w:p>
            <w:pPr>
              <w:spacing w:before="40" w:after="40"/>
            </w:pPr>
            <w:r>
              <w:rPr>
                <w:sz w:val="20"/>
                <w:szCs w:val="20"/>
              </w:rPr>
              <w:t>全球数百所顶尖大学持续采购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认知增强</w:t>
            </w:r>
          </w:p>
        </w:tc>
        <w:tc>
          <w:tcPr>
            <w:tcW w:w="2880" w:type="dxa"/>
          </w:tcPr>
          <w:p>
            <w:pPr>
              <w:spacing w:before="40" w:after="40"/>
            </w:pPr>
            <w:r>
              <w:rPr>
                <w:sz w:val="20"/>
                <w:szCs w:val="20"/>
              </w:rPr>
              <w:t>记忆辅助、注意力优化、学习加速</w:t>
            </w:r>
          </w:p>
        </w:tc>
        <w:tc>
          <w:tcPr>
            <w:tcW w:w="2880" w:type="dxa"/>
          </w:tcPr>
          <w:p>
            <w:pPr>
              <w:spacing w:before="40" w:after="40"/>
            </w:pPr>
            <w:r>
              <w:rPr>
                <w:sz w:val="20"/>
                <w:szCs w:val="20"/>
              </w:rPr>
              <w:t>未来10年消费级市场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人机协同/工业</w:t>
            </w:r>
          </w:p>
        </w:tc>
        <w:tc>
          <w:tcPr>
            <w:tcW w:w="2880" w:type="dxa"/>
          </w:tcPr>
          <w:p>
            <w:pPr>
              <w:spacing w:before="40" w:after="40"/>
            </w:pPr>
            <w:r>
              <w:rPr>
                <w:sz w:val="20"/>
                <w:szCs w:val="20"/>
              </w:rPr>
              <w:t>工厂工人脑-机协作、无人机脑控操作、飞行员认知状态监测</w:t>
            </w:r>
          </w:p>
        </w:tc>
        <w:tc>
          <w:tcPr>
            <w:tcW w:w="2880" w:type="dxa"/>
          </w:tcPr>
          <w:p>
            <w:pPr>
              <w:spacing w:before="40" w:after="40"/>
            </w:pPr>
            <w:r>
              <w:rPr>
                <w:sz w:val="20"/>
                <w:szCs w:val="20"/>
              </w:rPr>
              <w:t>国防/航天优先战略方向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消费娱乐</w:t>
            </w:r>
          </w:p>
        </w:tc>
        <w:tc>
          <w:tcPr>
            <w:tcW w:w="2880" w:type="dxa"/>
          </w:tcPr>
          <w:p>
            <w:pPr>
              <w:spacing w:before="40" w:after="40"/>
            </w:pPr>
            <w:r>
              <w:rPr>
                <w:sz w:val="20"/>
                <w:szCs w:val="20"/>
              </w:rPr>
              <w:t>VR/AR脑控交互、游戏脑机控制、情绪感知娱乐内容</w:t>
            </w:r>
          </w:p>
        </w:tc>
        <w:tc>
          <w:tcPr>
            <w:tcW w:w="2880" w:type="dxa"/>
          </w:tcPr>
          <w:p>
            <w:pPr>
              <w:spacing w:before="40" w:after="40"/>
            </w:pPr>
            <w:r>
              <w:rPr>
                <w:sz w:val="20"/>
                <w:szCs w:val="20"/>
              </w:rPr>
              <w:t>元宇宙核心入口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未来通信</w:t>
            </w:r>
          </w:p>
        </w:tc>
        <w:tc>
          <w:tcPr>
            <w:tcW w:w="2880" w:type="dxa"/>
          </w:tcPr>
          <w:p>
            <w:pPr>
              <w:spacing w:before="40" w:after="40"/>
            </w:pPr>
            <w:r>
              <w:rPr>
                <w:sz w:val="20"/>
                <w:szCs w:val="20"/>
              </w:rPr>
              <w:t>脑对脑通信（BtB）、神经接口替代传统人机交互</w:t>
            </w:r>
          </w:p>
        </w:tc>
        <w:tc>
          <w:tcPr>
            <w:tcW w:w="2880" w:type="dxa"/>
          </w:tcPr>
          <w:p>
            <w:pPr>
              <w:spacing w:before="40" w:after="40"/>
            </w:pPr>
            <w:r>
              <w:rPr>
                <w:sz w:val="20"/>
                <w:szCs w:val="20"/>
              </w:rPr>
              <w:t>20年后革命性场景</w:t>
            </w:r>
          </w:p>
        </w:tc>
      </w:tr>
    </w:tbl>
    <w:p>
      <w:pPr>
        <w:spacing w:after="60"/>
      </w:pPr>
    </w:p>
    <w:p>
      <w:pPr>
        <w:spacing w:after="100"/>
      </w:pPr>
      <w:r>
        <w:t>正因应用场景之广，</w:t>
      </w:r>
      <w:r>
        <w:rPr>
          <w:b/>
          <w:bCs/>
        </w:rPr>
        <w:t>BCI的技术突破从根本上没有"地域市场"的限制</w:t>
      </w:r>
      <w:r>
        <w:t>——优质BCI神经电极系统一旦通过监管，其潜在客户遍及全球所有医院、科研机构、神经科学实验室及消费终端。君柔科技的BCI核心技术定位，天然面向</w:t>
      </w:r>
      <w:r>
        <w:rPr>
          <w:b/>
          <w:bCs/>
        </w:rPr>
        <w:t>全球市场</w:t>
      </w:r>
      <w:r>
        <w:t>。</w:t>
      </w:r>
    </w:p>
    <w:p>
      <w:pPr>
        <w:spacing w:before="160" w:after="80"/>
      </w:pPr>
      <w:r>
        <w:rPr>
          <w:b/>
          <w:bCs/>
          <w:color w:val="2F75B6"/>
          <w:sz w:val="28"/>
          <w:szCs w:val="28"/>
        </w:rPr>
        <w:t>4.2 全球BCI市场规模全景测算</w:t>
      </w:r>
    </w:p>
    <w:p>
      <w:pPr>
        <w:spacing w:before="80" w:after="80"/>
        <w:rPr>
          <w:sz w:val="18"/>
          <w:szCs w:val="18"/>
        </w:rPr>
      </w:pPr>
      <w:r>
        <w:rPr>
          <w:b/>
          <w:bCs/>
          <w:color w:val="2E5090"/>
          <w:sz w:val="18"/>
          <w:szCs w:val="18"/>
        </w:rPr>
        <w:t>数据来源：Allied Market Research, Straits Research, Future Market Insights, Towards Healthcare, Market.us, Business Research Company</w:t>
      </w:r>
    </w:p>
    <w:p>
      <w:pPr>
        <w:spacing w:after="100"/>
      </w:pPr>
      <w:r>
        <w:rPr>
          <w:b/>
          <w:bCs/>
        </w:rPr>
        <w:t>全球BCI市场规模增长路径（2024-2035年展望）：</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b/>
                <w:bCs/>
                <w:sz w:val="20"/>
                <w:szCs w:val="20"/>
              </w:rPr>
              <w:t>年份</w:t>
            </w:r>
          </w:p>
        </w:tc>
        <w:tc>
          <w:tcPr>
            <w:tcW w:w="2160" w:type="dxa"/>
          </w:tcPr>
          <w:p>
            <w:pPr>
              <w:spacing w:before="40" w:after="40"/>
            </w:pPr>
            <w:r>
              <w:rPr>
                <w:b/>
                <w:bCs/>
                <w:sz w:val="20"/>
                <w:szCs w:val="20"/>
              </w:rPr>
              <w:t>全球市场规模</w:t>
            </w:r>
          </w:p>
        </w:tc>
        <w:tc>
          <w:tcPr>
            <w:tcW w:w="2160" w:type="dxa"/>
          </w:tcPr>
          <w:p>
            <w:pPr>
              <w:spacing w:before="40" w:after="40"/>
            </w:pPr>
            <w:r>
              <w:rPr>
                <w:b/>
                <w:bCs/>
                <w:sz w:val="20"/>
                <w:szCs w:val="20"/>
              </w:rPr>
              <w:t>主要机构来源</w:t>
            </w:r>
          </w:p>
        </w:tc>
        <w:tc>
          <w:tcPr>
            <w:tcW w:w="2160" w:type="dxa"/>
          </w:tcPr>
          <w:p>
            <w:pPr>
              <w:spacing w:before="40" w:after="40"/>
            </w:pPr>
            <w:r>
              <w:rPr>
                <w:b/>
                <w:bCs/>
                <w:sz w:val="20"/>
                <w:szCs w:val="20"/>
              </w:rPr>
              <w:t>主要驱动事件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2024年（已知）</w:t>
            </w:r>
          </w:p>
        </w:tc>
        <w:tc>
          <w:tcPr>
            <w:tcW w:w="2160" w:type="dxa"/>
          </w:tcPr>
          <w:p>
            <w:pPr>
              <w:spacing w:before="40" w:after="40"/>
            </w:pPr>
            <w:r>
              <w:rPr>
                <w:sz w:val="20"/>
                <w:szCs w:val="20"/>
              </w:rPr>
              <w:t>约20-21亿美元</w:t>
            </w:r>
          </w:p>
        </w:tc>
        <w:tc>
          <w:tcPr>
            <w:tcW w:w="2160" w:type="dxa"/>
          </w:tcPr>
          <w:p>
            <w:pPr>
              <w:spacing w:before="40" w:after="40"/>
            </w:pPr>
            <w:r>
              <w:rPr>
                <w:sz w:val="20"/>
                <w:szCs w:val="20"/>
              </w:rPr>
              <w:t>Research &amp; Markets</w:t>
            </w:r>
          </w:p>
        </w:tc>
        <w:tc>
          <w:tcPr>
            <w:tcW w:w="2160" w:type="dxa"/>
          </w:tcPr>
          <w:p>
            <w:pPr>
              <w:spacing w:before="40" w:after="40"/>
            </w:pPr>
            <w:r>
              <w:rPr>
                <w:sz w:val="20"/>
                <w:szCs w:val="20"/>
              </w:rPr>
              <w:t>Neuralink首例人体植入，FDA批准Synchron临床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2025年（当前）</w:t>
            </w:r>
          </w:p>
        </w:tc>
        <w:tc>
          <w:tcPr>
            <w:tcW w:w="2160" w:type="dxa"/>
          </w:tcPr>
          <w:p>
            <w:pPr>
              <w:spacing w:before="40" w:after="40"/>
            </w:pPr>
            <w:r>
              <w:rPr>
                <w:sz w:val="20"/>
                <w:szCs w:val="20"/>
              </w:rPr>
              <w:t>约23-28亿美元</w:t>
            </w:r>
          </w:p>
        </w:tc>
        <w:tc>
          <w:tcPr>
            <w:tcW w:w="2160" w:type="dxa"/>
          </w:tcPr>
          <w:p>
            <w:pPr>
              <w:spacing w:before="40" w:after="40"/>
            </w:pPr>
            <w:r>
              <w:rPr>
                <w:sz w:val="20"/>
                <w:szCs w:val="20"/>
              </w:rPr>
              <w:t>多家机构均值</w:t>
            </w:r>
          </w:p>
        </w:tc>
        <w:tc>
          <w:tcPr>
            <w:tcW w:w="2160" w:type="dxa"/>
          </w:tcPr>
          <w:p>
            <w:pPr>
              <w:spacing w:before="40" w:after="40"/>
            </w:pPr>
            <w:r>
              <w:rPr>
                <w:sz w:val="20"/>
                <w:szCs w:val="20"/>
              </w:rPr>
              <w:t>首批商业BCI产品进入市场；中国十五五规划落地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2027年（预测）</w:t>
            </w:r>
          </w:p>
        </w:tc>
        <w:tc>
          <w:tcPr>
            <w:tcW w:w="2160" w:type="dxa"/>
          </w:tcPr>
          <w:p>
            <w:pPr>
              <w:spacing w:before="40" w:after="40"/>
            </w:pPr>
            <w:r>
              <w:rPr>
                <w:sz w:val="20"/>
                <w:szCs w:val="20"/>
              </w:rPr>
              <w:t>约35-40亿美元</w:t>
            </w:r>
          </w:p>
        </w:tc>
        <w:tc>
          <w:tcPr>
            <w:tcW w:w="2160" w:type="dxa"/>
          </w:tcPr>
          <w:p>
            <w:pPr>
              <w:spacing w:before="40" w:after="40"/>
            </w:pPr>
            <w:r>
              <w:rPr>
                <w:sz w:val="20"/>
                <w:szCs w:val="20"/>
              </w:rPr>
              <w:t>Straits Research</w:t>
            </w:r>
          </w:p>
        </w:tc>
        <w:tc>
          <w:tcPr>
            <w:tcW w:w="2160" w:type="dxa"/>
          </w:tcPr>
          <w:p>
            <w:pPr>
              <w:spacing w:before="40" w:after="40"/>
            </w:pPr>
            <w:r>
              <w:rPr>
                <w:sz w:val="20"/>
                <w:szCs w:val="20"/>
              </w:rPr>
              <w:t>多国监管框架明确，医保覆盖探索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2030年（预测）</w:t>
            </w:r>
          </w:p>
        </w:tc>
        <w:tc>
          <w:tcPr>
            <w:tcW w:w="2160" w:type="dxa"/>
          </w:tcPr>
          <w:p>
            <w:pPr>
              <w:spacing w:before="40" w:after="40"/>
            </w:pPr>
            <w:r>
              <w:rPr>
                <w:sz w:val="20"/>
                <w:szCs w:val="20"/>
              </w:rPr>
              <w:t>约55-60亿美元</w:t>
            </w:r>
          </w:p>
        </w:tc>
        <w:tc>
          <w:tcPr>
            <w:tcW w:w="2160" w:type="dxa"/>
          </w:tcPr>
          <w:p>
            <w:pPr>
              <w:spacing w:before="40" w:after="40"/>
            </w:pPr>
            <w:r>
              <w:rPr>
                <w:sz w:val="20"/>
                <w:szCs w:val="20"/>
              </w:rPr>
              <w:t>Allied ($54.6B, CAGR 13.9%) / Business Research Co. ($46.6B, CAGR 14.4%)</w:t>
            </w:r>
          </w:p>
        </w:tc>
        <w:tc>
          <w:tcPr>
            <w:tcW w:w="2160" w:type="dxa"/>
          </w:tcPr>
          <w:p>
            <w:pPr>
              <w:spacing w:before="40" w:after="40"/>
            </w:pPr>
            <w:r>
              <w:rPr>
                <w:sz w:val="20"/>
                <w:szCs w:val="20"/>
              </w:rPr>
              <w:t>消费级BCI起量，神经调控医保全面推进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2033年（预测）</w:t>
            </w:r>
          </w:p>
        </w:tc>
        <w:tc>
          <w:tcPr>
            <w:tcW w:w="2160" w:type="dxa"/>
          </w:tcPr>
          <w:p>
            <w:pPr>
              <w:spacing w:before="40" w:after="40"/>
            </w:pPr>
            <w:r>
              <w:rPr>
                <w:sz w:val="20"/>
                <w:szCs w:val="20"/>
              </w:rPr>
              <w:t>约107亿美元</w:t>
            </w:r>
          </w:p>
        </w:tc>
        <w:tc>
          <w:tcPr>
            <w:tcW w:w="2160" w:type="dxa"/>
          </w:tcPr>
          <w:p>
            <w:pPr>
              <w:spacing w:before="40" w:after="40"/>
            </w:pPr>
            <w:r>
              <w:rPr>
                <w:sz w:val="20"/>
                <w:szCs w:val="20"/>
              </w:rPr>
              <w:t>Market.us (CAGR 17.9%)</w:t>
            </w:r>
          </w:p>
        </w:tc>
        <w:tc>
          <w:tcPr>
            <w:tcW w:w="2160" w:type="dxa"/>
          </w:tcPr>
          <w:p>
            <w:pPr>
              <w:spacing w:before="40" w:after="40"/>
            </w:pPr>
            <w:r>
              <w:rPr>
                <w:sz w:val="20"/>
                <w:szCs w:val="20"/>
              </w:rPr>
              <w:t>多国BCI器械标准体系成熟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2035年（预测）</w:t>
            </w:r>
          </w:p>
        </w:tc>
        <w:tc>
          <w:tcPr>
            <w:tcW w:w="2160" w:type="dxa"/>
          </w:tcPr>
          <w:p>
            <w:pPr>
              <w:spacing w:before="40" w:after="40"/>
            </w:pPr>
            <w:r>
              <w:rPr>
                <w:sz w:val="20"/>
                <w:szCs w:val="20"/>
              </w:rPr>
              <w:t>约130-150亿美元</w:t>
            </w:r>
          </w:p>
        </w:tc>
        <w:tc>
          <w:tcPr>
            <w:tcW w:w="2160" w:type="dxa"/>
          </w:tcPr>
          <w:p>
            <w:pPr>
              <w:spacing w:before="40" w:after="40"/>
            </w:pPr>
            <w:r>
              <w:rPr>
                <w:sz w:val="20"/>
                <w:szCs w:val="20"/>
              </w:rPr>
              <w:t>Towards Healthcare ($150.4亿, CAGR 16.7%)</w:t>
            </w:r>
          </w:p>
        </w:tc>
        <w:tc>
          <w:tcPr>
            <w:tcW w:w="2160" w:type="dxa"/>
          </w:tcPr>
          <w:p>
            <w:pPr>
              <w:spacing w:before="40" w:after="40"/>
            </w:pPr>
            <w:r>
              <w:rPr>
                <w:sz w:val="20"/>
                <w:szCs w:val="20"/>
              </w:rPr>
              <w:t>脑机接口大众化初步实现</w:t>
            </w:r>
          </w:p>
        </w:tc>
      </w:tr>
    </w:tbl>
    <w:p>
      <w:pPr>
        <w:spacing w:after="100"/>
      </w:pPr>
      <w:r>
        <w:rPr>
          <w:b/>
          <w:bCs/>
        </w:rPr>
        <w:t>全球BCI市场CAGR共识：主流研究机构预测区间13.9%-19.2%，为高度确定性的高增速赛道，超过大多数医疗科技细分领域。</w:t>
      </w:r>
    </w:p>
    <w:p>
      <w:pPr>
        <w:spacing w:after="100"/>
      </w:pPr>
      <w:r>
        <w:rPr>
          <w:b/>
          <w:bCs/>
        </w:rPr>
        <w:t>区域市场格局与亚太高增速：</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b/>
                <w:bCs/>
                <w:sz w:val="20"/>
                <w:szCs w:val="20"/>
              </w:rPr>
              <w:t>区域</w:t>
            </w:r>
          </w:p>
        </w:tc>
        <w:tc>
          <w:tcPr>
            <w:tcW w:w="2160" w:type="dxa"/>
          </w:tcPr>
          <w:p>
            <w:pPr>
              <w:spacing w:before="40" w:after="40"/>
            </w:pPr>
            <w:r>
              <w:rPr>
                <w:b/>
                <w:bCs/>
                <w:sz w:val="20"/>
                <w:szCs w:val="20"/>
              </w:rPr>
              <w:t>2025年市场份额</w:t>
            </w:r>
          </w:p>
        </w:tc>
        <w:tc>
          <w:tcPr>
            <w:tcW w:w="2160" w:type="dxa"/>
          </w:tcPr>
          <w:p>
            <w:pPr>
              <w:spacing w:before="40" w:after="40"/>
            </w:pPr>
            <w:r>
              <w:rPr>
                <w:b/>
                <w:bCs/>
                <w:sz w:val="20"/>
                <w:szCs w:val="20"/>
              </w:rPr>
              <w:t>增速特点</w:t>
            </w:r>
          </w:p>
        </w:tc>
        <w:tc>
          <w:tcPr>
            <w:tcW w:w="2160" w:type="dxa"/>
          </w:tcPr>
          <w:p>
            <w:pPr>
              <w:spacing w:before="40" w:after="40"/>
            </w:pPr>
            <w:r>
              <w:rPr>
                <w:b/>
                <w:bCs/>
                <w:sz w:val="20"/>
                <w:szCs w:val="20"/>
              </w:rPr>
              <w:t>中国核心优势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北美</w:t>
            </w:r>
          </w:p>
        </w:tc>
        <w:tc>
          <w:tcPr>
            <w:tcW w:w="2160" w:type="dxa"/>
          </w:tcPr>
          <w:p>
            <w:pPr>
              <w:spacing w:before="40" w:after="40"/>
            </w:pPr>
            <w:r>
              <w:rPr>
                <w:sz w:val="20"/>
                <w:szCs w:val="20"/>
              </w:rPr>
              <w:t>约38-42%（当前最大）</w:t>
            </w:r>
          </w:p>
        </w:tc>
        <w:tc>
          <w:tcPr>
            <w:tcW w:w="2160" w:type="dxa"/>
          </w:tcPr>
          <w:p>
            <w:pPr>
              <w:spacing w:before="40" w:after="40"/>
            </w:pPr>
            <w:r>
              <w:rPr>
                <w:sz w:val="20"/>
                <w:szCs w:val="20"/>
              </w:rPr>
              <w:t>稳定增长，监管最完善</w:t>
            </w:r>
          </w:p>
        </w:tc>
        <w:tc>
          <w:tcPr>
            <w:tcW w:w="2160" w:type="dxa"/>
          </w:tcPr>
          <w:p>
            <w:pPr>
              <w:spacing w:before="40" w:after="40"/>
            </w:pPr>
            <w:r>
              <w:rPr>
                <w:sz w:val="20"/>
                <w:szCs w:val="20"/>
              </w:rPr>
              <w:t>Neuralink/Synchron主场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欧洲</w:t>
            </w:r>
          </w:p>
        </w:tc>
        <w:tc>
          <w:tcPr>
            <w:tcW w:w="2160" w:type="dxa"/>
          </w:tcPr>
          <w:p>
            <w:pPr>
              <w:spacing w:before="40" w:after="40"/>
            </w:pPr>
            <w:r>
              <w:rPr>
                <w:sz w:val="20"/>
                <w:szCs w:val="20"/>
              </w:rPr>
              <w:t>约25-28%</w:t>
            </w:r>
          </w:p>
        </w:tc>
        <w:tc>
          <w:tcPr>
            <w:tcW w:w="2160" w:type="dxa"/>
          </w:tcPr>
          <w:p>
            <w:pPr>
              <w:spacing w:before="40" w:after="40"/>
            </w:pPr>
            <w:r>
              <w:rPr>
                <w:sz w:val="20"/>
                <w:szCs w:val="20"/>
              </w:rPr>
              <w:t>受益于Horizon Europe研发资助</w:t>
            </w:r>
          </w:p>
        </w:tc>
        <w:tc>
          <w:tcPr>
            <w:tcW w:w="2160" w:type="dxa"/>
          </w:tcPr>
          <w:p>
            <w:pPr>
              <w:spacing w:before="40" w:after="40"/>
            </w:pPr>
            <w:r>
              <w:rPr>
                <w:sz w:val="20"/>
                <w:szCs w:val="20"/>
              </w:rPr>
              <w:t>高端科研仪器采购大市场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亚太区</w:t>
            </w:r>
          </w:p>
        </w:tc>
        <w:tc>
          <w:tcPr>
            <w:tcW w:w="2160" w:type="dxa"/>
          </w:tcPr>
          <w:p>
            <w:pPr>
              <w:spacing w:before="40" w:after="40"/>
            </w:pPr>
            <w:r>
              <w:rPr>
                <w:sz w:val="20"/>
                <w:szCs w:val="20"/>
              </w:rPr>
              <w:t>约20-22%（增速最快）</w:t>
            </w:r>
          </w:p>
        </w:tc>
        <w:tc>
          <w:tcPr>
            <w:tcW w:w="2160" w:type="dxa"/>
          </w:tcPr>
          <w:p>
            <w:pPr>
              <w:spacing w:before="40" w:after="40"/>
            </w:pPr>
            <w:r>
              <w:rPr>
                <w:sz w:val="20"/>
                <w:szCs w:val="20"/>
              </w:rPr>
              <w:t>CAGR预估&gt;20%，2030年代将超欧</w:t>
            </w:r>
          </w:p>
        </w:tc>
        <w:tc>
          <w:tcPr>
            <w:tcW w:w="2160" w:type="dxa"/>
          </w:tcPr>
          <w:p>
            <w:pPr>
              <w:spacing w:before="40" w:after="40"/>
            </w:pPr>
            <w:r>
              <w:rPr>
                <w:sz w:val="20"/>
                <w:szCs w:val="20"/>
              </w:rPr>
              <w:t>中国庞大患者群+十五五政策双驱动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其他</w:t>
            </w:r>
          </w:p>
        </w:tc>
        <w:tc>
          <w:tcPr>
            <w:tcW w:w="2160" w:type="dxa"/>
          </w:tcPr>
          <w:p>
            <w:pPr>
              <w:spacing w:before="40" w:after="40"/>
            </w:pPr>
            <w:r>
              <w:rPr>
                <w:sz w:val="20"/>
                <w:szCs w:val="20"/>
              </w:rPr>
              <w:t>~10%</w:t>
            </w:r>
          </w:p>
        </w:tc>
        <w:tc>
          <w:tcPr>
            <w:tcW w:w="2160" w:type="dxa"/>
          </w:tcPr>
          <w:p>
            <w:pPr>
              <w:spacing w:before="40" w:after="40"/>
            </w:pPr>
            <w:r>
              <w:rPr>
                <w:sz w:val="20"/>
                <w:szCs w:val="20"/>
              </w:rPr>
              <w:t>新兴市场逐步开启</w:t>
            </w:r>
          </w:p>
        </w:tc>
        <w:tc>
          <w:tcPr>
            <w:tcW w:w="2160" w:type="dxa"/>
          </w:tcPr>
          <w:p>
            <w:pPr>
              <w:spacing w:before="40" w:after="40"/>
            </w:pPr>
            <w:r>
              <w:rPr>
                <w:sz w:val="20"/>
                <w:szCs w:val="20"/>
              </w:rPr>
              <w:t>–</w:t>
            </w:r>
          </w:p>
        </w:tc>
      </w:tr>
    </w:tbl>
    <w:p>
      <w:pPr>
        <w:spacing w:after="60"/>
      </w:pPr>
    </w:p>
    <w:p>
      <w:pPr>
        <w:spacing w:after="100"/>
      </w:pPr>
      <w:r>
        <w:rPr>
          <w:b/>
          <w:bCs/>
        </w:rPr>
        <w:t>植入式神经电极细分市场（君柔核心对应市场）：</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b/>
                <w:bCs/>
                <w:sz w:val="20"/>
                <w:szCs w:val="20"/>
              </w:rPr>
              <w:t>细分赛道</w:t>
            </w:r>
          </w:p>
        </w:tc>
        <w:tc>
          <w:tcPr>
            <w:tcW w:w="2160" w:type="dxa"/>
          </w:tcPr>
          <w:p>
            <w:pPr>
              <w:spacing w:before="40" w:after="40"/>
            </w:pPr>
            <w:r>
              <w:rPr>
                <w:b/>
                <w:bCs/>
                <w:sz w:val="20"/>
                <w:szCs w:val="20"/>
              </w:rPr>
              <w:t>现有市场格局</w:t>
            </w:r>
          </w:p>
        </w:tc>
        <w:tc>
          <w:tcPr>
            <w:tcW w:w="2160" w:type="dxa"/>
          </w:tcPr>
          <w:p>
            <w:pPr>
              <w:spacing w:before="40" w:after="40"/>
            </w:pPr>
            <w:r>
              <w:rPr>
                <w:b/>
                <w:bCs/>
                <w:sz w:val="20"/>
                <w:szCs w:val="20"/>
              </w:rPr>
              <w:t>单机售价</w:t>
            </w:r>
          </w:p>
        </w:tc>
        <w:tc>
          <w:tcPr>
            <w:tcW w:w="2160" w:type="dxa"/>
          </w:tcPr>
          <w:p>
            <w:pPr>
              <w:spacing w:before="40" w:after="40"/>
            </w:pPr>
            <w:r>
              <w:rPr>
                <w:b/>
                <w:bCs/>
                <w:sz w:val="20"/>
                <w:szCs w:val="20"/>
              </w:rPr>
              <w:t>君柔切入时机</w:t>
            </w:r>
          </w:p>
        </w:tc>
      </w:tr>
      <w:tr>
        <w:tc>
          <w:tcPr>
            <w:tcW w:w="2160" w:type="dxa"/>
          </w:tcPr>
          <w:p>
            <w:pPr>
              <w:spacing w:before="40" w:after="40"/>
            </w:pPr>
            <w:r>
              <w:rPr>
                <w:sz w:val="20"/>
                <w:szCs w:val="20"/>
              </w:rPr>
              <w:t>科研级植入电极系统</w:t>
            </w:r>
          </w:p>
        </w:tc>
        <w:tc>
          <w:tcPr>
            <w:tcW w:w="2160" w:type="dxa"/>
          </w:tcPr>
          <w:p>
            <w:pPr>
              <w:spacing w:before="40" w:after="40"/>
            </w:pPr>
            <w:r>
              <w:rPr>
                <w:sz w:val="20"/>
                <w:szCs w:val="20"/>
              </w:rPr>
              <w:t>Blackrock Neurotech、Neuropixels垄断，进口价30-80万元/套</w:t>
            </w:r>
          </w:p>
        </w:tc>
        <w:tc>
          <w:tcPr>
            <w:tcW w:w="2160" w:type="dxa"/>
          </w:tcPr>
          <w:p>
            <w:pPr>
              <w:spacing w:before="40" w:after="40"/>
            </w:pPr>
            <w:r>
              <w:rPr>
                <w:sz w:val="20"/>
                <w:szCs w:val="20"/>
              </w:rPr>
              <w:t>30-80万元/套</w:t>
            </w:r>
          </w:p>
        </w:tc>
        <w:tc>
          <w:tcPr>
            <w:tcW w:w="2160" w:type="dxa"/>
          </w:tcPr>
          <w:p>
            <w:pPr>
              <w:spacing w:before="40" w:after="40"/>
            </w:pPr>
            <w:r>
              <w:rPr>
                <w:sz w:val="20"/>
                <w:szCs w:val="20"/>
              </w:rPr>
              <w:t>近期：国产替代切入高校/科研院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临床神经调控植入设备（DBS升级）</w:t>
            </w:r>
          </w:p>
        </w:tc>
        <w:tc>
          <w:tcPr>
            <w:tcW w:w="2160" w:type="dxa"/>
          </w:tcPr>
          <w:p>
            <w:pPr>
              <w:spacing w:before="40" w:after="40"/>
            </w:pPr>
            <w:r>
              <w:rPr>
                <w:sz w:val="20"/>
                <w:szCs w:val="20"/>
              </w:rPr>
              <w:t>Medtronic、Abbott垄断</w:t>
            </w:r>
          </w:p>
        </w:tc>
        <w:tc>
          <w:tcPr>
            <w:tcW w:w="2160" w:type="dxa"/>
          </w:tcPr>
          <w:p>
            <w:pPr>
              <w:spacing w:before="40" w:after="40"/>
            </w:pPr>
            <w:r>
              <w:rPr>
                <w:sz w:val="20"/>
                <w:szCs w:val="20"/>
              </w:rPr>
              <w:t>15-50万元/套</w:t>
            </w:r>
          </w:p>
        </w:tc>
        <w:tc>
          <w:tcPr>
            <w:tcW w:w="2160" w:type="dxa"/>
          </w:tcPr>
          <w:p>
            <w:pPr>
              <w:spacing w:before="40" w:after="40"/>
            </w:pPr>
            <w:r>
              <w:rPr>
                <w:sz w:val="20"/>
                <w:szCs w:val="20"/>
              </w:rPr>
              <w:t>中期：NeuroWorm临床转化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高端脑记录/闭环BCI系统</w:t>
            </w:r>
          </w:p>
        </w:tc>
        <w:tc>
          <w:tcPr>
            <w:tcW w:w="2160" w:type="dxa"/>
          </w:tcPr>
          <w:p>
            <w:pPr>
              <w:spacing w:before="40" w:after="40"/>
            </w:pPr>
            <w:r>
              <w:rPr>
                <w:sz w:val="20"/>
                <w:szCs w:val="20"/>
              </w:rPr>
              <w:t>Neuralink、Precision Neuroscience早期</w:t>
            </w:r>
          </w:p>
        </w:tc>
        <w:tc>
          <w:tcPr>
            <w:tcW w:w="2160" w:type="dxa"/>
          </w:tcPr>
          <w:p>
            <w:pPr>
              <w:spacing w:before="40" w:after="40"/>
            </w:pPr>
            <w:r>
              <w:rPr>
                <w:sz w:val="20"/>
                <w:szCs w:val="20"/>
              </w:rPr>
              <w:t>100-500万元/套（高端市场）</w:t>
            </w:r>
          </w:p>
        </w:tc>
        <w:tc>
          <w:tcPr>
            <w:tcW w:w="2160" w:type="dxa"/>
          </w:tcPr>
          <w:p>
            <w:pPr>
              <w:spacing w:before="40" w:after="40"/>
            </w:pPr>
            <w:r>
              <w:rPr>
                <w:sz w:val="20"/>
                <w:szCs w:val="20"/>
              </w:rPr>
              <w:t>长期：NeuroWorm全能平台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消费/康复级BCI终端</w:t>
            </w:r>
          </w:p>
        </w:tc>
        <w:tc>
          <w:tcPr>
            <w:tcW w:w="2160" w:type="dxa"/>
          </w:tcPr>
          <w:p>
            <w:pPr>
              <w:spacing w:before="40" w:after="40"/>
            </w:pPr>
            <w:r>
              <w:rPr>
                <w:sz w:val="20"/>
                <w:szCs w:val="20"/>
              </w:rPr>
              <w:t>快速成长期，无强势中国品牌</w:t>
            </w:r>
          </w:p>
        </w:tc>
        <w:tc>
          <w:tcPr>
            <w:tcW w:w="2160" w:type="dxa"/>
          </w:tcPr>
          <w:p>
            <w:pPr>
              <w:spacing w:before="40" w:after="40"/>
            </w:pPr>
            <w:r>
              <w:rPr>
                <w:sz w:val="20"/>
                <w:szCs w:val="20"/>
              </w:rPr>
              <w:t>3-15万元/套</w:t>
            </w:r>
          </w:p>
        </w:tc>
        <w:tc>
          <w:tcPr>
            <w:tcW w:w="2160" w:type="dxa"/>
          </w:tcPr>
          <w:p>
            <w:pPr>
              <w:spacing w:before="40" w:after="40"/>
            </w:pPr>
            <w:r>
              <w:rPr>
                <w:sz w:val="20"/>
                <w:szCs w:val="20"/>
              </w:rPr>
              <w:t>中期：非植入式BCI产品线</w:t>
            </w:r>
          </w:p>
        </w:tc>
      </w:tr>
    </w:tbl>
    <w:p>
      <w:pPr>
        <w:spacing w:after="60"/>
      </w:pPr>
    </w:p>
    <w:p>
      <w:pPr>
        <w:spacing w:before="160" w:after="80"/>
      </w:pPr>
      <w:r>
        <w:rPr>
          <w:b/>
          <w:bCs/>
          <w:color w:val="2F75B6"/>
          <w:sz w:val="28"/>
          <w:szCs w:val="28"/>
        </w:rPr>
        <w:t>4.3 中国十五五规划（2026-2030年）：BCI成为国家战略核心未来产业</w:t>
      </w:r>
    </w:p>
    <w:p>
      <w:pPr>
        <w:spacing w:after="100"/>
      </w:pPr>
      <w:r>
        <w:rPr>
          <w:b/>
          <w:bCs/>
        </w:rPr>
        <w:t>里程碑：BCI首次写入全国人大政府工作报告</w:t>
      </w:r>
    </w:p>
    <w:p>
      <w:pPr>
        <w:spacing w:after="100"/>
      </w:pPr>
      <w:r>
        <w:t>2026年3月，中国第十五个五年规划（2026-2030年）正式落地。这是</w:t>
      </w:r>
      <w:r>
        <w:rPr>
          <w:b/>
          <w:bCs/>
        </w:rPr>
        <w:t>脑机接口技术首次被明确纳入全国人民代表大会政府工作报告</w:t>
      </w:r>
      <w:r>
        <w:t>，并被列为国家"未来产业"核心战略方向，与量子技术、生物制造、具身人工智能、6G并列，享受最高级别国家战略资源支持。</w:t>
      </w:r>
    </w:p>
    <w:p>
      <w:pPr>
        <w:spacing w:after="100"/>
      </w:pPr>
      <w:r>
        <w:rPr>
          <w:b/>
          <w:bCs/>
        </w:rPr>
        <w:t>政策的战略意义：</w:t>
      </w:r>
    </w:p>
    <w:p>
      <w:pPr>
        <w:spacing w:after="100"/>
      </w:pPr>
      <w:r>
        <w:t>十五五规划对BCI的定位历史性地从"科研支持"升级至"产业化部署"，传递出三个明确信号：</w:t>
      </w:r>
    </w:p>
    <w:p>
      <w:pPr>
        <w:spacing w:after="60"/>
      </w:pPr>
      <w:r>
        <w:rPr>
          <w:b/>
          <w:bCs/>
        </w:rPr>
        <w:t>政策稳定性极强</w:t>
      </w:r>
      <w:r>
        <w:t>：BCI进入国家五年规划体系，意味着未来5年政策方向不会逆转，资金保障有充分制度背书</w:t>
      </w:r>
    </w:p>
    <w:p>
      <w:pPr>
        <w:spacing w:after="60"/>
      </w:pPr>
      <w:r>
        <w:rPr>
          <w:b/>
          <w:bCs/>
        </w:rPr>
        <w:t>资本引导效应显著</w:t>
      </w:r>
      <w:r>
        <w:t>：</w:t>
      </w:r>
      <w:r>
        <w:rPr>
          <w:rFonts w:hint="eastAsia"/>
        </w:rPr>
        <w:t>国家创新母基金（京津冀、长三角、珠三角三地合计近1000亿）</w:t>
      </w:r>
      <w:r>
        <w:t>将引导社会资本跟投，BCI赛道融资窗口长期开放</w:t>
      </w:r>
    </w:p>
    <w:p>
      <w:pPr>
        <w:spacing w:after="60"/>
      </w:pPr>
      <w:r>
        <w:rPr>
          <w:b/>
          <w:bCs/>
        </w:rPr>
        <w:t>监管加速</w:t>
      </w:r>
      <w:r>
        <w:t>：工作报告明确提出"标准建立+临床推进"，意味着NMPA审批将相对其他创新医疗器械更加顺畅</w:t>
      </w:r>
    </w:p>
    <w:p>
      <w:pPr>
        <w:spacing w:after="100"/>
      </w:pPr>
      <w:r>
        <w:rPr>
          <w:b/>
          <w:bCs/>
        </w:rPr>
        <w:t>对君柔的直接政策价值：</w:t>
      </w:r>
    </w:p>
    <w:p>
      <w:pPr>
        <w:spacing w:after="100"/>
      </w:pPr>
      <w:r>
        <w:t>君柔科技深扎深圳，由中科院深圳先进院孵化，其NeuroWorm成果正是中国脑计划的直接成果输出。在十五五规划框架下，公司有望成为"深圳BCI之城"核心受益企业之一，并在国家级专项课题申报、脑科学专项基金对接、临床试验绿色通道方面具有天然申报优势。</w:t>
      </w:r>
    </w:p>
    <w:p>
      <w:pPr>
        <w:spacing w:after="60"/>
      </w:pPr>
    </w:p>
    <w:p>
      <w:pPr>
        <w:spacing w:before="160" w:after="80"/>
      </w:pPr>
      <w:r>
        <w:rPr>
          <w:b/>
          <w:bCs/>
          <w:color w:val="2F75B6"/>
          <w:sz w:val="28"/>
          <w:szCs w:val="28"/>
        </w:rPr>
        <w:t>4.</w:t>
      </w:r>
      <w:r>
        <w:rPr>
          <w:rFonts w:hint="default"/>
          <w:b/>
          <w:bCs/>
          <w:color w:val="2F75B6"/>
          <w:sz w:val="28"/>
          <w:szCs w:val="28"/>
        </w:rPr>
        <w:t>4</w:t>
      </w:r>
      <w:r>
        <w:rPr>
          <w:b/>
          <w:bCs/>
          <w:color w:val="2F75B6"/>
          <w:sz w:val="28"/>
          <w:szCs w:val="28"/>
        </w:rPr>
        <w:t xml:space="preserve"> 竞争格局分析</w:t>
      </w:r>
    </w:p>
    <w:p>
      <w:pPr>
        <w:spacing w:after="100"/>
      </w:pPr>
      <w:r>
        <w:rPr>
          <w:b/>
          <w:bCs/>
        </w:rPr>
        <w:t>BCI赛道全球竞争格局（核心战略赛道）：</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8"/>
        <w:gridCol w:w="1728"/>
        <w:gridCol w:w="1728"/>
        <w:gridCol w:w="1728"/>
        <w:gridCol w:w="17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b/>
                <w:bCs/>
                <w:sz w:val="20"/>
                <w:szCs w:val="20"/>
              </w:rPr>
              <w:t>公司/机构</w:t>
            </w:r>
          </w:p>
        </w:tc>
        <w:tc>
          <w:tcPr>
            <w:tcW w:w="1728" w:type="dxa"/>
          </w:tcPr>
          <w:p>
            <w:pPr>
              <w:spacing w:before="40" w:after="40"/>
            </w:pPr>
            <w:r>
              <w:rPr>
                <w:b/>
                <w:bCs/>
                <w:sz w:val="20"/>
                <w:szCs w:val="20"/>
              </w:rPr>
              <w:t>国家</w:t>
            </w:r>
          </w:p>
        </w:tc>
        <w:tc>
          <w:tcPr>
            <w:tcW w:w="1728" w:type="dxa"/>
          </w:tcPr>
          <w:p>
            <w:pPr>
              <w:spacing w:before="40" w:after="40"/>
            </w:pPr>
            <w:r>
              <w:rPr>
                <w:b/>
                <w:bCs/>
                <w:sz w:val="20"/>
                <w:szCs w:val="20"/>
              </w:rPr>
              <w:t>技术路线</w:t>
            </w:r>
          </w:p>
        </w:tc>
        <w:tc>
          <w:tcPr>
            <w:tcW w:w="1728" w:type="dxa"/>
          </w:tcPr>
          <w:p>
            <w:pPr>
              <w:spacing w:before="40" w:after="40"/>
            </w:pPr>
            <w:r>
              <w:rPr>
                <w:b/>
                <w:bCs/>
                <w:sz w:val="20"/>
                <w:szCs w:val="20"/>
              </w:rPr>
              <w:t>主要劣势</w:t>
            </w:r>
          </w:p>
        </w:tc>
        <w:tc>
          <w:tcPr>
            <w:tcW w:w="1728" w:type="dxa"/>
          </w:tcPr>
          <w:p>
            <w:pPr>
              <w:spacing w:before="40" w:after="40"/>
            </w:pPr>
            <w:r>
              <w:rPr>
                <w:b/>
                <w:bCs/>
                <w:sz w:val="20"/>
                <w:szCs w:val="20"/>
              </w:rPr>
              <w:t>君柔差异化优势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Neuralink</w:t>
            </w:r>
          </w:p>
        </w:tc>
        <w:tc>
          <w:tcPr>
            <w:tcW w:w="1728" w:type="dxa"/>
          </w:tcPr>
          <w:p>
            <w:pPr>
              <w:spacing w:before="40" w:after="40"/>
            </w:pPr>
            <w:r>
              <w:rPr>
                <w:sz w:val="20"/>
                <w:szCs w:val="20"/>
              </w:rPr>
              <w:t>美国</w:t>
            </w:r>
          </w:p>
        </w:tc>
        <w:tc>
          <w:tcPr>
            <w:tcW w:w="1728" w:type="dxa"/>
          </w:tcPr>
          <w:p>
            <w:pPr>
              <w:spacing w:before="40" w:after="40"/>
            </w:pPr>
            <w:r>
              <w:rPr>
                <w:sz w:val="20"/>
                <w:szCs w:val="20"/>
              </w:rPr>
              <w:t>刚性ASIC芯片+1024电极开颅植入</w:t>
            </w:r>
          </w:p>
        </w:tc>
        <w:tc>
          <w:tcPr>
            <w:tcW w:w="1728" w:type="dxa"/>
          </w:tcPr>
          <w:p>
            <w:pPr>
              <w:spacing w:before="40" w:after="40"/>
            </w:pPr>
            <w:r>
              <w:rPr>
                <w:sz w:val="20"/>
                <w:szCs w:val="20"/>
              </w:rPr>
              <w:t>创伤大、不可移动、生物相容性存疑</w:t>
            </w:r>
          </w:p>
        </w:tc>
        <w:tc>
          <w:tcPr>
            <w:tcW w:w="1728" w:type="dxa"/>
          </w:tcPr>
          <w:p>
            <w:pPr>
              <w:spacing w:before="40" w:after="40"/>
            </w:pPr>
            <w:r>
              <w:rPr>
                <w:sz w:val="20"/>
                <w:szCs w:val="20"/>
              </w:rPr>
              <w:t>超柔性纤维、磁控移动、低创伤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Synchron (Stentrode)</w:t>
            </w:r>
          </w:p>
        </w:tc>
        <w:tc>
          <w:tcPr>
            <w:tcW w:w="1728" w:type="dxa"/>
          </w:tcPr>
          <w:p>
            <w:pPr>
              <w:spacing w:before="40" w:after="40"/>
            </w:pPr>
            <w:r>
              <w:rPr>
                <w:sz w:val="20"/>
                <w:szCs w:val="20"/>
              </w:rPr>
              <w:t>澳大利亚/美国</w:t>
            </w:r>
          </w:p>
        </w:tc>
        <w:tc>
          <w:tcPr>
            <w:tcW w:w="1728" w:type="dxa"/>
          </w:tcPr>
          <w:p>
            <w:pPr>
              <w:spacing w:before="40" w:after="40"/>
            </w:pPr>
            <w:r>
              <w:rPr>
                <w:sz w:val="20"/>
                <w:szCs w:val="20"/>
              </w:rPr>
              <w:t>血管内支架电极</w:t>
            </w:r>
          </w:p>
        </w:tc>
        <w:tc>
          <w:tcPr>
            <w:tcW w:w="1728" w:type="dxa"/>
          </w:tcPr>
          <w:p>
            <w:pPr>
              <w:spacing w:before="40" w:after="40"/>
            </w:pPr>
            <w:r>
              <w:rPr>
                <w:sz w:val="20"/>
                <w:szCs w:val="20"/>
              </w:rPr>
              <w:t>信号通道极少，分辨率低</w:t>
            </w:r>
          </w:p>
        </w:tc>
        <w:tc>
          <w:tcPr>
            <w:tcW w:w="1728" w:type="dxa"/>
          </w:tcPr>
          <w:p>
            <w:pPr>
              <w:spacing w:before="40" w:after="40"/>
            </w:pPr>
            <w:r>
              <w:rPr>
                <w:sz w:val="20"/>
                <w:szCs w:val="20"/>
              </w:rPr>
              <w:t>60+通道、多模态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Medtronic DBS</w:t>
            </w:r>
          </w:p>
        </w:tc>
        <w:tc>
          <w:tcPr>
            <w:tcW w:w="1728" w:type="dxa"/>
          </w:tcPr>
          <w:p>
            <w:pPr>
              <w:spacing w:before="40" w:after="40"/>
            </w:pPr>
            <w:r>
              <w:rPr>
                <w:sz w:val="20"/>
                <w:szCs w:val="20"/>
              </w:rPr>
              <w:t>美国</w:t>
            </w:r>
          </w:p>
        </w:tc>
        <w:tc>
          <w:tcPr>
            <w:tcW w:w="1728" w:type="dxa"/>
          </w:tcPr>
          <w:p>
            <w:pPr>
              <w:spacing w:before="40" w:after="40"/>
            </w:pPr>
            <w:r>
              <w:rPr>
                <w:sz w:val="20"/>
                <w:szCs w:val="20"/>
              </w:rPr>
              <w:t>深部脑刺激（仅刺激）</w:t>
            </w:r>
          </w:p>
        </w:tc>
        <w:tc>
          <w:tcPr>
            <w:tcW w:w="1728" w:type="dxa"/>
          </w:tcPr>
          <w:p>
            <w:pPr>
              <w:spacing w:before="40" w:after="40"/>
            </w:pPr>
            <w:r>
              <w:rPr>
                <w:sz w:val="20"/>
                <w:szCs w:val="20"/>
              </w:rPr>
              <w:t>无感知记录能力</w:t>
            </w:r>
          </w:p>
        </w:tc>
        <w:tc>
          <w:tcPr>
            <w:tcW w:w="1728" w:type="dxa"/>
          </w:tcPr>
          <w:p>
            <w:pPr>
              <w:spacing w:before="40" w:after="40"/>
            </w:pPr>
            <w:r>
              <w:rPr>
                <w:sz w:val="20"/>
                <w:szCs w:val="20"/>
              </w:rPr>
              <w:t>记录+调控双功能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Precision Neuroscience</w:t>
            </w:r>
          </w:p>
        </w:tc>
        <w:tc>
          <w:tcPr>
            <w:tcW w:w="1728" w:type="dxa"/>
          </w:tcPr>
          <w:p>
            <w:pPr>
              <w:spacing w:before="40" w:after="40"/>
            </w:pPr>
            <w:r>
              <w:rPr>
                <w:sz w:val="20"/>
                <w:szCs w:val="20"/>
              </w:rPr>
              <w:t>美国</w:t>
            </w:r>
          </w:p>
        </w:tc>
        <w:tc>
          <w:tcPr>
            <w:tcW w:w="1728" w:type="dxa"/>
          </w:tcPr>
          <w:p>
            <w:pPr>
              <w:spacing w:before="40" w:after="40"/>
            </w:pPr>
            <w:r>
              <w:rPr>
                <w:sz w:val="20"/>
                <w:szCs w:val="20"/>
              </w:rPr>
              <w:t>皮层表面薄膜电极</w:t>
            </w:r>
          </w:p>
        </w:tc>
        <w:tc>
          <w:tcPr>
            <w:tcW w:w="1728" w:type="dxa"/>
          </w:tcPr>
          <w:p>
            <w:pPr>
              <w:spacing w:before="40" w:after="40"/>
            </w:pPr>
            <w:r>
              <w:rPr>
                <w:sz w:val="20"/>
                <w:szCs w:val="20"/>
              </w:rPr>
              <w:t>仅ECoG表面，无植入记录</w:t>
            </w:r>
          </w:p>
        </w:tc>
        <w:tc>
          <w:tcPr>
            <w:tcW w:w="1728" w:type="dxa"/>
          </w:tcPr>
          <w:p>
            <w:pPr>
              <w:spacing w:before="40" w:after="40"/>
            </w:pPr>
            <w:r>
              <w:rPr>
                <w:sz w:val="20"/>
                <w:szCs w:val="20"/>
              </w:rPr>
              <w:t>深部/移动/长期稳定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Utah Array / Neuropixels</w:t>
            </w:r>
          </w:p>
        </w:tc>
        <w:tc>
          <w:tcPr>
            <w:tcW w:w="1728" w:type="dxa"/>
          </w:tcPr>
          <w:p>
            <w:pPr>
              <w:spacing w:before="40" w:after="40"/>
            </w:pPr>
            <w:r>
              <w:rPr>
                <w:sz w:val="20"/>
                <w:szCs w:val="20"/>
              </w:rPr>
              <w:t>全球</w:t>
            </w:r>
          </w:p>
        </w:tc>
        <w:tc>
          <w:tcPr>
            <w:tcW w:w="1728" w:type="dxa"/>
          </w:tcPr>
          <w:p>
            <w:pPr>
              <w:spacing w:before="40" w:after="40"/>
            </w:pPr>
            <w:r>
              <w:rPr>
                <w:sz w:val="20"/>
                <w:szCs w:val="20"/>
              </w:rPr>
              <w:t>刚性硅探针，学术主流</w:t>
            </w:r>
          </w:p>
        </w:tc>
        <w:tc>
          <w:tcPr>
            <w:tcW w:w="1728" w:type="dxa"/>
          </w:tcPr>
          <w:p>
            <w:pPr>
              <w:spacing w:before="40" w:after="40"/>
            </w:pPr>
            <w:r>
              <w:rPr>
                <w:sz w:val="20"/>
                <w:szCs w:val="20"/>
              </w:rPr>
              <w:t>急性植入，不适合长期（炎症）</w:t>
            </w:r>
          </w:p>
        </w:tc>
        <w:tc>
          <w:tcPr>
            <w:tcW w:w="1728" w:type="dxa"/>
          </w:tcPr>
          <w:p>
            <w:pPr>
              <w:spacing w:before="40" w:after="40"/>
            </w:pPr>
            <w:r>
              <w:rPr>
                <w:sz w:val="20"/>
                <w:szCs w:val="20"/>
              </w:rPr>
              <w:t>43周以上稳定长期记录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pPr>
              <w:spacing w:before="40" w:after="40"/>
            </w:pPr>
            <w:r>
              <w:rPr>
                <w:sz w:val="20"/>
                <w:szCs w:val="20"/>
              </w:rPr>
              <w:t>国内竞争对手</w:t>
            </w:r>
          </w:p>
        </w:tc>
        <w:tc>
          <w:tcPr>
            <w:tcW w:w="1728" w:type="dxa"/>
          </w:tcPr>
          <w:p>
            <w:pPr>
              <w:spacing w:before="40" w:after="40"/>
            </w:pPr>
            <w:r>
              <w:rPr>
                <w:sz w:val="20"/>
                <w:szCs w:val="20"/>
              </w:rPr>
              <w:t>中国</w:t>
            </w:r>
          </w:p>
        </w:tc>
        <w:tc>
          <w:tcPr>
            <w:tcW w:w="1728" w:type="dxa"/>
          </w:tcPr>
          <w:p>
            <w:pPr>
              <w:spacing w:before="40" w:after="40"/>
            </w:pPr>
            <w:r>
              <w:rPr>
                <w:sz w:val="20"/>
                <w:szCs w:val="20"/>
              </w:rPr>
              <w:t>无同级别BCI材料公司</w:t>
            </w:r>
          </w:p>
        </w:tc>
        <w:tc>
          <w:tcPr>
            <w:tcW w:w="1728" w:type="dxa"/>
          </w:tcPr>
          <w:p>
            <w:pPr>
              <w:spacing w:before="40" w:after="40"/>
            </w:pPr>
            <w:r>
              <w:rPr>
                <w:sz w:val="20"/>
                <w:szCs w:val="20"/>
              </w:rPr>
              <w:t>–</w:t>
            </w:r>
          </w:p>
        </w:tc>
        <w:tc>
          <w:tcPr>
            <w:tcW w:w="1728" w:type="dxa"/>
          </w:tcPr>
          <w:p>
            <w:pPr>
              <w:spacing w:before="40" w:after="40"/>
            </w:pPr>
            <w:r>
              <w:rPr>
                <w:sz w:val="20"/>
                <w:szCs w:val="20"/>
              </w:rPr>
              <w:t>Nature正刊第一，中国无直接竞争对手</w:t>
            </w:r>
          </w:p>
        </w:tc>
      </w:tr>
    </w:tbl>
    <w:p>
      <w:pPr>
        <w:spacing w:after="60"/>
      </w:pPr>
    </w:p>
    <w:p>
      <w:pPr>
        <w:spacing w:before="220" w:after="120"/>
      </w:pPr>
      <w:r>
        <w:rPr>
          <w:b/>
          <w:bCs/>
          <w:color w:val="2E5090"/>
          <w:sz w:val="34"/>
          <w:szCs w:val="34"/>
        </w:rPr>
        <w:t>五、团队评估</w:t>
      </w:r>
    </w:p>
    <w:p>
      <w:pPr>
        <w:spacing w:before="160" w:after="80"/>
      </w:pPr>
      <w:r>
        <w:rPr>
          <w:b/>
          <w:bCs/>
          <w:color w:val="2F75B6"/>
          <w:sz w:val="28"/>
          <w:szCs w:val="28"/>
        </w:rPr>
        <w:t>5.1 核心创始人</w:t>
      </w:r>
    </w:p>
    <w:p>
      <w:pPr>
        <w:spacing w:after="100"/>
      </w:pPr>
      <w:r>
        <w:rPr>
          <w:b/>
          <w:bCs/>
        </w:rPr>
        <w:t>刘志远（实际控制人、法定代表人）</w:t>
      </w:r>
    </w:p>
    <w:p>
      <w:pPr>
        <w:spacing w:after="100"/>
      </w:pPr>
      <w:r>
        <w:t>刘志远是国内</w:t>
      </w:r>
      <w:r>
        <w:rPr>
          <w:b/>
          <w:bCs/>
        </w:rPr>
        <w:t>柔性神经/触觉电极领域绝对制高点人物</w:t>
      </w:r>
      <w:r>
        <w:t>，拥有以下核心学术与产业资源：</w:t>
      </w:r>
    </w:p>
    <w:p>
      <w:pPr>
        <w:spacing w:after="60"/>
      </w:pPr>
      <w:r>
        <w:t xml:space="preserve">• </w:t>
      </w:r>
      <w:r>
        <w:rPr>
          <w:b/>
          <w:bCs/>
        </w:rPr>
        <w:t>中科院深圳先进技术研究院研究员</w:t>
      </w:r>
      <w:r>
        <w:t>：公司核心技术的孵化母体，实验室年经费规模达1,000-2,000万元级别</w:t>
      </w:r>
    </w:p>
    <w:p>
      <w:pPr>
        <w:spacing w:after="60"/>
      </w:pPr>
      <w:r>
        <w:t xml:space="preserve">• </w:t>
      </w:r>
      <w:r>
        <w:rPr>
          <w:b/>
          <w:bCs/>
        </w:rPr>
        <w:t>深圳理工大学人工智能学院院长</w:t>
      </w:r>
      <w:r>
        <w:t>：对口大学生/研究生/博士后人才持续输入渠道</w:t>
      </w:r>
    </w:p>
    <w:p>
      <w:pPr>
        <w:spacing w:after="60"/>
      </w:pPr>
      <w:r>
        <w:t xml:space="preserve">• </w:t>
      </w:r>
      <w:r>
        <w:rPr>
          <w:b/>
          <w:bCs/>
        </w:rPr>
        <w:t>山东大学研究中心主任</w:t>
      </w:r>
      <w:r>
        <w:t>：主持国家级BCI相关科研项目</w:t>
      </w:r>
    </w:p>
    <w:p>
      <w:pPr>
        <w:spacing w:after="60"/>
      </w:pPr>
      <w:r>
        <w:t xml:space="preserve">• </w:t>
      </w:r>
      <w:r>
        <w:rPr>
          <w:b/>
          <w:bCs/>
        </w:rPr>
        <w:t>国家高性能器械中心教授</w:t>
      </w:r>
      <w:r>
        <w:t>：在医疗神经电极器械细分领域具有政策研判与标准制定影响力</w:t>
      </w:r>
    </w:p>
    <w:p>
      <w:pPr>
        <w:spacing w:after="60"/>
      </w:pPr>
      <w:r>
        <w:t xml:space="preserve">• </w:t>
      </w:r>
      <w:r>
        <w:rPr>
          <w:b/>
          <w:bCs/>
        </w:rPr>
        <w:t>南京大学兼职教授</w:t>
      </w:r>
      <w:r>
        <w:t>：多校联动扩大学术辐射</w:t>
      </w:r>
    </w:p>
    <w:p>
      <w:pPr>
        <w:spacing w:after="100"/>
      </w:pPr>
      <w:r>
        <w:rPr>
          <w:b/>
          <w:bCs/>
        </w:rPr>
        <w:t>2025年《Nature》正刊第一作者级贡献</w:t>
      </w:r>
      <w:r>
        <w:t>：刘志远作为共同通讯作者，主导发表了《A movable long-term implantable soft microfibre for dynamic bioelectronics》，这是中国BCI材料领域在《Nature》正刊的</w:t>
      </w:r>
      <w:r>
        <w:rPr>
          <w:b/>
          <w:bCs/>
        </w:rPr>
        <w:t>开创性首发</w:t>
      </w:r>
      <w:r>
        <w:t>。这一成果证明了刘志远课题组已不仅仅处于"跟跑"阶段，而是在可移动柔性神经电极这一细分方向上代表了</w:t>
      </w:r>
      <w:r>
        <w:rPr>
          <w:b/>
          <w:bCs/>
        </w:rPr>
        <w:t>全球最高水平</w:t>
      </w:r>
      <w:r>
        <w:t>。其主要学术成果均发表于Nature、Nature Biomedical Engineering、Advanced Materials等顶刊，代表了国内学界公认的柔性神经电极材料最高学术级别。</w:t>
      </w:r>
    </w:p>
    <w:p>
      <w:pPr>
        <w:spacing w:after="100"/>
      </w:pPr>
      <w:r>
        <w:rPr>
          <w:b/>
          <w:bCs/>
        </w:rPr>
        <w:t>彭乾碧（联合创始人、经理）</w:t>
      </w:r>
    </w:p>
    <w:p>
      <w:pPr>
        <w:spacing w:after="100"/>
      </w:pPr>
      <w:r>
        <w:t>深圳理工大学博士后在读。</w:t>
      </w:r>
      <w:r>
        <w:rPr>
          <w:rFonts w:hint="eastAsia"/>
          <w:lang w:val="en-US" w:eastAsia="zh-Hans"/>
        </w:rPr>
        <w:t>主攻电极的驱动和算法</w:t>
      </w:r>
      <w:r>
        <w:rPr>
          <w:rFonts w:hint="default"/>
          <w:lang w:eastAsia="zh-Hans"/>
        </w:rPr>
        <w:t>，</w:t>
      </w:r>
      <w:r>
        <w:rPr>
          <w:rFonts w:hint="eastAsia"/>
          <w:lang w:val="en-US" w:eastAsia="zh-Hans"/>
        </w:rPr>
        <w:t>在人体内微型机器人领域发表多篇具有影响力的文章</w:t>
      </w:r>
      <w:r>
        <w:rPr>
          <w:rFonts w:hint="default"/>
          <w:lang w:eastAsia="zh-Hans"/>
        </w:rPr>
        <w:t>，</w:t>
      </w:r>
      <w:r>
        <w:rPr>
          <w:rFonts w:hint="eastAsia"/>
          <w:lang w:val="en-US" w:eastAsia="zh-Hans"/>
        </w:rPr>
        <w:t>包括research</w:t>
      </w:r>
      <w:r>
        <w:rPr>
          <w:rFonts w:hint="default"/>
          <w:lang w:eastAsia="zh-Hans"/>
        </w:rPr>
        <w:t>，</w:t>
      </w:r>
      <w:r>
        <w:rPr>
          <w:rFonts w:hint="eastAsia"/>
          <w:lang w:val="en-US" w:eastAsia="zh-Hans"/>
        </w:rPr>
        <w:t>CBS等</w:t>
      </w:r>
      <w:r>
        <w:rPr>
          <w:rFonts w:hint="default"/>
          <w:lang w:eastAsia="zh-Hans"/>
        </w:rPr>
        <w:t>，</w:t>
      </w:r>
      <w:r>
        <w:rPr>
          <w:rFonts w:hint="eastAsia"/>
          <w:lang w:val="en-US" w:eastAsia="zh-Hans"/>
        </w:rPr>
        <w:t>此外</w:t>
      </w:r>
      <w:r>
        <w:t>具备丰富的产业运营管理、供应链搭建及产业链资源对接经验，在智能硬件、医疗健康领域有多年沉淀，主导运营执行、客户拓展、供应链管理及合同履约，是刘志远在技术侧的强有力产业化支撑。</w:t>
      </w:r>
    </w:p>
    <w:p>
      <w:pPr>
        <w:spacing w:after="100"/>
      </w:pPr>
      <w:r>
        <w:t>两位创始人形成"国家级BCI学术制高点 + 产业落地执行"的黄金互补配置。</w:t>
      </w:r>
    </w:p>
    <w:p>
      <w:pPr>
        <w:spacing w:before="160" w:after="80"/>
      </w:pPr>
      <w:r>
        <w:rPr>
          <w:b/>
          <w:bCs/>
          <w:color w:val="2F75B6"/>
          <w:sz w:val="28"/>
          <w:szCs w:val="28"/>
        </w:rPr>
        <w:t>5.2 核心团队构成</w:t>
      </w:r>
    </w:p>
    <w:p>
      <w:pPr>
        <w:spacing w:after="100"/>
      </w:pPr>
      <w:r>
        <w:t>公司现有9名员工（含兼职/实习），其中：</w:t>
      </w:r>
    </w:p>
    <w:p>
      <w:pPr>
        <w:spacing w:after="60"/>
      </w:pPr>
      <w:r>
        <w:t xml:space="preserve">• </w:t>
      </w:r>
      <w:r>
        <w:rPr>
          <w:b/>
          <w:bCs/>
        </w:rPr>
        <w:t>全职员工</w:t>
      </w:r>
      <w:r>
        <w:t>：约</w:t>
      </w:r>
      <w:r>
        <w:rPr>
          <w:rFonts w:hint="default"/>
        </w:rPr>
        <w:t>4</w:t>
      </w:r>
      <w:r>
        <w:t>名，分布于研发、注册、会计等岗位</w:t>
      </w:r>
    </w:p>
    <w:p>
      <w:pPr>
        <w:spacing w:after="60"/>
      </w:pPr>
      <w:r>
        <w:t xml:space="preserve">• </w:t>
      </w:r>
      <w:r>
        <w:rPr>
          <w:b/>
          <w:bCs/>
        </w:rPr>
        <w:t>研发团队</w:t>
      </w:r>
      <w:r>
        <w:t>：苏瑞、虎特及研发助理钟佳志，具备材料、电子等多学科背景</w:t>
      </w:r>
    </w:p>
    <w:p>
      <w:pPr>
        <w:spacing w:after="60"/>
      </w:pPr>
      <w:r>
        <w:t xml:space="preserve">• </w:t>
      </w:r>
      <w:r>
        <w:rPr>
          <w:b/>
          <w:bCs/>
        </w:rPr>
        <w:t>注册总监万某</w:t>
      </w:r>
      <w:r>
        <w:t>：医疗器械行业14年资深从业者，历任多家上市公司三类医疗器械注册总监</w:t>
      </w:r>
    </w:p>
    <w:p>
      <w:pPr>
        <w:spacing w:after="60"/>
      </w:pPr>
      <w:r>
        <w:t xml:space="preserve">• </w:t>
      </w:r>
      <w:r>
        <w:rPr>
          <w:b/>
          <w:bCs/>
        </w:rPr>
        <w:t>财务人员</w:t>
      </w:r>
      <w:r>
        <w:t>：10年以上财务经验（2026年3月新入职）</w:t>
      </w:r>
    </w:p>
    <w:p>
      <w:pPr>
        <w:spacing w:after="100"/>
      </w:pPr>
      <w:r>
        <w:t>医疗器械注册总监的早期引入，体现了公司对从科研到医疗器械监管通道的提前布局意识，这对于未来BCI产品临床注册路径（国家药监局NMPA审批）至关重要。</w:t>
      </w:r>
    </w:p>
    <w:p>
      <w:pPr>
        <w:spacing w:before="220" w:after="120"/>
      </w:pPr>
      <w:r>
        <w:rPr>
          <w:b/>
          <w:bCs/>
          <w:color w:val="2E5090"/>
          <w:sz w:val="34"/>
          <w:szCs w:val="34"/>
        </w:rPr>
        <w:t>六、财务健康度分析</w:t>
      </w:r>
    </w:p>
    <w:p>
      <w:pPr>
        <w:spacing w:before="160" w:after="80"/>
      </w:pPr>
      <w:r>
        <w:rPr>
          <w:b/>
          <w:bCs/>
          <w:color w:val="2F75B6"/>
          <w:sz w:val="28"/>
          <w:szCs w:val="28"/>
        </w:rPr>
        <w:t>6.1 资产负债表（截至2026年1月）</w:t>
      </w:r>
    </w:p>
    <w:p>
      <w:pPr>
        <w:spacing w:after="100"/>
      </w:pPr>
      <w:r>
        <w:rPr>
          <w:b/>
          <w:bCs/>
        </w:rPr>
        <w:t>主要资产：</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b/>
                <w:bCs/>
                <w:sz w:val="20"/>
                <w:szCs w:val="20"/>
              </w:rPr>
              <w:t>科目</w:t>
            </w:r>
          </w:p>
        </w:tc>
        <w:tc>
          <w:tcPr>
            <w:tcW w:w="2880" w:type="dxa"/>
          </w:tcPr>
          <w:p>
            <w:pPr>
              <w:spacing w:before="40" w:after="40"/>
            </w:pPr>
            <w:r>
              <w:rPr>
                <w:b/>
                <w:bCs/>
                <w:sz w:val="20"/>
                <w:szCs w:val="20"/>
              </w:rPr>
              <w:t>金额（人民币）</w:t>
            </w:r>
          </w:p>
        </w:tc>
        <w:tc>
          <w:tcPr>
            <w:tcW w:w="2880" w:type="dxa"/>
          </w:tcPr>
          <w:p>
            <w:pPr>
              <w:spacing w:before="40" w:after="40"/>
            </w:pPr>
            <w:r>
              <w:rPr>
                <w:b/>
                <w:bCs/>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库存现金</w:t>
            </w:r>
          </w:p>
        </w:tc>
        <w:tc>
          <w:tcPr>
            <w:tcW w:w="2880" w:type="dxa"/>
          </w:tcPr>
          <w:p>
            <w:pPr>
              <w:spacing w:before="40" w:after="40"/>
            </w:pPr>
            <w:r>
              <w:rPr>
                <w:sz w:val="20"/>
                <w:szCs w:val="20"/>
              </w:rPr>
              <w:t>51,155元</w:t>
            </w:r>
          </w:p>
        </w:tc>
        <w:tc>
          <w:tcPr>
            <w:tcW w:w="2880" w:type="dxa"/>
          </w:tcPr>
          <w:p>
            <w:pPr>
              <w:spacing w:before="40" w:after="4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银行存款</w:t>
            </w:r>
          </w:p>
        </w:tc>
        <w:tc>
          <w:tcPr>
            <w:tcW w:w="2880" w:type="dxa"/>
          </w:tcPr>
          <w:p>
            <w:pPr>
              <w:spacing w:before="40" w:after="40"/>
            </w:pPr>
            <w:r>
              <w:rPr>
                <w:sz w:val="20"/>
                <w:szCs w:val="20"/>
              </w:rPr>
              <w:t>275,815元</w:t>
            </w:r>
          </w:p>
        </w:tc>
        <w:tc>
          <w:tcPr>
            <w:tcW w:w="2880" w:type="dxa"/>
          </w:tcPr>
          <w:p>
            <w:pPr>
              <w:spacing w:before="40" w:after="40"/>
            </w:pPr>
            <w:r>
              <w:rPr>
                <w:sz w:val="20"/>
                <w:szCs w:val="20"/>
              </w:rPr>
              <w:t>活期可用资金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短期投资</w:t>
            </w:r>
          </w:p>
        </w:tc>
        <w:tc>
          <w:tcPr>
            <w:tcW w:w="2880" w:type="dxa"/>
          </w:tcPr>
          <w:p>
            <w:pPr>
              <w:spacing w:before="40" w:after="40"/>
            </w:pPr>
            <w:r>
              <w:rPr>
                <w:sz w:val="20"/>
                <w:szCs w:val="20"/>
              </w:rPr>
              <w:t>5,500,000元</w:t>
            </w:r>
          </w:p>
        </w:tc>
        <w:tc>
          <w:tcPr>
            <w:tcW w:w="2880" w:type="dxa"/>
          </w:tcPr>
          <w:p>
            <w:pPr>
              <w:spacing w:before="40" w:after="40"/>
            </w:pPr>
            <w:r>
              <w:rPr>
                <w:sz w:val="20"/>
                <w:szCs w:val="20"/>
              </w:rPr>
              <w:t>阶段性理财/存款（核心资产）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其他应收款</w:t>
            </w:r>
          </w:p>
        </w:tc>
        <w:tc>
          <w:tcPr>
            <w:tcW w:w="2880" w:type="dxa"/>
          </w:tcPr>
          <w:p>
            <w:pPr>
              <w:spacing w:before="40" w:after="40"/>
            </w:pPr>
            <w:r>
              <w:rPr>
                <w:sz w:val="20"/>
                <w:szCs w:val="20"/>
              </w:rPr>
              <w:t>1,397元</w:t>
            </w:r>
          </w:p>
        </w:tc>
        <w:tc>
          <w:tcPr>
            <w:tcW w:w="2880" w:type="dxa"/>
          </w:tcPr>
          <w:p>
            <w:pPr>
              <w:spacing w:before="40" w:after="40"/>
            </w:pPr>
            <w:r>
              <w:rPr>
                <w:sz w:val="20"/>
                <w:szCs w:val="20"/>
              </w:rPr>
              <w:t>代扣代缴社保公积金垫付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库存商品</w:t>
            </w:r>
          </w:p>
        </w:tc>
        <w:tc>
          <w:tcPr>
            <w:tcW w:w="2880" w:type="dxa"/>
          </w:tcPr>
          <w:p>
            <w:pPr>
              <w:spacing w:before="40" w:after="40"/>
            </w:pPr>
            <w:r>
              <w:rPr>
                <w:sz w:val="20"/>
                <w:szCs w:val="20"/>
              </w:rPr>
              <w:t>30,616元</w:t>
            </w:r>
          </w:p>
        </w:tc>
        <w:tc>
          <w:tcPr>
            <w:tcW w:w="2880" w:type="dxa"/>
          </w:tcPr>
          <w:p>
            <w:pPr>
              <w:spacing w:before="40" w:after="40"/>
            </w:pPr>
            <w:r>
              <w:rPr>
                <w:sz w:val="20"/>
                <w:szCs w:val="20"/>
              </w:rPr>
              <w:t>电子元件等原材料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资产合计</w:t>
            </w:r>
          </w:p>
        </w:tc>
        <w:tc>
          <w:tcPr>
            <w:tcW w:w="2880" w:type="dxa"/>
          </w:tcPr>
          <w:p>
            <w:pPr>
              <w:spacing w:before="40" w:after="40"/>
            </w:pPr>
            <w:r>
              <w:rPr>
                <w:sz w:val="20"/>
                <w:szCs w:val="20"/>
              </w:rPr>
              <w:t>约</w:t>
            </w:r>
            <w:r>
              <w:rPr>
                <w:rFonts w:hint="default"/>
                <w:sz w:val="20"/>
                <w:szCs w:val="20"/>
              </w:rPr>
              <w:t>601.56</w:t>
            </w:r>
            <w:r>
              <w:rPr>
                <w:sz w:val="20"/>
                <w:szCs w:val="20"/>
              </w:rPr>
              <w:t>万元</w:t>
            </w:r>
          </w:p>
        </w:tc>
        <w:tc>
          <w:tcPr>
            <w:tcW w:w="2880" w:type="dxa"/>
          </w:tcPr>
          <w:p>
            <w:pPr>
              <w:spacing w:before="40" w:after="40"/>
            </w:pPr>
          </w:p>
        </w:tc>
      </w:tr>
    </w:tbl>
    <w:p>
      <w:pPr>
        <w:spacing w:after="60"/>
      </w:pPr>
    </w:p>
    <w:p>
      <w:pPr>
        <w:spacing w:after="60"/>
      </w:pPr>
    </w:p>
    <w:p>
      <w:pPr>
        <w:spacing w:before="160" w:after="80"/>
      </w:pPr>
      <w:r>
        <w:rPr>
          <w:b/>
          <w:bCs/>
          <w:color w:val="2F75B6"/>
          <w:sz w:val="28"/>
          <w:szCs w:val="28"/>
        </w:rPr>
        <w:t>6.2 损益情况（2025年4月至2026年1月）</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b/>
                <w:bCs/>
                <w:sz w:val="20"/>
                <w:szCs w:val="20"/>
              </w:rPr>
              <w:t>项目</w:t>
            </w:r>
          </w:p>
        </w:tc>
        <w:tc>
          <w:tcPr>
            <w:tcW w:w="4320" w:type="dxa"/>
          </w:tcPr>
          <w:p>
            <w:pPr>
              <w:spacing w:before="40" w:after="40"/>
            </w:pPr>
            <w:r>
              <w:rPr>
                <w:b/>
                <w:bCs/>
                <w:sz w:val="20"/>
                <w:szCs w:val="20"/>
              </w:rPr>
              <w:t>金额（人民币）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主营业务收入</w:t>
            </w:r>
          </w:p>
        </w:tc>
        <w:tc>
          <w:tcPr>
            <w:tcW w:w="4320" w:type="dxa"/>
          </w:tcPr>
          <w:p>
            <w:pPr>
              <w:spacing w:before="40" w:after="40"/>
            </w:pPr>
            <w:r>
              <w:rPr>
                <w:sz w:val="20"/>
                <w:szCs w:val="20"/>
              </w:rPr>
              <w:t>203,366元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1" w:hRule="atLeast"/>
        </w:trPr>
        <w:tc>
          <w:tcPr>
            <w:tcW w:w="4320" w:type="dxa"/>
          </w:tcPr>
          <w:p>
            <w:pPr>
              <w:spacing w:before="40" w:after="40"/>
            </w:pPr>
            <w:r>
              <w:rPr>
                <w:sz w:val="20"/>
                <w:szCs w:val="20"/>
              </w:rPr>
              <w:t>主营业务成本</w:t>
            </w:r>
          </w:p>
        </w:tc>
        <w:tc>
          <w:tcPr>
            <w:tcW w:w="4320" w:type="dxa"/>
          </w:tcPr>
          <w:p>
            <w:pPr>
              <w:spacing w:before="40" w:after="40"/>
            </w:pPr>
            <w:r>
              <w:rPr>
                <w:sz w:val="20"/>
                <w:szCs w:val="20"/>
              </w:rPr>
              <w:t>18,843元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毛利率</w:t>
            </w:r>
          </w:p>
        </w:tc>
        <w:tc>
          <w:tcPr>
            <w:tcW w:w="4320" w:type="dxa"/>
          </w:tcPr>
          <w:p>
            <w:pPr>
              <w:spacing w:before="40" w:after="40"/>
            </w:pPr>
            <w:r>
              <w:rPr>
                <w:sz w:val="20"/>
                <w:szCs w:val="20"/>
              </w:rPr>
              <w:t>约90.7%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管理费用</w:t>
            </w:r>
          </w:p>
        </w:tc>
        <w:tc>
          <w:tcPr>
            <w:tcW w:w="4320" w:type="dxa"/>
          </w:tcPr>
          <w:p>
            <w:pPr>
              <w:spacing w:before="40" w:after="40"/>
            </w:pPr>
            <w:r>
              <w:rPr>
                <w:sz w:val="20"/>
                <w:szCs w:val="20"/>
              </w:rPr>
              <w:t>348,318元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本年亏损</w:t>
            </w:r>
          </w:p>
        </w:tc>
        <w:tc>
          <w:tcPr>
            <w:tcW w:w="4320" w:type="dxa"/>
          </w:tcPr>
          <w:p>
            <w:pPr>
              <w:spacing w:before="40" w:after="40"/>
            </w:pPr>
            <w:r>
              <w:rPr>
                <w:sz w:val="20"/>
                <w:szCs w:val="20"/>
              </w:rPr>
              <w:t>约-161,561元</w:t>
            </w:r>
          </w:p>
        </w:tc>
      </w:tr>
    </w:tbl>
    <w:p>
      <w:pPr>
        <w:spacing w:after="60"/>
      </w:pPr>
    </w:p>
    <w:p>
      <w:pPr>
        <w:spacing w:after="100"/>
      </w:pPr>
      <w:r>
        <w:rPr>
          <w:b/>
          <w:bCs/>
        </w:rPr>
        <w:t>财务要点小结：</w:t>
      </w:r>
    </w:p>
    <w:p>
      <w:pPr>
        <w:spacing w:after="60"/>
      </w:pPr>
      <w:r>
        <w:rPr>
          <w:b/>
          <w:bCs/>
        </w:rPr>
        <w:t>资金相对充裕，无财务危机风险</w:t>
      </w:r>
      <w:r>
        <w:t>：账面有效资金约570万元，可支撑约24个月以上基本运营</w:t>
      </w:r>
    </w:p>
    <w:p>
      <w:pPr>
        <w:spacing w:after="60"/>
      </w:pPr>
      <w:r>
        <w:rPr>
          <w:b/>
          <w:bCs/>
        </w:rPr>
        <w:t>高毛利率验证技术附加值</w:t>
      </w:r>
      <w:r>
        <w:t>：主营业务毛利率90.7%，证明产品非低价代工逻辑</w:t>
      </w:r>
    </w:p>
    <w:p>
      <w:pPr>
        <w:spacing w:after="60"/>
      </w:pPr>
      <w:r>
        <w:rPr>
          <w:b/>
          <w:bCs/>
        </w:rPr>
        <w:t>成本结构以人力为主</w:t>
      </w:r>
      <w:r>
        <w:t>：科技型早期公司典型特征</w:t>
      </w:r>
    </w:p>
    <w:p>
      <w:pPr>
        <w:spacing w:after="60"/>
      </w:pPr>
      <w:r>
        <w:rPr>
          <w:b/>
          <w:bCs/>
        </w:rPr>
        <w:t>BCI研发核心资源体外</w:t>
      </w:r>
      <w:r>
        <w:t>：实际支撑公司技术迭代的中科院/高校课题组经费（年1,000-2,000万元）不在报表内体现，需关注资源依赖风险</w:t>
      </w:r>
    </w:p>
    <w:p>
      <w:pPr>
        <w:spacing w:before="220" w:after="120"/>
      </w:pPr>
      <w:r>
        <w:rPr>
          <w:b/>
          <w:bCs/>
          <w:color w:val="2E5090"/>
          <w:sz w:val="34"/>
          <w:szCs w:val="34"/>
        </w:rPr>
        <w:t>七、股权结构及历史沿革</w:t>
      </w:r>
    </w:p>
    <w:p>
      <w:pPr>
        <w:spacing w:before="160" w:after="80"/>
      </w:pPr>
      <w:r>
        <w:rPr>
          <w:b/>
          <w:bCs/>
          <w:color w:val="2F75B6"/>
          <w:sz w:val="28"/>
          <w:szCs w:val="28"/>
        </w:rPr>
        <w:t>7.1 当前股权架构（截至2026年3月）</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b/>
                <w:bCs/>
                <w:sz w:val="20"/>
                <w:szCs w:val="20"/>
              </w:rPr>
              <w:t>股东</w:t>
            </w:r>
          </w:p>
        </w:tc>
        <w:tc>
          <w:tcPr>
            <w:tcW w:w="2880" w:type="dxa"/>
          </w:tcPr>
          <w:p>
            <w:pPr>
              <w:spacing w:before="40" w:after="40"/>
            </w:pPr>
            <w:r>
              <w:rPr>
                <w:b/>
                <w:bCs/>
                <w:sz w:val="20"/>
                <w:szCs w:val="20"/>
              </w:rPr>
              <w:t>类型</w:t>
            </w:r>
          </w:p>
        </w:tc>
        <w:tc>
          <w:tcPr>
            <w:tcW w:w="2880" w:type="dxa"/>
          </w:tcPr>
          <w:p>
            <w:pPr>
              <w:spacing w:before="40" w:after="40"/>
            </w:pPr>
            <w:r>
              <w:rPr>
                <w:b/>
                <w:bCs/>
                <w:sz w:val="20"/>
                <w:szCs w:val="20"/>
              </w:rPr>
              <w:t>持股比例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刘志远</w:t>
            </w:r>
          </w:p>
        </w:tc>
        <w:tc>
          <w:tcPr>
            <w:tcW w:w="2880" w:type="dxa"/>
          </w:tcPr>
          <w:p>
            <w:pPr>
              <w:spacing w:before="40" w:after="40"/>
            </w:pPr>
            <w:r>
              <w:rPr>
                <w:sz w:val="20"/>
                <w:szCs w:val="20"/>
              </w:rPr>
              <w:t>自然人</w:t>
            </w:r>
          </w:p>
        </w:tc>
        <w:tc>
          <w:tcPr>
            <w:tcW w:w="2880" w:type="dxa"/>
          </w:tcPr>
          <w:p>
            <w:pPr>
              <w:spacing w:before="40" w:after="40"/>
            </w:pPr>
            <w:r>
              <w:rPr>
                <w:sz w:val="20"/>
                <w:szCs w:val="20"/>
              </w:rPr>
              <w:t>32.31%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彭乾碧</w:t>
            </w:r>
          </w:p>
        </w:tc>
        <w:tc>
          <w:tcPr>
            <w:tcW w:w="2880" w:type="dxa"/>
          </w:tcPr>
          <w:p>
            <w:pPr>
              <w:spacing w:before="40" w:after="40"/>
            </w:pPr>
            <w:r>
              <w:rPr>
                <w:sz w:val="20"/>
                <w:szCs w:val="20"/>
              </w:rPr>
              <w:t>自然人</w:t>
            </w:r>
          </w:p>
        </w:tc>
        <w:tc>
          <w:tcPr>
            <w:tcW w:w="2880" w:type="dxa"/>
          </w:tcPr>
          <w:p>
            <w:pPr>
              <w:spacing w:before="40" w:after="40"/>
            </w:pPr>
            <w:r>
              <w:rPr>
                <w:sz w:val="20"/>
                <w:szCs w:val="20"/>
              </w:rPr>
              <w:t>27.69%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深圳感柔科技合伙企业</w:t>
            </w:r>
          </w:p>
        </w:tc>
        <w:tc>
          <w:tcPr>
            <w:tcW w:w="2880" w:type="dxa"/>
          </w:tcPr>
          <w:p>
            <w:pPr>
              <w:spacing w:before="40" w:after="40"/>
            </w:pPr>
            <w:r>
              <w:rPr>
                <w:sz w:val="20"/>
                <w:szCs w:val="20"/>
              </w:rPr>
              <w:t>员工持股平台</w:t>
            </w:r>
          </w:p>
        </w:tc>
        <w:tc>
          <w:tcPr>
            <w:tcW w:w="2880" w:type="dxa"/>
          </w:tcPr>
          <w:p>
            <w:pPr>
              <w:spacing w:before="40" w:after="40"/>
            </w:pPr>
            <w:r>
              <w:rPr>
                <w:sz w:val="20"/>
                <w:szCs w:val="20"/>
              </w:rPr>
              <w:t>18.46%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深圳鹏鑫澄科技合伙企业</w:t>
            </w:r>
          </w:p>
        </w:tc>
        <w:tc>
          <w:tcPr>
            <w:tcW w:w="2880" w:type="dxa"/>
          </w:tcPr>
          <w:p>
            <w:pPr>
              <w:spacing w:before="40" w:after="40"/>
            </w:pPr>
            <w:r>
              <w:rPr>
                <w:sz w:val="20"/>
                <w:szCs w:val="20"/>
              </w:rPr>
              <w:t>员工持股平台</w:t>
            </w:r>
          </w:p>
        </w:tc>
        <w:tc>
          <w:tcPr>
            <w:tcW w:w="2880" w:type="dxa"/>
          </w:tcPr>
          <w:p>
            <w:pPr>
              <w:spacing w:before="40" w:after="40"/>
            </w:pPr>
            <w:r>
              <w:rPr>
                <w:sz w:val="20"/>
                <w:szCs w:val="20"/>
              </w:rPr>
              <w:t>13.85%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成都丹旸慧创脑科技有限公司</w:t>
            </w:r>
          </w:p>
        </w:tc>
        <w:tc>
          <w:tcPr>
            <w:tcW w:w="2880" w:type="dxa"/>
          </w:tcPr>
          <w:p>
            <w:pPr>
              <w:spacing w:before="40" w:after="40"/>
            </w:pPr>
            <w:r>
              <w:rPr>
                <w:sz w:val="20"/>
                <w:szCs w:val="20"/>
              </w:rPr>
              <w:t>战略/财务投资人</w:t>
            </w:r>
          </w:p>
        </w:tc>
        <w:tc>
          <w:tcPr>
            <w:tcW w:w="2880" w:type="dxa"/>
          </w:tcPr>
          <w:p>
            <w:pPr>
              <w:spacing w:before="40" w:after="40"/>
            </w:pPr>
            <w:r>
              <w:rPr>
                <w:sz w:val="20"/>
                <w:szCs w:val="20"/>
              </w:rPr>
              <w:t>3.85%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深圳市南山战新投种子投资合伙企业</w:t>
            </w:r>
          </w:p>
        </w:tc>
        <w:tc>
          <w:tcPr>
            <w:tcW w:w="2880" w:type="dxa"/>
          </w:tcPr>
          <w:p>
            <w:pPr>
              <w:spacing w:before="40" w:after="40"/>
            </w:pPr>
            <w:r>
              <w:rPr>
                <w:sz w:val="20"/>
                <w:szCs w:val="20"/>
              </w:rPr>
              <w:t>政府引导基金</w:t>
            </w:r>
          </w:p>
        </w:tc>
        <w:tc>
          <w:tcPr>
            <w:tcW w:w="2880" w:type="dxa"/>
          </w:tcPr>
          <w:p>
            <w:pPr>
              <w:spacing w:before="40" w:after="40"/>
            </w:pPr>
            <w:r>
              <w:rPr>
                <w:sz w:val="20"/>
                <w:szCs w:val="20"/>
              </w:rPr>
              <w:t>3.85%</w:t>
            </w:r>
          </w:p>
        </w:tc>
      </w:tr>
    </w:tbl>
    <w:p>
      <w:pPr>
        <w:spacing w:after="60"/>
      </w:pPr>
    </w:p>
    <w:p>
      <w:pPr>
        <w:spacing w:before="160" w:after="80"/>
      </w:pPr>
      <w:r>
        <w:rPr>
          <w:b/>
          <w:bCs/>
          <w:color w:val="2F75B6"/>
          <w:sz w:val="28"/>
          <w:szCs w:val="28"/>
        </w:rPr>
        <w:t>7.2 架构关键亮点</w:t>
      </w:r>
    </w:p>
    <w:p>
      <w:pPr>
        <w:spacing w:after="100"/>
      </w:pPr>
      <w:r>
        <w:rPr>
          <w:b/>
          <w:bCs/>
        </w:rPr>
        <w:t>政府引导基金背书</w:t>
      </w:r>
      <w:r>
        <w:t>：南山战新投的进入，是深圳南山区对公司技术路线的政策认可，也是后续科创板/专精特新申请的重要加分项。</w:t>
      </w:r>
    </w:p>
    <w:p>
      <w:pPr>
        <w:spacing w:after="100"/>
      </w:pPr>
      <w:r>
        <w:rPr>
          <w:b/>
          <w:bCs/>
        </w:rPr>
        <w:t>成都丹旸慧创脑科技</w:t>
      </w:r>
      <w:r>
        <w:t>：早期战略投资人本身即是脑科技领域背景公司，说明公司从</w:t>
      </w:r>
      <w:r>
        <w:rPr>
          <w:rFonts w:hint="eastAsia"/>
        </w:rPr>
        <w:t>种子轮</w:t>
      </w:r>
      <w:r>
        <w:t>起即获得BCI行业深度认可。</w:t>
      </w:r>
    </w:p>
    <w:p>
      <w:pPr>
        <w:spacing w:after="100"/>
      </w:pPr>
      <w:r>
        <w:rPr>
          <w:b/>
          <w:bCs/>
        </w:rPr>
        <w:t>双持股激励平台设计</w:t>
      </w:r>
      <w:r>
        <w:t>：在成立5个月后即搭建完善员工持股体系，体现创始团队在股权架构上的前瞻意识。</w:t>
      </w:r>
    </w:p>
    <w:p>
      <w:pPr>
        <w:spacing w:before="220" w:after="120"/>
      </w:pPr>
      <w:r>
        <w:rPr>
          <w:b/>
          <w:bCs/>
          <w:color w:val="2E5090"/>
          <w:sz w:val="34"/>
          <w:szCs w:val="34"/>
        </w:rPr>
        <w:t>八、知识产权与技术壁垒</w:t>
      </w:r>
    </w:p>
    <w:p>
      <w:pPr>
        <w:spacing w:before="160" w:after="80"/>
      </w:pPr>
      <w:r>
        <w:rPr>
          <w:b/>
          <w:bCs/>
          <w:color w:val="2F75B6"/>
          <w:sz w:val="28"/>
          <w:szCs w:val="28"/>
        </w:rPr>
        <w:t>8.1 中科院专利转让资产</w:t>
      </w:r>
    </w:p>
    <w:p>
      <w:pPr>
        <w:spacing w:after="100"/>
      </w:pPr>
      <w:r>
        <w:t>公司已与中科院深圳先进技术研究院签署《专利转让协议书》，协议转让4项核心发明专利，总价款200万元，分三期支付：</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b/>
                <w:bCs/>
                <w:sz w:val="20"/>
                <w:szCs w:val="20"/>
              </w:rPr>
              <w:t>期次</w:t>
            </w:r>
          </w:p>
        </w:tc>
        <w:tc>
          <w:tcPr>
            <w:tcW w:w="2880" w:type="dxa"/>
          </w:tcPr>
          <w:p>
            <w:pPr>
              <w:spacing w:before="40" w:after="40"/>
            </w:pPr>
            <w:r>
              <w:rPr>
                <w:b/>
                <w:bCs/>
                <w:sz w:val="20"/>
                <w:szCs w:val="20"/>
              </w:rPr>
              <w:t>支付时间</w:t>
            </w:r>
          </w:p>
        </w:tc>
        <w:tc>
          <w:tcPr>
            <w:tcW w:w="2880" w:type="dxa"/>
          </w:tcPr>
          <w:p>
            <w:pPr>
              <w:spacing w:before="40" w:after="40"/>
            </w:pPr>
            <w:r>
              <w:rPr>
                <w:b/>
                <w:bCs/>
                <w:sz w:val="20"/>
                <w:szCs w:val="20"/>
              </w:rPr>
              <w:t>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第一期</w:t>
            </w:r>
          </w:p>
        </w:tc>
        <w:tc>
          <w:tcPr>
            <w:tcW w:w="2880" w:type="dxa"/>
          </w:tcPr>
          <w:p>
            <w:pPr>
              <w:spacing w:before="40" w:after="40"/>
            </w:pPr>
            <w:r>
              <w:rPr>
                <w:sz w:val="20"/>
                <w:szCs w:val="20"/>
              </w:rPr>
              <w:t>2026年12月10日前</w:t>
            </w:r>
          </w:p>
        </w:tc>
        <w:tc>
          <w:tcPr>
            <w:tcW w:w="2880" w:type="dxa"/>
          </w:tcPr>
          <w:p>
            <w:pPr>
              <w:spacing w:before="40" w:after="40"/>
            </w:pPr>
            <w:r>
              <w:rPr>
                <w:sz w:val="20"/>
                <w:szCs w:val="20"/>
              </w:rPr>
              <w:t>50万元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第二期</w:t>
            </w:r>
          </w:p>
        </w:tc>
        <w:tc>
          <w:tcPr>
            <w:tcW w:w="2880" w:type="dxa"/>
          </w:tcPr>
          <w:p>
            <w:pPr>
              <w:spacing w:before="40" w:after="40"/>
            </w:pPr>
            <w:r>
              <w:rPr>
                <w:sz w:val="20"/>
                <w:szCs w:val="20"/>
              </w:rPr>
              <w:t>2027年10月1日前</w:t>
            </w:r>
          </w:p>
        </w:tc>
        <w:tc>
          <w:tcPr>
            <w:tcW w:w="2880" w:type="dxa"/>
          </w:tcPr>
          <w:p>
            <w:pPr>
              <w:spacing w:before="40" w:after="40"/>
            </w:pPr>
            <w:r>
              <w:rPr>
                <w:sz w:val="20"/>
                <w:szCs w:val="20"/>
              </w:rPr>
              <w:t>50万元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第三期</w:t>
            </w:r>
          </w:p>
        </w:tc>
        <w:tc>
          <w:tcPr>
            <w:tcW w:w="2880" w:type="dxa"/>
          </w:tcPr>
          <w:p>
            <w:pPr>
              <w:spacing w:before="40" w:after="40"/>
            </w:pPr>
            <w:r>
              <w:rPr>
                <w:sz w:val="20"/>
                <w:szCs w:val="20"/>
              </w:rPr>
              <w:t>2028年10月1日前</w:t>
            </w:r>
          </w:p>
        </w:tc>
        <w:tc>
          <w:tcPr>
            <w:tcW w:w="2880" w:type="dxa"/>
          </w:tcPr>
          <w:p>
            <w:pPr>
              <w:spacing w:before="40" w:after="40"/>
            </w:pPr>
            <w:r>
              <w:rPr>
                <w:sz w:val="20"/>
                <w:szCs w:val="20"/>
              </w:rPr>
              <w:t>100万元</w:t>
            </w:r>
          </w:p>
        </w:tc>
      </w:tr>
    </w:tbl>
    <w:p>
      <w:pPr>
        <w:spacing w:after="60"/>
      </w:pPr>
    </w:p>
    <w:p>
      <w:pPr>
        <w:spacing w:after="100"/>
      </w:pPr>
      <w:r>
        <w:rPr>
          <w:b/>
          <w:bCs/>
        </w:rPr>
        <w:t>4项专利详情：</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b/>
                <w:bCs/>
                <w:sz w:val="20"/>
                <w:szCs w:val="20"/>
              </w:rPr>
              <w:t>专利号</w:t>
            </w:r>
          </w:p>
        </w:tc>
        <w:tc>
          <w:tcPr>
            <w:tcW w:w="2160" w:type="dxa"/>
          </w:tcPr>
          <w:p>
            <w:pPr>
              <w:spacing w:before="40" w:after="40"/>
            </w:pPr>
            <w:r>
              <w:rPr>
                <w:b/>
                <w:bCs/>
                <w:sz w:val="20"/>
                <w:szCs w:val="20"/>
              </w:rPr>
              <w:t>名称</w:t>
            </w:r>
          </w:p>
        </w:tc>
        <w:tc>
          <w:tcPr>
            <w:tcW w:w="2160" w:type="dxa"/>
          </w:tcPr>
          <w:p>
            <w:pPr>
              <w:spacing w:before="40" w:after="40"/>
            </w:pPr>
            <w:r>
              <w:rPr>
                <w:b/>
                <w:bCs/>
                <w:sz w:val="20"/>
                <w:szCs w:val="20"/>
              </w:rPr>
              <w:t>状态</w:t>
            </w:r>
          </w:p>
        </w:tc>
        <w:tc>
          <w:tcPr>
            <w:tcW w:w="2160" w:type="dxa"/>
          </w:tcPr>
          <w:p>
            <w:pPr>
              <w:spacing w:before="40" w:after="40"/>
            </w:pPr>
            <w:r>
              <w:rPr>
                <w:b/>
                <w:bCs/>
                <w:sz w:val="20"/>
                <w:szCs w:val="20"/>
              </w:rPr>
              <w:t>BCI关联度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CN202110215869.8</w:t>
            </w:r>
          </w:p>
        </w:tc>
        <w:tc>
          <w:tcPr>
            <w:tcW w:w="2160" w:type="dxa"/>
          </w:tcPr>
          <w:p>
            <w:pPr>
              <w:spacing w:before="40" w:after="40"/>
            </w:pPr>
            <w:r>
              <w:rPr>
                <w:sz w:val="20"/>
                <w:szCs w:val="20"/>
              </w:rPr>
              <w:t>超薄多孔可拉伸薄膜电极的制备方法</w:t>
            </w:r>
          </w:p>
        </w:tc>
        <w:tc>
          <w:tcPr>
            <w:tcW w:w="2160" w:type="dxa"/>
          </w:tcPr>
          <w:p>
            <w:pPr>
              <w:spacing w:before="40" w:after="40"/>
            </w:pPr>
            <w:r>
              <w:rPr>
                <w:sz w:val="20"/>
                <w:szCs w:val="20"/>
              </w:rPr>
              <w:t>已授权</w:t>
            </w:r>
          </w:p>
        </w:tc>
        <w:tc>
          <w:tcPr>
            <w:tcW w:w="2160" w:type="dxa"/>
          </w:tcPr>
          <w:p>
            <w:pPr>
              <w:spacing w:before="40" w:after="40"/>
            </w:pPr>
            <w:r>
              <w:rPr>
                <w:sz w:val="20"/>
                <w:szCs w:val="20"/>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CN202111211599.X</w:t>
            </w:r>
          </w:p>
        </w:tc>
        <w:tc>
          <w:tcPr>
            <w:tcW w:w="2160" w:type="dxa"/>
          </w:tcPr>
          <w:p>
            <w:pPr>
              <w:spacing w:before="40" w:after="40"/>
            </w:pPr>
            <w:r>
              <w:rPr>
                <w:sz w:val="20"/>
                <w:szCs w:val="20"/>
              </w:rPr>
              <w:t>超窄高密度多相独立通道柔性电极制备方法</w:t>
            </w:r>
          </w:p>
        </w:tc>
        <w:tc>
          <w:tcPr>
            <w:tcW w:w="2160" w:type="dxa"/>
          </w:tcPr>
          <w:p>
            <w:pPr>
              <w:spacing w:before="40" w:after="40"/>
            </w:pPr>
            <w:r>
              <w:rPr>
                <w:sz w:val="20"/>
                <w:szCs w:val="20"/>
              </w:rPr>
              <w:t>实审中</w:t>
            </w:r>
          </w:p>
        </w:tc>
        <w:tc>
          <w:tcPr>
            <w:tcW w:w="2160" w:type="dxa"/>
          </w:tcPr>
          <w:p>
            <w:pPr>
              <w:spacing w:before="40" w:after="40"/>
            </w:pPr>
            <w:r>
              <w:rPr>
                <w:sz w:val="20"/>
                <w:szCs w:val="20"/>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CN202111479138.0</w:t>
            </w:r>
          </w:p>
        </w:tc>
        <w:tc>
          <w:tcPr>
            <w:tcW w:w="2160" w:type="dxa"/>
          </w:tcPr>
          <w:p>
            <w:pPr>
              <w:spacing w:before="40" w:after="40"/>
            </w:pPr>
            <w:r>
              <w:rPr>
                <w:sz w:val="20"/>
                <w:szCs w:val="20"/>
              </w:rPr>
              <w:t>粘弹体表干电极及粘弹导电材料</w:t>
            </w:r>
          </w:p>
        </w:tc>
        <w:tc>
          <w:tcPr>
            <w:tcW w:w="2160" w:type="dxa"/>
          </w:tcPr>
          <w:p>
            <w:pPr>
              <w:spacing w:before="40" w:after="40"/>
            </w:pPr>
            <w:r>
              <w:rPr>
                <w:sz w:val="20"/>
                <w:szCs w:val="20"/>
              </w:rPr>
              <w:t>实审中</w:t>
            </w:r>
          </w:p>
        </w:tc>
        <w:tc>
          <w:tcPr>
            <w:tcW w:w="2160" w:type="dxa"/>
          </w:tcPr>
          <w:p>
            <w:pPr>
              <w:spacing w:before="40" w:after="40"/>
            </w:pPr>
            <w:r>
              <w:rPr>
                <w:sz w:val="20"/>
                <w:szCs w:val="20"/>
              </w:rPr>
              <w:t>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CN202210377357.6</w:t>
            </w:r>
          </w:p>
        </w:tc>
        <w:tc>
          <w:tcPr>
            <w:tcW w:w="2160" w:type="dxa"/>
          </w:tcPr>
          <w:p>
            <w:pPr>
              <w:spacing w:before="40" w:after="40"/>
            </w:pPr>
            <w:r>
              <w:rPr>
                <w:sz w:val="20"/>
                <w:szCs w:val="20"/>
              </w:rPr>
              <w:t>多通道高密度可拉伸微电极制备方法</w:t>
            </w:r>
          </w:p>
        </w:tc>
        <w:tc>
          <w:tcPr>
            <w:tcW w:w="2160" w:type="dxa"/>
          </w:tcPr>
          <w:p>
            <w:pPr>
              <w:spacing w:before="40" w:after="40"/>
            </w:pPr>
            <w:r>
              <w:rPr>
                <w:sz w:val="20"/>
                <w:szCs w:val="20"/>
              </w:rPr>
              <w:t>实审中</w:t>
            </w:r>
          </w:p>
        </w:tc>
        <w:tc>
          <w:tcPr>
            <w:tcW w:w="2160" w:type="dxa"/>
          </w:tcPr>
          <w:p>
            <w:pPr>
              <w:spacing w:before="40" w:after="40"/>
            </w:pPr>
            <w:r>
              <w:rPr>
                <w:rFonts w:hint="eastAsia"/>
                <w:sz w:val="20"/>
                <w:szCs w:val="20"/>
                <w:lang w:val="en-US" w:eastAsia="zh-Hans"/>
              </w:rPr>
              <w:t>中</w:t>
            </w:r>
            <w:r>
              <w:rPr>
                <w:rFonts w:hint="default"/>
                <w:sz w:val="20"/>
                <w:szCs w:val="20"/>
                <w:lang w:eastAsia="zh-Hans"/>
              </w:rPr>
              <w:t>-</w:t>
            </w:r>
            <w:r>
              <w:rPr>
                <w:rFonts w:hint="eastAsia"/>
                <w:sz w:val="20"/>
                <w:szCs w:val="20"/>
                <w:lang w:val="en-US" w:eastAsia="zh-Hans"/>
              </w:rPr>
              <w:t>高</w:t>
            </w:r>
          </w:p>
        </w:tc>
      </w:tr>
    </w:tbl>
    <w:p>
      <w:pPr>
        <w:spacing w:after="60"/>
      </w:pPr>
    </w:p>
    <w:p>
      <w:pPr>
        <w:spacing w:before="160" w:after="80"/>
      </w:pPr>
      <w:r>
        <w:rPr>
          <w:b/>
          <w:bCs/>
          <w:color w:val="2F75B6"/>
          <w:sz w:val="28"/>
          <w:szCs w:val="28"/>
        </w:rPr>
        <w:t>8.3 学术成果作为无形资产护城河</w:t>
      </w:r>
    </w:p>
    <w:p>
      <w:pPr>
        <w:spacing w:after="100"/>
      </w:pPr>
      <w:r>
        <w:t>Nature正刊发表本身即构成技术壁垒的重要组成部分：</w:t>
      </w:r>
    </w:p>
    <w:p>
      <w:pPr>
        <w:spacing w:after="60"/>
      </w:pPr>
      <w:r>
        <w:t>• 证明技术路线经过同行最严格评审确认可行</w:t>
      </w:r>
    </w:p>
    <w:p>
      <w:pPr>
        <w:spacing w:after="60"/>
      </w:pPr>
      <w:r>
        <w:t>• 成为公司对外融资、对接大型医疗器械厂商的"技术通行证"</w:t>
      </w:r>
    </w:p>
    <w:p>
      <w:pPr>
        <w:spacing w:after="60"/>
      </w:pPr>
      <w:r>
        <w:t>• 形成围绕论文的引用网络，后续研究者跟进时将持续验证并引用这一路线</w:t>
      </w:r>
    </w:p>
    <w:p>
      <w:pPr>
        <w:spacing w:after="60"/>
      </w:pPr>
      <w:r>
        <w:t>• 有助于君柔在BCI领域形成"学界认可的技术原创者"品牌标签</w:t>
      </w:r>
    </w:p>
    <w:p>
      <w:pPr>
        <w:spacing w:before="220" w:after="120"/>
      </w:pPr>
      <w:r>
        <w:rPr>
          <w:b/>
          <w:bCs/>
          <w:color w:val="2E5090"/>
          <w:sz w:val="34"/>
          <w:szCs w:val="34"/>
        </w:rPr>
        <w:t>九、合同及业务进展</w:t>
      </w:r>
    </w:p>
    <w:p>
      <w:pPr>
        <w:spacing w:before="160" w:after="80"/>
      </w:pPr>
      <w:r>
        <w:rPr>
          <w:b/>
          <w:bCs/>
          <w:color w:val="2F75B6"/>
          <w:sz w:val="28"/>
          <w:szCs w:val="28"/>
        </w:rPr>
        <w:t>9.1 合同台账小结</w:t>
      </w:r>
    </w:p>
    <w:p>
      <w:pPr>
        <w:spacing w:after="100"/>
      </w:pPr>
      <w:r>
        <w:t>根据《深圳君柔科技有限公司正在履行业务合同台账》，公司当前核心在履合同6份：</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440"/>
        <w:gridCol w:w="1440"/>
        <w:gridCol w:w="1440"/>
        <w:gridCol w:w="144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pPr>
              <w:spacing w:before="40" w:after="40"/>
            </w:pPr>
            <w:r>
              <w:rPr>
                <w:b/>
                <w:bCs/>
                <w:sz w:val="20"/>
                <w:szCs w:val="20"/>
              </w:rPr>
              <w:t>序号</w:t>
            </w:r>
          </w:p>
        </w:tc>
        <w:tc>
          <w:tcPr>
            <w:tcW w:w="1440" w:type="dxa"/>
          </w:tcPr>
          <w:p>
            <w:pPr>
              <w:spacing w:before="40" w:after="40"/>
            </w:pPr>
            <w:r>
              <w:rPr>
                <w:b/>
                <w:bCs/>
                <w:sz w:val="20"/>
                <w:szCs w:val="20"/>
              </w:rPr>
              <w:t>合同名称</w:t>
            </w:r>
          </w:p>
        </w:tc>
        <w:tc>
          <w:tcPr>
            <w:tcW w:w="1440" w:type="dxa"/>
          </w:tcPr>
          <w:p>
            <w:pPr>
              <w:spacing w:before="40" w:after="40"/>
            </w:pPr>
            <w:r>
              <w:rPr>
                <w:b/>
                <w:bCs/>
                <w:sz w:val="20"/>
                <w:szCs w:val="20"/>
              </w:rPr>
              <w:t>合作方</w:t>
            </w:r>
          </w:p>
        </w:tc>
        <w:tc>
          <w:tcPr>
            <w:tcW w:w="1440" w:type="dxa"/>
          </w:tcPr>
          <w:p>
            <w:pPr>
              <w:spacing w:before="40" w:after="40"/>
            </w:pPr>
            <w:r>
              <w:rPr>
                <w:b/>
                <w:bCs/>
                <w:sz w:val="20"/>
                <w:szCs w:val="20"/>
              </w:rPr>
              <w:t>合同类型</w:t>
            </w:r>
          </w:p>
        </w:tc>
        <w:tc>
          <w:tcPr>
            <w:tcW w:w="1440" w:type="dxa"/>
          </w:tcPr>
          <w:p>
            <w:pPr>
              <w:spacing w:before="40" w:after="40"/>
            </w:pPr>
            <w:r>
              <w:rPr>
                <w:b/>
                <w:bCs/>
                <w:sz w:val="20"/>
                <w:szCs w:val="20"/>
              </w:rPr>
              <w:t>金额（元）</w:t>
            </w:r>
          </w:p>
        </w:tc>
        <w:tc>
          <w:tcPr>
            <w:tcW w:w="1440" w:type="dxa"/>
          </w:tcPr>
          <w:p>
            <w:pPr>
              <w:spacing w:before="40" w:after="40"/>
            </w:pPr>
            <w:r>
              <w:rPr>
                <w:b/>
                <w:bCs/>
                <w:sz w:val="20"/>
                <w:szCs w:val="20"/>
              </w:rPr>
              <w:t>收款状态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pPr>
              <w:spacing w:before="40" w:after="40"/>
            </w:pPr>
            <w:r>
              <w:rPr>
                <w:sz w:val="20"/>
                <w:szCs w:val="20"/>
              </w:rPr>
              <w:t>1</w:t>
            </w:r>
          </w:p>
        </w:tc>
        <w:tc>
          <w:tcPr>
            <w:tcW w:w="1440" w:type="dxa"/>
          </w:tcPr>
          <w:p>
            <w:pPr>
              <w:spacing w:before="40" w:after="40"/>
            </w:pPr>
            <w:r>
              <w:rPr>
                <w:sz w:val="20"/>
                <w:szCs w:val="20"/>
              </w:rPr>
              <w:t>技术服务合同</w:t>
            </w:r>
          </w:p>
        </w:tc>
        <w:tc>
          <w:tcPr>
            <w:tcW w:w="1440" w:type="dxa"/>
          </w:tcPr>
          <w:p>
            <w:pPr>
              <w:spacing w:before="40" w:after="40"/>
            </w:pPr>
            <w:r>
              <w:rPr>
                <w:sz w:val="20"/>
                <w:szCs w:val="20"/>
              </w:rPr>
              <w:t>天津大学</w:t>
            </w:r>
          </w:p>
        </w:tc>
        <w:tc>
          <w:tcPr>
            <w:tcW w:w="1440" w:type="dxa"/>
          </w:tcPr>
          <w:p>
            <w:pPr>
              <w:spacing w:before="40" w:after="40"/>
            </w:pPr>
            <w:r>
              <w:rPr>
                <w:sz w:val="20"/>
                <w:szCs w:val="20"/>
              </w:rPr>
              <w:t>技术服务</w:t>
            </w:r>
          </w:p>
        </w:tc>
        <w:tc>
          <w:tcPr>
            <w:tcW w:w="1440" w:type="dxa"/>
          </w:tcPr>
          <w:p>
            <w:pPr>
              <w:spacing w:before="40" w:after="40"/>
            </w:pPr>
            <w:r>
              <w:rPr>
                <w:sz w:val="20"/>
                <w:szCs w:val="20"/>
              </w:rPr>
              <w:t>1</w:t>
            </w:r>
            <w:r>
              <w:rPr>
                <w:rFonts w:hint="default"/>
                <w:sz w:val="20"/>
                <w:szCs w:val="20"/>
              </w:rPr>
              <w:t>4</w:t>
            </w:r>
            <w:r>
              <w:rPr>
                <w:sz w:val="20"/>
                <w:szCs w:val="20"/>
              </w:rPr>
              <w:t>,000</w:t>
            </w:r>
          </w:p>
        </w:tc>
        <w:tc>
          <w:tcPr>
            <w:tcW w:w="1440" w:type="dxa"/>
          </w:tcPr>
          <w:p>
            <w:pPr>
              <w:spacing w:before="40" w:after="40"/>
            </w:pPr>
            <w:r>
              <w:rPr>
                <w:sz w:val="20"/>
                <w:szCs w:val="20"/>
              </w:rPr>
              <w:t>100%已收款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pPr>
              <w:spacing w:before="40" w:after="40"/>
            </w:pPr>
            <w:r>
              <w:rPr>
                <w:sz w:val="20"/>
                <w:szCs w:val="20"/>
              </w:rPr>
              <w:t>2</w:t>
            </w:r>
          </w:p>
        </w:tc>
        <w:tc>
          <w:tcPr>
            <w:tcW w:w="1440" w:type="dxa"/>
          </w:tcPr>
          <w:p>
            <w:pPr>
              <w:spacing w:before="40" w:after="40"/>
            </w:pPr>
            <w:r>
              <w:rPr>
                <w:sz w:val="20"/>
                <w:szCs w:val="20"/>
              </w:rPr>
              <w:t>技术服务合同</w:t>
            </w:r>
          </w:p>
        </w:tc>
        <w:tc>
          <w:tcPr>
            <w:tcW w:w="1440" w:type="dxa"/>
          </w:tcPr>
          <w:p>
            <w:pPr>
              <w:spacing w:before="40" w:after="40"/>
            </w:pPr>
            <w:r>
              <w:rPr>
                <w:sz w:val="20"/>
                <w:szCs w:val="20"/>
              </w:rPr>
              <w:t>深圳技术大学</w:t>
            </w:r>
          </w:p>
        </w:tc>
        <w:tc>
          <w:tcPr>
            <w:tcW w:w="1440" w:type="dxa"/>
          </w:tcPr>
          <w:p>
            <w:pPr>
              <w:spacing w:before="40" w:after="40"/>
            </w:pPr>
            <w:r>
              <w:rPr>
                <w:sz w:val="20"/>
                <w:szCs w:val="20"/>
              </w:rPr>
              <w:t>技术服务</w:t>
            </w:r>
          </w:p>
        </w:tc>
        <w:tc>
          <w:tcPr>
            <w:tcW w:w="1440" w:type="dxa"/>
          </w:tcPr>
          <w:p>
            <w:pPr>
              <w:spacing w:before="40" w:after="40"/>
            </w:pPr>
            <w:r>
              <w:rPr>
                <w:sz w:val="20"/>
                <w:szCs w:val="20"/>
              </w:rPr>
              <w:t>8,400</w:t>
            </w:r>
          </w:p>
        </w:tc>
        <w:tc>
          <w:tcPr>
            <w:tcW w:w="1440" w:type="dxa"/>
          </w:tcPr>
          <w:p>
            <w:pPr>
              <w:spacing w:before="40" w:after="40"/>
            </w:pPr>
            <w:r>
              <w:rPr>
                <w:sz w:val="20"/>
                <w:szCs w:val="20"/>
              </w:rPr>
              <w:t>已收款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pPr>
              <w:spacing w:before="40" w:after="40"/>
            </w:pPr>
            <w:r>
              <w:rPr>
                <w:sz w:val="20"/>
                <w:szCs w:val="20"/>
              </w:rPr>
              <w:t>3</w:t>
            </w:r>
          </w:p>
        </w:tc>
        <w:tc>
          <w:tcPr>
            <w:tcW w:w="1440" w:type="dxa"/>
          </w:tcPr>
          <w:p>
            <w:pPr>
              <w:spacing w:before="40" w:after="40"/>
            </w:pPr>
            <w:r>
              <w:rPr>
                <w:rFonts w:hint="eastAsia"/>
                <w:sz w:val="20"/>
                <w:szCs w:val="20"/>
                <w:lang w:val="en-US" w:eastAsia="zh-Hans"/>
              </w:rPr>
              <w:t>电极</w:t>
            </w:r>
            <w:r>
              <w:rPr>
                <w:rFonts w:hint="default"/>
                <w:sz w:val="20"/>
                <w:szCs w:val="20"/>
                <w:lang w:eastAsia="zh-Hans"/>
              </w:rPr>
              <w:t>+</w:t>
            </w:r>
            <w:r>
              <w:rPr>
                <w:rFonts w:hint="eastAsia"/>
                <w:sz w:val="20"/>
                <w:szCs w:val="20"/>
                <w:lang w:val="en-US" w:eastAsia="zh-Hans"/>
              </w:rPr>
              <w:t>技术服务</w:t>
            </w:r>
          </w:p>
        </w:tc>
        <w:tc>
          <w:tcPr>
            <w:tcW w:w="1440" w:type="dxa"/>
          </w:tcPr>
          <w:p>
            <w:pPr>
              <w:spacing w:before="40" w:after="40"/>
            </w:pPr>
            <w:r>
              <w:rPr>
                <w:rFonts w:hint="eastAsia"/>
                <w:sz w:val="20"/>
                <w:szCs w:val="20"/>
                <w:lang w:val="en-US" w:eastAsia="zh-Hans"/>
              </w:rPr>
              <w:t>欧洲OT</w:t>
            </w:r>
          </w:p>
        </w:tc>
        <w:tc>
          <w:tcPr>
            <w:tcW w:w="1440" w:type="dxa"/>
          </w:tcPr>
          <w:p>
            <w:pPr>
              <w:spacing w:before="40" w:after="40"/>
            </w:pPr>
            <w:r>
              <w:rPr>
                <w:rFonts w:hint="eastAsia"/>
                <w:sz w:val="20"/>
                <w:szCs w:val="20"/>
                <w:lang w:val="en-US" w:eastAsia="zh-Hans"/>
              </w:rPr>
              <w:t>销售</w:t>
            </w:r>
            <w:r>
              <w:rPr>
                <w:rFonts w:hint="default"/>
                <w:sz w:val="20"/>
                <w:szCs w:val="20"/>
                <w:lang w:eastAsia="zh-Hans"/>
              </w:rPr>
              <w:t>+</w:t>
            </w:r>
            <w:r>
              <w:rPr>
                <w:rFonts w:hint="eastAsia"/>
                <w:sz w:val="20"/>
                <w:szCs w:val="20"/>
                <w:lang w:val="en-US" w:eastAsia="zh-Hans"/>
              </w:rPr>
              <w:t>技术服务</w:t>
            </w:r>
          </w:p>
        </w:tc>
        <w:tc>
          <w:tcPr>
            <w:tcW w:w="1440" w:type="dxa"/>
          </w:tcPr>
          <w:p>
            <w:pPr>
              <w:spacing w:before="40" w:after="40"/>
            </w:pPr>
            <w:r>
              <w:rPr>
                <w:rFonts w:hint="default"/>
                <w:sz w:val="20"/>
                <w:szCs w:val="20"/>
              </w:rPr>
              <w:t>3100</w:t>
            </w:r>
            <w:r>
              <w:rPr>
                <w:rFonts w:hint="eastAsia"/>
                <w:sz w:val="20"/>
                <w:szCs w:val="20"/>
                <w:lang w:val="en-US" w:eastAsia="zh-Hans"/>
              </w:rPr>
              <w:t>欧</w:t>
            </w:r>
          </w:p>
        </w:tc>
        <w:tc>
          <w:tcPr>
            <w:tcW w:w="1440" w:type="dxa"/>
          </w:tcPr>
          <w:p>
            <w:pPr>
              <w:spacing w:before="40" w:after="40"/>
            </w:pPr>
            <w:r>
              <w:rPr>
                <w:rFonts w:hint="default"/>
                <w:sz w:val="20"/>
                <w:szCs w:val="20"/>
              </w:rPr>
              <w:t>50%</w:t>
            </w:r>
            <w:r>
              <w:rPr>
                <w:rFonts w:hint="eastAsia"/>
                <w:sz w:val="20"/>
                <w:szCs w:val="20"/>
                <w:lang w:val="en-US" w:eastAsia="zh-Hans"/>
              </w:rPr>
              <w:t>已收款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pPr>
              <w:spacing w:before="40" w:after="40"/>
            </w:pPr>
            <w:r>
              <w:rPr>
                <w:sz w:val="20"/>
                <w:szCs w:val="20"/>
              </w:rPr>
              <w:t>4</w:t>
            </w:r>
          </w:p>
        </w:tc>
        <w:tc>
          <w:tcPr>
            <w:tcW w:w="1440" w:type="dxa"/>
          </w:tcPr>
          <w:p>
            <w:pPr>
              <w:spacing w:before="40" w:after="40"/>
            </w:pPr>
            <w:r>
              <w:rPr>
                <w:sz w:val="20"/>
                <w:szCs w:val="20"/>
              </w:rPr>
              <w:t>JR-20251201-01</w:t>
            </w:r>
          </w:p>
        </w:tc>
        <w:tc>
          <w:tcPr>
            <w:tcW w:w="1440" w:type="dxa"/>
          </w:tcPr>
          <w:p>
            <w:pPr>
              <w:spacing w:before="40" w:after="40"/>
            </w:pPr>
            <w:r>
              <w:rPr>
                <w:sz w:val="20"/>
                <w:szCs w:val="20"/>
              </w:rPr>
              <w:t>嘉智无限（重庆）科技</w:t>
            </w:r>
          </w:p>
        </w:tc>
        <w:tc>
          <w:tcPr>
            <w:tcW w:w="1440" w:type="dxa"/>
          </w:tcPr>
          <w:p>
            <w:pPr>
              <w:spacing w:before="40" w:after="40"/>
            </w:pPr>
            <w:r>
              <w:rPr>
                <w:sz w:val="20"/>
                <w:szCs w:val="20"/>
              </w:rPr>
              <w:t>技术合作开发</w:t>
            </w:r>
          </w:p>
        </w:tc>
        <w:tc>
          <w:tcPr>
            <w:tcW w:w="1440" w:type="dxa"/>
          </w:tcPr>
          <w:p>
            <w:pPr>
              <w:spacing w:before="40" w:after="40"/>
            </w:pPr>
            <w:r>
              <w:rPr>
                <w:sz w:val="20"/>
                <w:szCs w:val="20"/>
              </w:rPr>
              <w:t>180,000</w:t>
            </w:r>
          </w:p>
        </w:tc>
        <w:tc>
          <w:tcPr>
            <w:tcW w:w="1440" w:type="dxa"/>
          </w:tcPr>
          <w:p>
            <w:pPr>
              <w:spacing w:before="40" w:after="40"/>
            </w:pPr>
            <w:r>
              <w:rPr>
                <w:sz w:val="20"/>
                <w:szCs w:val="20"/>
              </w:rPr>
              <w:t>100%已收款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pPr>
              <w:spacing w:before="40" w:after="40"/>
            </w:pPr>
            <w:r>
              <w:rPr>
                <w:sz w:val="20"/>
                <w:szCs w:val="20"/>
              </w:rPr>
              <w:t>5</w:t>
            </w:r>
          </w:p>
        </w:tc>
        <w:tc>
          <w:tcPr>
            <w:tcW w:w="1440" w:type="dxa"/>
          </w:tcPr>
          <w:p>
            <w:pPr>
              <w:spacing w:before="40" w:after="40"/>
            </w:pPr>
            <w:r>
              <w:rPr>
                <w:sz w:val="20"/>
                <w:szCs w:val="20"/>
              </w:rPr>
              <w:t>多模态电生理监测系统</w:t>
            </w:r>
          </w:p>
        </w:tc>
        <w:tc>
          <w:tcPr>
            <w:tcW w:w="1440" w:type="dxa"/>
          </w:tcPr>
          <w:p>
            <w:pPr>
              <w:spacing w:before="40" w:after="40"/>
            </w:pPr>
            <w:r>
              <w:rPr>
                <w:sz w:val="20"/>
                <w:szCs w:val="20"/>
              </w:rPr>
              <w:t>东华大学材料科学学院</w:t>
            </w:r>
          </w:p>
        </w:tc>
        <w:tc>
          <w:tcPr>
            <w:tcW w:w="1440" w:type="dxa"/>
          </w:tcPr>
          <w:p>
            <w:pPr>
              <w:spacing w:before="40" w:after="40"/>
            </w:pPr>
            <w:r>
              <w:rPr>
                <w:sz w:val="20"/>
                <w:szCs w:val="20"/>
              </w:rPr>
              <w:t>销售</w:t>
            </w:r>
          </w:p>
        </w:tc>
        <w:tc>
          <w:tcPr>
            <w:tcW w:w="1440" w:type="dxa"/>
          </w:tcPr>
          <w:p>
            <w:pPr>
              <w:spacing w:before="40" w:after="40"/>
            </w:pPr>
            <w:r>
              <w:rPr>
                <w:sz w:val="20"/>
                <w:szCs w:val="20"/>
              </w:rPr>
              <w:t>1,700,000</w:t>
            </w:r>
          </w:p>
        </w:tc>
        <w:tc>
          <w:tcPr>
            <w:tcW w:w="1440" w:type="dxa"/>
          </w:tcPr>
          <w:p>
            <w:pPr>
              <w:spacing w:before="40" w:after="40"/>
            </w:pPr>
            <w:r>
              <w:rPr>
                <w:sz w:val="20"/>
                <w:szCs w:val="20"/>
              </w:rPr>
              <w:t>合同走流程中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pPr>
              <w:spacing w:before="40" w:after="40"/>
            </w:pPr>
            <w:r>
              <w:rPr>
                <w:sz w:val="20"/>
                <w:szCs w:val="20"/>
              </w:rPr>
              <w:t>6</w:t>
            </w:r>
          </w:p>
        </w:tc>
        <w:tc>
          <w:tcPr>
            <w:tcW w:w="1440" w:type="dxa"/>
          </w:tcPr>
          <w:p>
            <w:pPr>
              <w:spacing w:before="40" w:after="40"/>
            </w:pPr>
            <w:r>
              <w:rPr>
                <w:sz w:val="20"/>
                <w:szCs w:val="20"/>
              </w:rPr>
              <w:t>JR-20260115-01</w:t>
            </w:r>
          </w:p>
        </w:tc>
        <w:tc>
          <w:tcPr>
            <w:tcW w:w="1440" w:type="dxa"/>
          </w:tcPr>
          <w:p>
            <w:pPr>
              <w:spacing w:before="40" w:after="40"/>
            </w:pPr>
            <w:r>
              <w:rPr>
                <w:sz w:val="20"/>
                <w:szCs w:val="20"/>
              </w:rPr>
              <w:t>深圳市第二人民医院</w:t>
            </w:r>
          </w:p>
        </w:tc>
        <w:tc>
          <w:tcPr>
            <w:tcW w:w="1440" w:type="dxa"/>
          </w:tcPr>
          <w:p>
            <w:pPr>
              <w:spacing w:before="40" w:after="40"/>
            </w:pPr>
            <w:r>
              <w:rPr>
                <w:sz w:val="20"/>
                <w:szCs w:val="20"/>
              </w:rPr>
              <w:t>销售</w:t>
            </w:r>
          </w:p>
        </w:tc>
        <w:tc>
          <w:tcPr>
            <w:tcW w:w="1440" w:type="dxa"/>
          </w:tcPr>
          <w:p>
            <w:pPr>
              <w:spacing w:before="40" w:after="40"/>
            </w:pPr>
            <w:r>
              <w:rPr>
                <w:sz w:val="20"/>
                <w:szCs w:val="20"/>
              </w:rPr>
              <w:t>14,000</w:t>
            </w:r>
          </w:p>
        </w:tc>
        <w:tc>
          <w:tcPr>
            <w:tcW w:w="1440" w:type="dxa"/>
          </w:tcPr>
          <w:p>
            <w:pPr>
              <w:spacing w:before="40" w:after="40"/>
            </w:pPr>
            <w:r>
              <w:rPr>
                <w:sz w:val="20"/>
                <w:szCs w:val="20"/>
              </w:rPr>
              <w:t>100%预付款</w:t>
            </w:r>
          </w:p>
        </w:tc>
      </w:tr>
    </w:tbl>
    <w:p>
      <w:pPr>
        <w:spacing w:after="60"/>
      </w:pPr>
    </w:p>
    <w:p>
      <w:pPr>
        <w:spacing w:after="100"/>
      </w:pPr>
      <w:r>
        <w:rPr>
          <w:b/>
          <w:bCs/>
        </w:rPr>
        <w:t>分析：</w:t>
      </w:r>
    </w:p>
    <w:p>
      <w:pPr>
        <w:spacing w:after="60"/>
      </w:pPr>
      <w:r>
        <w:t>• 已确认收入约20万元，与财务数据吻合</w:t>
      </w:r>
    </w:p>
    <w:p>
      <w:pPr>
        <w:spacing w:after="60"/>
      </w:pPr>
      <w:r>
        <w:t>• 东华大学170万元为高校科研大额订单，若顺利履约将为公司提供的收入支撑</w:t>
      </w:r>
    </w:p>
    <w:p>
      <w:pPr>
        <w:spacing w:after="60"/>
      </w:pPr>
      <w:r>
        <w:t>• 深圳市二人民医院合同是医院临床合作的重要起点，对未来BCI相关临床验证具有战略意义</w:t>
      </w:r>
    </w:p>
    <w:p>
      <w:pPr>
        <w:spacing w:after="60"/>
      </w:pPr>
      <w:r>
        <w:t>• 客户类型覆盖工业科技公司+高校+医院，多元布局符合三赛道策略</w:t>
      </w:r>
    </w:p>
    <w:p>
      <w:pPr>
        <w:spacing w:before="220" w:after="120"/>
      </w:pPr>
      <w:r>
        <w:rPr>
          <w:b/>
          <w:bCs/>
          <w:color w:val="2E5090"/>
          <w:sz w:val="34"/>
          <w:szCs w:val="34"/>
        </w:rPr>
        <w:t>十、法律与合规风险评估</w:t>
      </w:r>
    </w:p>
    <w:p>
      <w:pPr>
        <w:spacing w:after="100"/>
      </w:pPr>
      <w:r>
        <w:rPr>
          <w:b/>
          <w:bCs/>
          <w:color w:val="2F75B6"/>
          <w:sz w:val="28"/>
          <w:szCs w:val="28"/>
        </w:rPr>
        <w:t xml:space="preserve">10.1 </w:t>
      </w:r>
      <w:r>
        <w:rPr>
          <w:rFonts w:hint="eastAsia"/>
          <w:b/>
          <w:bCs/>
          <w:color w:val="2F75B6"/>
          <w:sz w:val="28"/>
          <w:szCs w:val="28"/>
          <w:lang w:val="en-US" w:eastAsia="zh-Hans"/>
        </w:rPr>
        <w:t>关联方XX</w:t>
      </w:r>
    </w:p>
    <w:p>
      <w:pPr>
        <w:spacing w:before="220" w:after="120"/>
      </w:pPr>
      <w:r>
        <w:rPr>
          <w:b/>
          <w:bCs/>
          <w:color w:val="2E5090"/>
          <w:sz w:val="34"/>
          <w:szCs w:val="34"/>
        </w:rPr>
        <w:t>十二、投资逻辑与估值分析</w:t>
      </w:r>
    </w:p>
    <w:p>
      <w:pPr>
        <w:spacing w:before="160" w:after="80"/>
      </w:pPr>
      <w:r>
        <w:rPr>
          <w:b/>
          <w:bCs/>
          <w:color w:val="2F75B6"/>
          <w:sz w:val="28"/>
          <w:szCs w:val="28"/>
        </w:rPr>
        <w:t>12.1 投资逻辑</w:t>
      </w:r>
    </w:p>
    <w:p>
      <w:pPr>
        <w:spacing w:after="100"/>
      </w:pPr>
      <w:r>
        <w:rPr>
          <w:b/>
          <w:bCs/>
        </w:rPr>
        <w:t>（1）全球最顶级学术背书：中国BCI材料领域《Nature》正刊第一篇，开创性工作</w:t>
      </w:r>
    </w:p>
    <w:p>
      <w:pPr>
        <w:spacing w:after="100"/>
      </w:pPr>
      <w:r>
        <w:t>2025年9月，刘志远作为共同通讯作者，在《Nature》杂志（IF&gt;60）发表了划时代研究成果"NeuroWorm"——一种可移动植入软微纤维多模态神经电极平台。这是</w:t>
      </w:r>
      <w:r>
        <w:rPr>
          <w:b/>
          <w:bCs/>
        </w:rPr>
        <w:t>中国团队在BCI植入式神经电极材料领域发表的第一篇《Nature》正刊论文</w:t>
      </w:r>
      <w:r>
        <w:t>，也是该细分技术方向的全球开创性成果。</w:t>
      </w:r>
    </w:p>
    <w:p>
      <w:pPr>
        <w:spacing w:after="100"/>
      </w:pPr>
      <w:r>
        <w:t>NeuroWorm的三大技术突破已在第三章详述，核心价值在于：</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b/>
                <w:bCs/>
                <w:sz w:val="20"/>
                <w:szCs w:val="20"/>
              </w:rPr>
              <w:t>技术突破</w:t>
            </w:r>
          </w:p>
        </w:tc>
        <w:tc>
          <w:tcPr>
            <w:tcW w:w="4320" w:type="dxa"/>
          </w:tcPr>
          <w:p>
            <w:pPr>
              <w:spacing w:before="40" w:after="40"/>
            </w:pPr>
            <w:r>
              <w:rPr>
                <w:b/>
                <w:bCs/>
                <w:sz w:val="20"/>
                <w:szCs w:val="20"/>
              </w:rPr>
              <w:t>行业意义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植入后可通过磁场移动定位</w:t>
            </w:r>
          </w:p>
        </w:tc>
        <w:tc>
          <w:tcPr>
            <w:tcW w:w="4320" w:type="dxa"/>
          </w:tcPr>
          <w:p>
            <w:pPr>
              <w:spacing w:before="40" w:after="40"/>
            </w:pPr>
            <w:r>
              <w:rPr>
                <w:sz w:val="20"/>
                <w:szCs w:val="20"/>
              </w:rPr>
              <w:t>全球首例，颠覆"电极植入后不可调整"数十年传统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43周以上稳定工作</w:t>
            </w:r>
          </w:p>
        </w:tc>
        <w:tc>
          <w:tcPr>
            <w:tcW w:w="4320" w:type="dxa"/>
          </w:tcPr>
          <w:p>
            <w:pPr>
              <w:spacing w:before="40" w:after="40"/>
            </w:pPr>
            <w:r>
              <w:rPr>
                <w:sz w:val="20"/>
                <w:szCs w:val="20"/>
              </w:rPr>
              <w:t>超越行业平均3-12个月稳定期，解决BCI长期植入核心瓶颈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60+通道多模态采集</w:t>
            </w:r>
          </w:p>
        </w:tc>
        <w:tc>
          <w:tcPr>
            <w:tcW w:w="4320" w:type="dxa"/>
          </w:tcPr>
          <w:p>
            <w:pPr>
              <w:spacing w:before="40" w:after="40"/>
            </w:pPr>
            <w:r>
              <w:rPr>
                <w:sz w:val="20"/>
                <w:szCs w:val="20"/>
              </w:rPr>
              <w:t>兼具ECoG/LFP/EMG/应变，多信号融合行业领先</w:t>
            </w:r>
          </w:p>
        </w:tc>
      </w:tr>
    </w:tbl>
    <w:p>
      <w:pPr>
        <w:spacing w:after="60"/>
      </w:pPr>
    </w:p>
    <w:p>
      <w:pPr>
        <w:spacing w:after="100"/>
      </w:pPr>
      <w:r>
        <w:t>这将公司的技术格局从"国内领先的柔性触觉传感器公司"升维为"</w:t>
      </w:r>
      <w:r>
        <w:rPr>
          <w:b/>
          <w:bCs/>
        </w:rPr>
        <w:t>全球BCI材料创新高地的成果转化主体</w:t>
      </w:r>
      <w:r>
        <w:t>"，投资意义截然不同。</w:t>
      </w:r>
    </w:p>
    <w:p>
      <w:pPr>
        <w:spacing w:after="100"/>
      </w:pPr>
      <w:r>
        <w:rPr>
          <w:b/>
          <w:bCs/>
        </w:rPr>
        <w:t>（2）BCI是本十年最确定性的医疗科技战略主赛道</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b/>
                <w:bCs/>
                <w:sz w:val="20"/>
                <w:szCs w:val="20"/>
              </w:rPr>
              <w:t>驱动力</w:t>
            </w:r>
          </w:p>
        </w:tc>
        <w:tc>
          <w:tcPr>
            <w:tcW w:w="4320" w:type="dxa"/>
          </w:tcPr>
          <w:p>
            <w:pPr>
              <w:spacing w:before="40" w:after="40"/>
            </w:pPr>
            <w:r>
              <w:rPr>
                <w:b/>
                <w:bCs/>
                <w:sz w:val="20"/>
                <w:szCs w:val="20"/>
              </w:rPr>
              <w:t>具体表现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需求侧</w:t>
            </w:r>
          </w:p>
        </w:tc>
        <w:tc>
          <w:tcPr>
            <w:tcW w:w="4320" w:type="dxa"/>
          </w:tcPr>
          <w:p>
            <w:pPr>
              <w:spacing w:before="40" w:after="40"/>
            </w:pPr>
            <w:r>
              <w:rPr>
                <w:sz w:val="20"/>
                <w:szCs w:val="20"/>
              </w:rPr>
              <w:t>ALS/脊髓损伤/帕金森等神经疾病患者群体庞大，现有治疗手段有限，BCI是少数有望带来根本性改变的技术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政策侧</w:t>
            </w:r>
          </w:p>
        </w:tc>
        <w:tc>
          <w:tcPr>
            <w:tcW w:w="4320" w:type="dxa"/>
          </w:tcPr>
          <w:p>
            <w:pPr>
              <w:spacing w:before="40" w:after="40"/>
            </w:pPr>
            <w:r>
              <w:rPr>
                <w:sz w:val="20"/>
                <w:szCs w:val="20"/>
              </w:rPr>
              <w:t>中国脑计划第二期（2026-2030），美国BRAIN Initiative持续资助，FDA已建立BCI专项审批绿色通道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产业侧</w:t>
            </w:r>
          </w:p>
        </w:tc>
        <w:tc>
          <w:tcPr>
            <w:tcW w:w="4320" w:type="dxa"/>
          </w:tcPr>
          <w:p>
            <w:pPr>
              <w:spacing w:before="40" w:after="40"/>
            </w:pPr>
            <w:r>
              <w:rPr>
                <w:sz w:val="20"/>
                <w:szCs w:val="20"/>
              </w:rPr>
              <w:t>Neuralink 2024年完成人体首次商业植入，Synchron批准临床，BCI商业化时代正式开启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市场侧</w:t>
            </w:r>
          </w:p>
        </w:tc>
        <w:tc>
          <w:tcPr>
            <w:tcW w:w="4320" w:type="dxa"/>
          </w:tcPr>
          <w:p>
            <w:pPr>
              <w:spacing w:before="40" w:after="40"/>
            </w:pPr>
            <w:r>
              <w:rPr>
                <w:sz w:val="20"/>
                <w:szCs w:val="20"/>
              </w:rPr>
              <w:t>美国BCI单一市场2034年达271.63亿美元，全球市场复合增速约15-18%</w:t>
            </w:r>
          </w:p>
        </w:tc>
      </w:tr>
    </w:tbl>
    <w:p>
      <w:pPr>
        <w:spacing w:after="60"/>
      </w:pPr>
    </w:p>
    <w:p>
      <w:pPr>
        <w:spacing w:after="100"/>
      </w:pPr>
      <w:r>
        <w:t>君柔科技所处的"可植入柔性神经电极"细分方向，是整个BCI产业链中</w:t>
      </w:r>
      <w:r>
        <w:rPr>
          <w:b/>
          <w:bCs/>
        </w:rPr>
        <w:t>技术壁垒最高、附加值最大</w:t>
      </w:r>
      <w:r>
        <w:t>的环节，也是当前被Neuralink、Synchron等顶级机构最为重视但尚未解决"长期生物相容性+可移动性"双重问题的环节。</w:t>
      </w:r>
    </w:p>
    <w:p>
      <w:pPr>
        <w:spacing w:after="100"/>
      </w:pPr>
      <w:r>
        <w:rPr>
          <w:b/>
          <w:bCs/>
        </w:rPr>
        <w:t>（3）专利壁垒与学术护城河协同，形成</w:t>
      </w:r>
      <w:r>
        <w:rPr>
          <w:rFonts w:hint="eastAsia"/>
          <w:b/>
          <w:bCs/>
        </w:rPr>
        <w:t>3-5</w:t>
      </w:r>
      <w:r>
        <w:rPr>
          <w:b/>
          <w:bCs/>
        </w:rPr>
        <w:t>年领先窗口</w:t>
      </w:r>
    </w:p>
    <w:p>
      <w:pPr>
        <w:spacing w:after="100"/>
      </w:pPr>
      <w:r>
        <w:t>公司</w:t>
      </w:r>
      <w:r>
        <w:rPr>
          <w:rFonts w:hint="eastAsia"/>
          <w:lang w:val="en-US" w:eastAsia="zh-Hans"/>
        </w:rPr>
        <w:t>将会购买</w:t>
      </w:r>
      <w:r>
        <w:t>4项中科院</w:t>
      </w:r>
      <w:r>
        <w:rPr>
          <w:rFonts w:hint="eastAsia"/>
          <w:lang w:val="en-US" w:eastAsia="zh-Hans"/>
        </w:rPr>
        <w:t>专利</w:t>
      </w:r>
      <w:r>
        <w:t xml:space="preserve"> + 课题组</w:t>
      </w:r>
      <w:r>
        <w:rPr>
          <w:rFonts w:hint="eastAsia"/>
          <w:lang w:val="en-US" w:eastAsia="zh-Hans"/>
        </w:rPr>
        <w:t>持续研发下一代脑机接口范式</w:t>
      </w:r>
      <w:r>
        <w:t>，形成从"底层材料制备→多通道电极集成→可移动BCI系统"的完整专利梯队。加之Nature正刊发表形成的学术先发优势，复制此技术路线所需的知识积累周期</w:t>
      </w:r>
      <w:r>
        <w:rPr>
          <w:b/>
          <w:bCs/>
        </w:rPr>
        <w:t>不低于</w:t>
      </w:r>
      <w:r>
        <w:rPr>
          <w:rFonts w:hint="eastAsia"/>
          <w:b/>
          <w:bCs/>
        </w:rPr>
        <w:t>3-5</w:t>
      </w:r>
      <w:r>
        <w:rPr>
          <w:b/>
          <w:bCs/>
        </w:rPr>
        <w:t>年</w:t>
      </w:r>
      <w:r>
        <w:t>。</w:t>
      </w:r>
    </w:p>
    <w:p>
      <w:pPr>
        <w:spacing w:after="100"/>
      </w:pPr>
      <w:r>
        <w:rPr>
          <w:b/>
          <w:bCs/>
        </w:rPr>
        <w:t>（4）近中远三层商业架构——降低BCI变现依赖，提供稳健回报路径</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b/>
                <w:bCs/>
                <w:sz w:val="20"/>
                <w:szCs w:val="20"/>
              </w:rPr>
              <w:t>阶段</w:t>
            </w:r>
          </w:p>
        </w:tc>
        <w:tc>
          <w:tcPr>
            <w:tcW w:w="2160" w:type="dxa"/>
          </w:tcPr>
          <w:p>
            <w:pPr>
              <w:spacing w:before="40" w:after="40"/>
            </w:pPr>
            <w:r>
              <w:rPr>
                <w:b/>
                <w:bCs/>
                <w:sz w:val="20"/>
                <w:szCs w:val="20"/>
              </w:rPr>
              <w:t>时间</w:t>
            </w:r>
          </w:p>
        </w:tc>
        <w:tc>
          <w:tcPr>
            <w:tcW w:w="2160" w:type="dxa"/>
          </w:tcPr>
          <w:p>
            <w:pPr>
              <w:spacing w:before="40" w:after="40"/>
            </w:pPr>
            <w:r>
              <w:rPr>
                <w:b/>
                <w:bCs/>
                <w:sz w:val="20"/>
                <w:szCs w:val="20"/>
              </w:rPr>
              <w:t>主营赛道</w:t>
            </w:r>
          </w:p>
        </w:tc>
        <w:tc>
          <w:tcPr>
            <w:tcW w:w="2160" w:type="dxa"/>
          </w:tcPr>
          <w:p>
            <w:pPr>
              <w:spacing w:before="40" w:after="40"/>
            </w:pPr>
            <w:r>
              <w:rPr>
                <w:b/>
                <w:bCs/>
                <w:sz w:val="20"/>
                <w:szCs w:val="20"/>
              </w:rPr>
              <w:t>商业逻辑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近期</w:t>
            </w:r>
          </w:p>
        </w:tc>
        <w:tc>
          <w:tcPr>
            <w:tcW w:w="2160" w:type="dxa"/>
          </w:tcPr>
          <w:p>
            <w:pPr>
              <w:spacing w:before="40" w:after="40"/>
            </w:pPr>
            <w:r>
              <w:rPr>
                <w:sz w:val="20"/>
                <w:szCs w:val="20"/>
              </w:rPr>
              <w:t>2025-2027年</w:t>
            </w:r>
          </w:p>
        </w:tc>
        <w:tc>
          <w:tcPr>
            <w:tcW w:w="2160" w:type="dxa"/>
          </w:tcPr>
          <w:p>
            <w:pPr>
              <w:spacing w:before="40" w:after="40"/>
            </w:pPr>
            <w:r>
              <w:rPr>
                <w:rFonts w:hint="eastAsia"/>
                <w:sz w:val="20"/>
                <w:szCs w:val="20"/>
                <w:lang w:val="en-US" w:eastAsia="zh-Hans"/>
              </w:rPr>
              <w:t>医疗</w:t>
            </w:r>
            <w:r>
              <w:rPr>
                <w:rFonts w:hint="default"/>
                <w:sz w:val="20"/>
                <w:szCs w:val="20"/>
                <w:lang w:eastAsia="zh-Hans"/>
              </w:rPr>
              <w:t>/</w:t>
            </w:r>
            <w:r>
              <w:rPr>
                <w:rFonts w:hint="eastAsia"/>
                <w:sz w:val="20"/>
                <w:szCs w:val="20"/>
                <w:lang w:val="en-US" w:eastAsia="zh-Hans"/>
              </w:rPr>
              <w:t>消费电子</w:t>
            </w:r>
          </w:p>
        </w:tc>
        <w:tc>
          <w:tcPr>
            <w:tcW w:w="2160" w:type="dxa"/>
          </w:tcPr>
          <w:p>
            <w:pPr>
              <w:spacing w:before="40" w:after="40"/>
            </w:pPr>
            <w:r>
              <w:rPr>
                <w:sz w:val="20"/>
                <w:szCs w:val="20"/>
              </w:rPr>
              <w:t>营收快速形成，验证产品化能力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中期</w:t>
            </w:r>
          </w:p>
        </w:tc>
        <w:tc>
          <w:tcPr>
            <w:tcW w:w="2160" w:type="dxa"/>
          </w:tcPr>
          <w:p>
            <w:pPr>
              <w:spacing w:before="40" w:after="40"/>
            </w:pPr>
            <w:r>
              <w:rPr>
                <w:sz w:val="20"/>
                <w:szCs w:val="20"/>
              </w:rPr>
              <w:t>2026-2028年</w:t>
            </w:r>
          </w:p>
        </w:tc>
        <w:tc>
          <w:tcPr>
            <w:tcW w:w="2160" w:type="dxa"/>
          </w:tcPr>
          <w:p>
            <w:pPr>
              <w:spacing w:before="40" w:after="40"/>
            </w:pPr>
            <w:r>
              <w:rPr>
                <w:sz w:val="20"/>
                <w:szCs w:val="20"/>
              </w:rPr>
              <w:t>科研院所</w:t>
            </w:r>
            <w:r>
              <w:rPr>
                <w:rFonts w:hint="eastAsia"/>
                <w:sz w:val="20"/>
                <w:szCs w:val="20"/>
                <w:lang w:val="en-US" w:eastAsia="zh-Hans"/>
              </w:rPr>
              <w:t>高端</w:t>
            </w:r>
            <w:r>
              <w:rPr>
                <w:sz w:val="20"/>
                <w:szCs w:val="20"/>
              </w:rPr>
              <w:t>神经电极仪器</w:t>
            </w:r>
          </w:p>
        </w:tc>
        <w:tc>
          <w:tcPr>
            <w:tcW w:w="2160" w:type="dxa"/>
          </w:tcPr>
          <w:p>
            <w:pPr>
              <w:spacing w:before="40" w:after="40"/>
            </w:pPr>
            <w:r>
              <w:rPr>
                <w:sz w:val="20"/>
                <w:szCs w:val="20"/>
              </w:rPr>
              <w:t>提升单客户价值，进入医疗器械注册通道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长期</w:t>
            </w:r>
          </w:p>
        </w:tc>
        <w:tc>
          <w:tcPr>
            <w:tcW w:w="2160" w:type="dxa"/>
          </w:tcPr>
          <w:p>
            <w:pPr>
              <w:spacing w:before="40" w:after="40"/>
            </w:pPr>
            <w:r>
              <w:rPr>
                <w:sz w:val="20"/>
                <w:szCs w:val="20"/>
              </w:rPr>
              <w:t>2027年后</w:t>
            </w:r>
          </w:p>
        </w:tc>
        <w:tc>
          <w:tcPr>
            <w:tcW w:w="2160" w:type="dxa"/>
          </w:tcPr>
          <w:p>
            <w:pPr>
              <w:spacing w:before="40" w:after="40"/>
            </w:pPr>
            <w:r>
              <w:rPr>
                <w:sz w:val="20"/>
                <w:szCs w:val="20"/>
              </w:rPr>
              <w:t>BCI植入式神经电极（临床）</w:t>
            </w:r>
          </w:p>
        </w:tc>
        <w:tc>
          <w:tcPr>
            <w:tcW w:w="2160" w:type="dxa"/>
          </w:tcPr>
          <w:p>
            <w:pPr>
              <w:spacing w:before="40" w:after="40"/>
            </w:pPr>
            <w:r>
              <w:rPr>
                <w:sz w:val="20"/>
                <w:szCs w:val="20"/>
              </w:rPr>
              <w:t>跳跃式估值提升，高单价（30-80万元/套）医疗设备市场</w:t>
            </w:r>
          </w:p>
        </w:tc>
      </w:tr>
    </w:tbl>
    <w:p>
      <w:pPr>
        <w:spacing w:after="60"/>
      </w:pPr>
    </w:p>
    <w:p>
      <w:pPr>
        <w:spacing w:after="100"/>
      </w:pPr>
      <w:r>
        <w:t>这一架构意味着：即便BCI商业化进程有所延迟，</w:t>
      </w:r>
      <w:r>
        <w:rPr>
          <w:rFonts w:hint="eastAsia"/>
          <w:lang w:val="en-US" w:eastAsia="zh-Hans"/>
        </w:rPr>
        <w:t>医疗</w:t>
      </w:r>
      <w:r>
        <w:t>/</w:t>
      </w:r>
      <w:r>
        <w:rPr>
          <w:rFonts w:hint="eastAsia"/>
          <w:lang w:val="en-US" w:eastAsia="zh-Hans"/>
        </w:rPr>
        <w:t>消费电子</w:t>
      </w:r>
      <w:r>
        <w:t>赛道也能支撑公司在A轮、B轮前持续形成营收，维持合理的融资估值节奏。</w:t>
      </w:r>
    </w:p>
    <w:p>
      <w:pPr>
        <w:spacing w:after="100"/>
      </w:pPr>
      <w:r>
        <w:rPr>
          <w:b/>
          <w:bCs/>
        </w:rPr>
        <w:t>（5）顶级资源生态：中科院+深圳理工+政府引导基金三重加持</w:t>
      </w:r>
    </w:p>
    <w:p>
      <w:pPr>
        <w:spacing w:after="60"/>
      </w:pPr>
      <w:r>
        <w:t>• 中科院深圳先进院：提供年千万级研发资源支撑（含NeuroWorm实验室体系）</w:t>
      </w:r>
    </w:p>
    <w:p>
      <w:pPr>
        <w:spacing w:after="60"/>
      </w:pPr>
      <w:r>
        <w:t>• 深圳理工大学人工智能学院：持续提供高质量研究生人才</w:t>
      </w:r>
    </w:p>
    <w:p>
      <w:pPr>
        <w:spacing w:after="60"/>
      </w:pPr>
      <w:r>
        <w:t>• 南山战新投：政府引导基金背书，后续大型科创基金对接的信用背书</w:t>
      </w:r>
    </w:p>
    <w:p>
      <w:pPr>
        <w:spacing w:after="60"/>
      </w:pPr>
      <w:r>
        <w:t>• 成都丹旸慧创脑科技：BCI行业内的战略投资人</w:t>
      </w:r>
    </w:p>
    <w:p>
      <w:pPr>
        <w:spacing w:before="160" w:after="80"/>
      </w:pPr>
      <w:r>
        <w:rPr>
          <w:b/>
          <w:bCs/>
          <w:color w:val="2F75B6"/>
          <w:sz w:val="28"/>
          <w:szCs w:val="28"/>
        </w:rPr>
        <w:t>12.2 估值合理性分析</w:t>
      </w:r>
    </w:p>
    <w:p>
      <w:pPr>
        <w:spacing w:after="100"/>
      </w:pPr>
      <w:r>
        <w:rPr>
          <w:b/>
          <w:bCs/>
        </w:rPr>
        <w:t>本次估值：投前2.7亿元人民币</w:t>
      </w:r>
    </w:p>
    <w:p>
      <w:pPr>
        <w:spacing w:after="100"/>
      </w:pPr>
      <w:r>
        <w:t>对于一家成立仅约11个月的初创公司，2.7亿元估值在纯财务指标（PS/PE）体系下，对于深科技赛道的顶尖学术成果转化公司，市场通行做法是基于</w:t>
      </w:r>
      <w:r>
        <w:rPr>
          <w:b/>
          <w:bCs/>
        </w:rPr>
        <w:t>技术资产价值+团队稀缺性+赛道成长溢价</w:t>
      </w:r>
      <w:r>
        <w:t>综合定价：</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b/>
                <w:bCs/>
                <w:sz w:val="20"/>
                <w:szCs w:val="20"/>
              </w:rPr>
              <w:t>并购/融资参考</w:t>
            </w:r>
          </w:p>
        </w:tc>
        <w:tc>
          <w:tcPr>
            <w:tcW w:w="2880" w:type="dxa"/>
          </w:tcPr>
          <w:p>
            <w:pPr>
              <w:spacing w:before="40" w:after="40"/>
            </w:pPr>
            <w:r>
              <w:rPr>
                <w:b/>
                <w:bCs/>
                <w:sz w:val="20"/>
                <w:szCs w:val="20"/>
              </w:rPr>
              <w:t>类比标的</w:t>
            </w:r>
          </w:p>
        </w:tc>
        <w:tc>
          <w:tcPr>
            <w:tcW w:w="2880" w:type="dxa"/>
          </w:tcPr>
          <w:p>
            <w:pPr>
              <w:spacing w:before="40" w:after="40"/>
            </w:pPr>
            <w:r>
              <w:rPr>
                <w:b/>
                <w:bCs/>
                <w:sz w:val="20"/>
                <w:szCs w:val="20"/>
              </w:rPr>
              <w:t>估值区间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国内顶尖学者BCI方向创业</w:t>
            </w:r>
          </w:p>
        </w:tc>
        <w:tc>
          <w:tcPr>
            <w:tcW w:w="2880" w:type="dxa"/>
          </w:tcPr>
          <w:p>
            <w:pPr>
              <w:spacing w:before="40" w:after="40"/>
            </w:pPr>
            <w:r>
              <w:rPr>
                <w:sz w:val="20"/>
                <w:szCs w:val="20"/>
              </w:rPr>
              <w:t>清华大学BCI团队、上海交大神经工程团队创业公司</w:t>
            </w:r>
          </w:p>
        </w:tc>
        <w:tc>
          <w:tcPr>
            <w:tcW w:w="2880" w:type="dxa"/>
          </w:tcPr>
          <w:p>
            <w:pPr>
              <w:spacing w:before="40" w:after="40"/>
            </w:pPr>
            <w:r>
              <w:rPr>
                <w:sz w:val="20"/>
                <w:szCs w:val="20"/>
              </w:rPr>
              <w:t>2-5亿元（天使/Pre-A）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海外BCI材料技术公司（相近阶段）</w:t>
            </w:r>
          </w:p>
        </w:tc>
        <w:tc>
          <w:tcPr>
            <w:tcW w:w="2880" w:type="dxa"/>
          </w:tcPr>
          <w:p>
            <w:pPr>
              <w:spacing w:before="40" w:after="40"/>
            </w:pPr>
            <w:r>
              <w:rPr>
                <w:sz w:val="20"/>
                <w:szCs w:val="20"/>
              </w:rPr>
              <w:t>Paradromics、Precision Neuroscience早期估值</w:t>
            </w:r>
          </w:p>
        </w:tc>
        <w:tc>
          <w:tcPr>
            <w:tcW w:w="2880" w:type="dxa"/>
          </w:tcPr>
          <w:p>
            <w:pPr>
              <w:spacing w:before="40" w:after="40"/>
            </w:pPr>
            <w:r>
              <w:rPr>
                <w:sz w:val="20"/>
                <w:szCs w:val="20"/>
              </w:rPr>
              <w:t>$1,500-4,000万美元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Nature正刊BCI成果转化溢价</w:t>
            </w:r>
          </w:p>
        </w:tc>
        <w:tc>
          <w:tcPr>
            <w:tcW w:w="2880" w:type="dxa"/>
          </w:tcPr>
          <w:p>
            <w:pPr>
              <w:spacing w:before="40" w:after="40"/>
            </w:pPr>
            <w:r>
              <w:rPr>
                <w:sz w:val="20"/>
                <w:szCs w:val="20"/>
              </w:rPr>
              <w:t>技术稀缺性额外溢价</w:t>
            </w:r>
          </w:p>
        </w:tc>
        <w:tc>
          <w:tcPr>
            <w:tcW w:w="2880" w:type="dxa"/>
          </w:tcPr>
          <w:p>
            <w:pPr>
              <w:spacing w:before="40" w:after="40"/>
            </w:pPr>
            <w:r>
              <w:rPr>
                <w:sz w:val="20"/>
                <w:szCs w:val="20"/>
              </w:rPr>
              <w:t>100-200%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pPr>
              <w:spacing w:before="40" w:after="40"/>
            </w:pPr>
            <w:r>
              <w:rPr>
                <w:sz w:val="20"/>
                <w:szCs w:val="20"/>
              </w:rPr>
              <w:t>政府引导基金加持类同期项目</w:t>
            </w:r>
          </w:p>
        </w:tc>
        <w:tc>
          <w:tcPr>
            <w:tcW w:w="2880" w:type="dxa"/>
          </w:tcPr>
          <w:p>
            <w:pPr>
              <w:spacing w:before="40" w:after="40"/>
            </w:pPr>
            <w:r>
              <w:rPr>
                <w:sz w:val="20"/>
                <w:szCs w:val="20"/>
              </w:rPr>
              <w:t>深圳/上海</w:t>
            </w:r>
            <w:r>
              <w:rPr>
                <w:rFonts w:hint="eastAsia"/>
                <w:sz w:val="20"/>
                <w:szCs w:val="20"/>
              </w:rPr>
              <w:t>战</w:t>
            </w:r>
            <w:r>
              <w:rPr>
                <w:sz w:val="20"/>
                <w:szCs w:val="20"/>
              </w:rPr>
              <w:t>投背书类似项目</w:t>
            </w:r>
          </w:p>
        </w:tc>
        <w:tc>
          <w:tcPr>
            <w:tcW w:w="2880" w:type="dxa"/>
          </w:tcPr>
          <w:p>
            <w:pPr>
              <w:spacing w:before="40" w:after="40"/>
            </w:pPr>
            <w:r>
              <w:rPr>
                <w:sz w:val="20"/>
                <w:szCs w:val="20"/>
              </w:rPr>
              <w:t>1.5-3倍于纯市场估值</w:t>
            </w:r>
          </w:p>
        </w:tc>
      </w:tr>
    </w:tbl>
    <w:p>
      <w:pPr>
        <w:spacing w:after="60"/>
      </w:pPr>
    </w:p>
    <w:p>
      <w:pPr>
        <w:spacing w:after="100"/>
      </w:pPr>
      <w:r>
        <w:rPr>
          <w:b/>
          <w:bCs/>
        </w:rPr>
        <w:t>综合评述：</w:t>
      </w:r>
      <w:r>
        <w:t xml:space="preserve"> 2.7亿元估值在"BCI材料领域全球顶尖成果转化"的定价框架下属合理。</w:t>
      </w:r>
    </w:p>
    <w:p>
      <w:pPr>
        <w:spacing w:after="100"/>
      </w:pPr>
      <w:r>
        <w:rPr>
          <w:b/>
          <w:bCs/>
        </w:rPr>
        <w:t>投资回报预测：</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b/>
                <w:bCs/>
                <w:sz w:val="20"/>
                <w:szCs w:val="20"/>
              </w:rPr>
              <w:t>阶段</w:t>
            </w:r>
          </w:p>
        </w:tc>
        <w:tc>
          <w:tcPr>
            <w:tcW w:w="2160" w:type="dxa"/>
          </w:tcPr>
          <w:p>
            <w:pPr>
              <w:spacing w:before="40" w:after="40"/>
            </w:pPr>
            <w:r>
              <w:rPr>
                <w:b/>
                <w:bCs/>
                <w:sz w:val="20"/>
                <w:szCs w:val="20"/>
              </w:rPr>
              <w:t>预计时间</w:t>
            </w:r>
          </w:p>
        </w:tc>
        <w:tc>
          <w:tcPr>
            <w:tcW w:w="2160" w:type="dxa"/>
          </w:tcPr>
          <w:p>
            <w:pPr>
              <w:spacing w:before="40" w:after="40"/>
            </w:pPr>
            <w:r>
              <w:rPr>
                <w:b/>
                <w:bCs/>
                <w:sz w:val="20"/>
                <w:szCs w:val="20"/>
              </w:rPr>
              <w:t>预测估值</w:t>
            </w:r>
          </w:p>
        </w:tc>
        <w:tc>
          <w:tcPr>
            <w:tcW w:w="2160" w:type="dxa"/>
          </w:tcPr>
          <w:p>
            <w:pPr>
              <w:spacing w:before="40" w:after="40"/>
            </w:pPr>
            <w:r>
              <w:rPr>
                <w:b/>
                <w:bCs/>
                <w:sz w:val="20"/>
                <w:szCs w:val="20"/>
              </w:rPr>
              <w:t>对应本次投资回报倍数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A轮</w:t>
            </w:r>
          </w:p>
        </w:tc>
        <w:tc>
          <w:tcPr>
            <w:tcW w:w="2160" w:type="dxa"/>
          </w:tcPr>
          <w:p>
            <w:pPr>
              <w:spacing w:before="40" w:after="40"/>
            </w:pPr>
            <w:r>
              <w:rPr>
                <w:sz w:val="20"/>
                <w:szCs w:val="20"/>
              </w:rPr>
              <w:t>2027年Q2</w:t>
            </w:r>
          </w:p>
        </w:tc>
        <w:tc>
          <w:tcPr>
            <w:tcW w:w="2160" w:type="dxa"/>
          </w:tcPr>
          <w:p>
            <w:pPr>
              <w:spacing w:before="40" w:after="40"/>
            </w:pPr>
            <w:r>
              <w:rPr>
                <w:sz w:val="20"/>
                <w:szCs w:val="20"/>
              </w:rPr>
              <w:t>8-15亿元</w:t>
            </w:r>
          </w:p>
        </w:tc>
        <w:tc>
          <w:tcPr>
            <w:tcW w:w="2160" w:type="dxa"/>
          </w:tcPr>
          <w:p>
            <w:pPr>
              <w:spacing w:before="40" w:after="40"/>
            </w:pPr>
            <w:r>
              <w:rPr>
                <w:sz w:val="20"/>
                <w:szCs w:val="20"/>
              </w:rPr>
              <w:t>2.5-5倍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B轮</w:t>
            </w:r>
          </w:p>
        </w:tc>
        <w:tc>
          <w:tcPr>
            <w:tcW w:w="2160" w:type="dxa"/>
          </w:tcPr>
          <w:p>
            <w:pPr>
              <w:spacing w:before="40" w:after="40"/>
            </w:pPr>
            <w:r>
              <w:rPr>
                <w:sz w:val="20"/>
                <w:szCs w:val="20"/>
              </w:rPr>
              <w:t>2028-2029年</w:t>
            </w:r>
          </w:p>
        </w:tc>
        <w:tc>
          <w:tcPr>
            <w:tcW w:w="2160" w:type="dxa"/>
          </w:tcPr>
          <w:p>
            <w:pPr>
              <w:spacing w:before="40" w:after="40"/>
            </w:pPr>
            <w:r>
              <w:rPr>
                <w:sz w:val="20"/>
                <w:szCs w:val="20"/>
              </w:rPr>
              <w:t>30-60亿元</w:t>
            </w:r>
          </w:p>
        </w:tc>
        <w:tc>
          <w:tcPr>
            <w:tcW w:w="2160" w:type="dxa"/>
          </w:tcPr>
          <w:p>
            <w:pPr>
              <w:spacing w:before="40" w:after="40"/>
            </w:pPr>
            <w:r>
              <w:rPr>
                <w:sz w:val="20"/>
                <w:szCs w:val="20"/>
              </w:rPr>
              <w:t>10-20倍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pPr>
              <w:spacing w:before="40" w:after="40"/>
            </w:pPr>
            <w:r>
              <w:rPr>
                <w:sz w:val="20"/>
                <w:szCs w:val="20"/>
              </w:rPr>
              <w:t>战略级BCI产品商业化</w:t>
            </w:r>
          </w:p>
        </w:tc>
        <w:tc>
          <w:tcPr>
            <w:tcW w:w="2160" w:type="dxa"/>
          </w:tcPr>
          <w:p>
            <w:pPr>
              <w:spacing w:before="40" w:after="40"/>
            </w:pPr>
            <w:r>
              <w:rPr>
                <w:sz w:val="20"/>
                <w:szCs w:val="20"/>
              </w:rPr>
              <w:t>2029-2030年</w:t>
            </w:r>
          </w:p>
        </w:tc>
        <w:tc>
          <w:tcPr>
            <w:tcW w:w="2160" w:type="dxa"/>
          </w:tcPr>
          <w:p>
            <w:pPr>
              <w:spacing w:before="40" w:after="40"/>
            </w:pPr>
            <w:r>
              <w:rPr>
                <w:sz w:val="20"/>
                <w:szCs w:val="20"/>
              </w:rPr>
              <w:t>百亿元级</w:t>
            </w:r>
          </w:p>
        </w:tc>
        <w:tc>
          <w:tcPr>
            <w:tcW w:w="2160" w:type="dxa"/>
          </w:tcPr>
          <w:p>
            <w:pPr>
              <w:spacing w:before="40" w:after="40"/>
            </w:pPr>
            <w:r>
              <w:rPr>
                <w:sz w:val="20"/>
                <w:szCs w:val="20"/>
              </w:rPr>
              <w:t>30倍+</w:t>
            </w:r>
          </w:p>
        </w:tc>
      </w:tr>
    </w:tbl>
    <w:p>
      <w:pPr>
        <w:spacing w:after="60"/>
      </w:pPr>
    </w:p>
    <w:p>
      <w:pPr>
        <w:spacing w:before="220" w:after="120"/>
      </w:pPr>
      <w:r>
        <w:rPr>
          <w:b/>
          <w:bCs/>
          <w:color w:val="2E5090"/>
          <w:sz w:val="34"/>
          <w:szCs w:val="34"/>
        </w:rPr>
        <w:t>十三、风险提示与管理建议</w:t>
      </w:r>
    </w:p>
    <w:p>
      <w:pPr>
        <w:spacing w:before="160" w:after="80"/>
        <w:rPr>
          <w:b/>
          <w:bCs/>
          <w:color w:val="2F75B6"/>
          <w:sz w:val="28"/>
          <w:szCs w:val="28"/>
        </w:rPr>
      </w:pPr>
      <w:r>
        <w:rPr>
          <w:b/>
          <w:bCs/>
          <w:color w:val="2F75B6"/>
          <w:sz w:val="28"/>
          <w:szCs w:val="28"/>
        </w:rPr>
        <w:t>13.1 主要风险（BCI视角全量更新）</w:t>
      </w:r>
    </w:p>
    <w:p>
      <w:pPr>
        <w:spacing w:before="160" w:after="80"/>
        <w:rPr>
          <w:b/>
          <w:bCs/>
          <w:color w:val="2F75B6"/>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843"/>
        <w:gridCol w:w="1843"/>
        <w:gridCol w:w="1843"/>
        <w:gridCol w:w="1844"/>
      </w:tblGrid>
      <w:tr>
        <w:tc>
          <w:tcPr>
            <w:tcW w:w="1843" w:type="dxa"/>
            <w:vAlign w:val="center"/>
          </w:tcPr>
          <w:p>
            <w:pPr>
              <w:widowControl/>
              <w:jc w:val="left"/>
              <w:textAlignment w:val="center"/>
              <w:rPr>
                <w:b/>
                <w:bCs/>
                <w:color w:val="2F75B6"/>
                <w:sz w:val="28"/>
                <w:szCs w:val="28"/>
              </w:rPr>
            </w:pPr>
            <w:r>
              <w:rPr>
                <w:color w:val="000000"/>
                <w:sz w:val="22"/>
                <w:szCs w:val="22"/>
                <w:lang w:bidi="ar"/>
              </w:rPr>
              <w:t>序号</w:t>
            </w:r>
          </w:p>
        </w:tc>
        <w:tc>
          <w:tcPr>
            <w:tcW w:w="1843" w:type="dxa"/>
            <w:vAlign w:val="center"/>
          </w:tcPr>
          <w:p>
            <w:pPr>
              <w:widowControl/>
              <w:jc w:val="left"/>
              <w:textAlignment w:val="center"/>
              <w:rPr>
                <w:b/>
                <w:bCs/>
                <w:color w:val="2F75B6"/>
                <w:sz w:val="28"/>
                <w:szCs w:val="28"/>
              </w:rPr>
            </w:pPr>
            <w:r>
              <w:rPr>
                <w:color w:val="000000"/>
                <w:sz w:val="22"/>
                <w:szCs w:val="22"/>
                <w:lang w:bidi="ar"/>
              </w:rPr>
              <w:t>风险类型</w:t>
            </w:r>
          </w:p>
        </w:tc>
        <w:tc>
          <w:tcPr>
            <w:tcW w:w="1843" w:type="dxa"/>
            <w:vAlign w:val="center"/>
          </w:tcPr>
          <w:p>
            <w:pPr>
              <w:widowControl/>
              <w:jc w:val="left"/>
              <w:textAlignment w:val="center"/>
              <w:rPr>
                <w:b/>
                <w:bCs/>
                <w:color w:val="2F75B6"/>
                <w:sz w:val="28"/>
                <w:szCs w:val="28"/>
              </w:rPr>
            </w:pPr>
            <w:r>
              <w:rPr>
                <w:color w:val="000000"/>
                <w:sz w:val="22"/>
                <w:szCs w:val="22"/>
                <w:lang w:bidi="ar"/>
              </w:rPr>
              <w:t>风险描述</w:t>
            </w:r>
          </w:p>
        </w:tc>
        <w:tc>
          <w:tcPr>
            <w:tcW w:w="1843" w:type="dxa"/>
            <w:vAlign w:val="center"/>
          </w:tcPr>
          <w:p>
            <w:pPr>
              <w:widowControl/>
              <w:jc w:val="left"/>
              <w:textAlignment w:val="center"/>
              <w:rPr>
                <w:b/>
                <w:bCs/>
                <w:color w:val="2F75B6"/>
                <w:sz w:val="28"/>
                <w:szCs w:val="28"/>
              </w:rPr>
            </w:pPr>
            <w:r>
              <w:rPr>
                <w:color w:val="000000"/>
                <w:sz w:val="22"/>
                <w:szCs w:val="22"/>
                <w:lang w:bidi="ar"/>
              </w:rPr>
              <w:t>风险等级</w:t>
            </w:r>
          </w:p>
        </w:tc>
        <w:tc>
          <w:tcPr>
            <w:tcW w:w="1844" w:type="dxa"/>
            <w:vAlign w:val="center"/>
          </w:tcPr>
          <w:p>
            <w:pPr>
              <w:widowControl/>
              <w:jc w:val="left"/>
              <w:textAlignment w:val="center"/>
              <w:rPr>
                <w:b/>
                <w:bCs/>
                <w:color w:val="2F75B6"/>
                <w:sz w:val="28"/>
                <w:szCs w:val="28"/>
              </w:rPr>
            </w:pPr>
            <w:r>
              <w:rPr>
                <w:color w:val="000000"/>
                <w:sz w:val="22"/>
                <w:szCs w:val="22"/>
                <w:lang w:bidi="ar"/>
              </w:rPr>
              <w:t>缓解建议</w:t>
            </w:r>
          </w:p>
        </w:tc>
      </w:tr>
      <w:tr>
        <w:tc>
          <w:tcPr>
            <w:tcW w:w="1843" w:type="dxa"/>
            <w:vAlign w:val="center"/>
          </w:tcPr>
          <w:p>
            <w:pPr>
              <w:widowControl/>
              <w:jc w:val="center"/>
              <w:textAlignment w:val="center"/>
              <w:rPr>
                <w:b/>
                <w:bCs/>
                <w:color w:val="2F75B6"/>
                <w:sz w:val="28"/>
                <w:szCs w:val="28"/>
              </w:rPr>
            </w:pPr>
            <w:r>
              <w:rPr>
                <w:color w:val="000000"/>
                <w:sz w:val="22"/>
                <w:szCs w:val="22"/>
                <w:lang w:bidi="ar"/>
              </w:rPr>
              <w:t>1</w:t>
            </w:r>
          </w:p>
        </w:tc>
        <w:tc>
          <w:tcPr>
            <w:tcW w:w="1843" w:type="dxa"/>
            <w:vAlign w:val="center"/>
          </w:tcPr>
          <w:p>
            <w:pPr>
              <w:widowControl/>
              <w:jc w:val="center"/>
              <w:textAlignment w:val="center"/>
              <w:rPr>
                <w:b/>
                <w:bCs/>
                <w:color w:val="2F75B6"/>
                <w:sz w:val="28"/>
                <w:szCs w:val="28"/>
              </w:rPr>
            </w:pPr>
            <w:r>
              <w:rPr>
                <w:color w:val="000000"/>
                <w:sz w:val="22"/>
                <w:szCs w:val="22"/>
                <w:lang w:bidi="ar"/>
              </w:rPr>
              <w:t>体外关联实体（山东仁康，</w:t>
            </w:r>
            <w:r>
              <w:rPr>
                <w:rFonts w:hint="eastAsia"/>
                <w:color w:val="000000"/>
                <w:sz w:val="22"/>
                <w:szCs w:val="22"/>
                <w:lang w:val="en-US" w:eastAsia="zh-Hans" w:bidi="ar"/>
              </w:rPr>
              <w:t>杭州富制泰</w:t>
            </w:r>
            <w:r>
              <w:rPr>
                <w:color w:val="000000"/>
                <w:sz w:val="22"/>
                <w:szCs w:val="22"/>
                <w:lang w:bidi="ar"/>
              </w:rPr>
              <w:t>）</w:t>
            </w:r>
          </w:p>
        </w:tc>
        <w:tc>
          <w:tcPr>
            <w:tcW w:w="1843" w:type="dxa"/>
            <w:vAlign w:val="center"/>
          </w:tcPr>
          <w:p>
            <w:pPr>
              <w:widowControl/>
              <w:jc w:val="left"/>
              <w:textAlignment w:val="center"/>
              <w:rPr>
                <w:b/>
                <w:bCs/>
                <w:color w:val="2F75B6"/>
                <w:sz w:val="28"/>
                <w:szCs w:val="28"/>
              </w:rPr>
            </w:pPr>
            <w:r>
              <w:rPr>
                <w:color w:val="000000"/>
                <w:sz w:val="22"/>
                <w:szCs w:val="22"/>
                <w:lang w:bidi="ar"/>
              </w:rPr>
              <w:t>历史收入及早期专利滞留体外关联公司，存在关联交易风险</w:t>
            </w:r>
          </w:p>
        </w:tc>
        <w:tc>
          <w:tcPr>
            <w:tcW w:w="1843" w:type="dxa"/>
            <w:vAlign w:val="center"/>
          </w:tcPr>
          <w:p>
            <w:pPr>
              <w:widowControl/>
              <w:jc w:val="center"/>
              <w:textAlignment w:val="center"/>
              <w:rPr>
                <w:b/>
                <w:bCs/>
                <w:color w:val="2F75B6"/>
                <w:sz w:val="28"/>
                <w:szCs w:val="28"/>
              </w:rPr>
            </w:pPr>
            <w:r>
              <w:rPr>
                <w:color w:val="000000"/>
                <w:sz w:val="22"/>
                <w:szCs w:val="22"/>
                <w:lang w:bidi="ar"/>
              </w:rPr>
              <w:t>高</w:t>
            </w:r>
          </w:p>
        </w:tc>
        <w:tc>
          <w:tcPr>
            <w:tcW w:w="1844" w:type="dxa"/>
            <w:vAlign w:val="center"/>
          </w:tcPr>
          <w:p>
            <w:pPr>
              <w:widowControl/>
              <w:jc w:val="left"/>
              <w:textAlignment w:val="center"/>
              <w:rPr>
                <w:b/>
                <w:bCs/>
                <w:color w:val="2F75B6"/>
                <w:sz w:val="28"/>
                <w:szCs w:val="28"/>
              </w:rPr>
            </w:pPr>
            <w:r>
              <w:rPr>
                <w:rFonts w:hint="eastAsia"/>
                <w:color w:val="000000"/>
                <w:sz w:val="22"/>
                <w:szCs w:val="22"/>
                <w:lang w:val="en-US" w:eastAsia="zh-Hans" w:bidi="ar"/>
              </w:rPr>
              <w:t>需要控制关联交易</w:t>
            </w:r>
            <w:r>
              <w:rPr>
                <w:rFonts w:hint="default"/>
                <w:color w:val="000000"/>
                <w:sz w:val="22"/>
                <w:szCs w:val="22"/>
                <w:lang w:eastAsia="zh-Hans" w:bidi="ar"/>
              </w:rPr>
              <w:t>，</w:t>
            </w:r>
            <w:r>
              <w:rPr>
                <w:rFonts w:hint="eastAsia"/>
                <w:color w:val="000000"/>
                <w:sz w:val="22"/>
                <w:szCs w:val="22"/>
                <w:lang w:val="en-US" w:eastAsia="zh-Hans" w:bidi="ar"/>
              </w:rPr>
              <w:t>在B轮前解决此风险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Align w:val="center"/>
          </w:tcPr>
          <w:p>
            <w:pPr>
              <w:widowControl/>
              <w:jc w:val="center"/>
              <w:textAlignment w:val="center"/>
              <w:rPr>
                <w:b/>
                <w:bCs/>
                <w:color w:val="2F75B6"/>
                <w:sz w:val="28"/>
                <w:szCs w:val="28"/>
              </w:rPr>
            </w:pPr>
            <w:r>
              <w:rPr>
                <w:color w:val="000000"/>
                <w:sz w:val="22"/>
                <w:szCs w:val="22"/>
                <w:lang w:bidi="ar"/>
              </w:rPr>
              <w:t>2</w:t>
            </w:r>
          </w:p>
        </w:tc>
        <w:tc>
          <w:tcPr>
            <w:tcW w:w="1843" w:type="dxa"/>
            <w:vAlign w:val="center"/>
          </w:tcPr>
          <w:p>
            <w:pPr>
              <w:widowControl/>
              <w:jc w:val="center"/>
              <w:textAlignment w:val="center"/>
              <w:rPr>
                <w:b/>
                <w:bCs/>
                <w:color w:val="2F75B6"/>
                <w:sz w:val="28"/>
                <w:szCs w:val="28"/>
              </w:rPr>
            </w:pPr>
            <w:r>
              <w:rPr>
                <w:color w:val="000000"/>
                <w:sz w:val="22"/>
                <w:szCs w:val="22"/>
                <w:lang w:bidi="ar"/>
              </w:rPr>
              <w:t>BCI临床转化周期风险</w:t>
            </w:r>
          </w:p>
        </w:tc>
        <w:tc>
          <w:tcPr>
            <w:tcW w:w="1843" w:type="dxa"/>
            <w:vAlign w:val="center"/>
          </w:tcPr>
          <w:p>
            <w:pPr>
              <w:widowControl/>
              <w:jc w:val="left"/>
              <w:textAlignment w:val="center"/>
              <w:rPr>
                <w:b/>
                <w:bCs/>
                <w:color w:val="2F75B6"/>
                <w:sz w:val="28"/>
                <w:szCs w:val="28"/>
              </w:rPr>
            </w:pPr>
            <w:r>
              <w:rPr>
                <w:color w:val="000000"/>
                <w:sz w:val="22"/>
                <w:szCs w:val="22"/>
                <w:lang w:bidi="ar"/>
              </w:rPr>
              <w:t>NMPA对神经植入类医疗器械审批周期长（3-5年），NeuroWorm临床路径尚不清晰</w:t>
            </w:r>
          </w:p>
        </w:tc>
        <w:tc>
          <w:tcPr>
            <w:tcW w:w="1843" w:type="dxa"/>
            <w:vAlign w:val="center"/>
          </w:tcPr>
          <w:p>
            <w:pPr>
              <w:widowControl/>
              <w:jc w:val="center"/>
              <w:textAlignment w:val="center"/>
              <w:rPr>
                <w:b/>
                <w:bCs/>
                <w:color w:val="2F75B6"/>
                <w:sz w:val="28"/>
                <w:szCs w:val="28"/>
              </w:rPr>
            </w:pPr>
            <w:r>
              <w:rPr>
                <w:color w:val="000000"/>
                <w:sz w:val="22"/>
                <w:szCs w:val="22"/>
                <w:lang w:bidi="ar"/>
              </w:rPr>
              <w:t>高</w:t>
            </w:r>
          </w:p>
        </w:tc>
        <w:tc>
          <w:tcPr>
            <w:tcW w:w="1844" w:type="dxa"/>
            <w:vAlign w:val="center"/>
          </w:tcPr>
          <w:p>
            <w:pPr>
              <w:widowControl/>
              <w:jc w:val="left"/>
              <w:textAlignment w:val="center"/>
              <w:rPr>
                <w:b/>
                <w:bCs/>
                <w:color w:val="2F75B6"/>
                <w:sz w:val="28"/>
                <w:szCs w:val="28"/>
              </w:rPr>
            </w:pPr>
            <w:r>
              <w:rPr>
                <w:color w:val="000000"/>
                <w:sz w:val="22"/>
                <w:szCs w:val="22"/>
                <w:lang w:bidi="ar"/>
              </w:rPr>
              <w:t>尽早启动系统性动物实验；近期以工业赛道稳定营收降低对BCI商业化的时间依赖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Align w:val="center"/>
          </w:tcPr>
          <w:p>
            <w:pPr>
              <w:widowControl/>
              <w:jc w:val="center"/>
              <w:textAlignment w:val="center"/>
              <w:rPr>
                <w:b/>
                <w:bCs/>
                <w:color w:val="2F75B6"/>
                <w:sz w:val="28"/>
                <w:szCs w:val="28"/>
              </w:rPr>
            </w:pPr>
            <w:r>
              <w:rPr>
                <w:color w:val="000000"/>
                <w:sz w:val="22"/>
                <w:szCs w:val="22"/>
                <w:lang w:bidi="ar"/>
              </w:rPr>
              <w:t>3</w:t>
            </w:r>
          </w:p>
        </w:tc>
        <w:tc>
          <w:tcPr>
            <w:tcW w:w="1843" w:type="dxa"/>
            <w:vAlign w:val="center"/>
          </w:tcPr>
          <w:p>
            <w:pPr>
              <w:widowControl/>
              <w:jc w:val="center"/>
              <w:textAlignment w:val="center"/>
              <w:rPr>
                <w:b/>
                <w:bCs/>
                <w:color w:val="2F75B6"/>
                <w:sz w:val="28"/>
                <w:szCs w:val="28"/>
              </w:rPr>
            </w:pPr>
            <w:r>
              <w:rPr>
                <w:color w:val="000000"/>
                <w:sz w:val="22"/>
                <w:szCs w:val="22"/>
                <w:lang w:bidi="ar"/>
              </w:rPr>
              <w:t>技术量产风险</w:t>
            </w:r>
          </w:p>
        </w:tc>
        <w:tc>
          <w:tcPr>
            <w:tcW w:w="1843" w:type="dxa"/>
            <w:vAlign w:val="center"/>
          </w:tcPr>
          <w:p>
            <w:pPr>
              <w:widowControl/>
              <w:jc w:val="left"/>
              <w:textAlignment w:val="center"/>
              <w:rPr>
                <w:b/>
                <w:bCs/>
                <w:color w:val="2F75B6"/>
                <w:sz w:val="28"/>
                <w:szCs w:val="28"/>
              </w:rPr>
            </w:pPr>
            <w:r>
              <w:rPr>
                <w:color w:val="000000"/>
                <w:sz w:val="22"/>
                <w:szCs w:val="22"/>
                <w:lang w:bidi="ar"/>
              </w:rPr>
              <w:t>NeuroWorm目前仍为实验室级成果，从实验室到规模化量产的工艺转化不确定性较大</w:t>
            </w:r>
          </w:p>
        </w:tc>
        <w:tc>
          <w:tcPr>
            <w:tcW w:w="1843" w:type="dxa"/>
            <w:vAlign w:val="center"/>
          </w:tcPr>
          <w:p>
            <w:pPr>
              <w:widowControl/>
              <w:jc w:val="center"/>
              <w:textAlignment w:val="center"/>
              <w:rPr>
                <w:b/>
                <w:bCs/>
                <w:color w:val="2F75B6"/>
                <w:sz w:val="28"/>
                <w:szCs w:val="28"/>
              </w:rPr>
            </w:pPr>
            <w:r>
              <w:rPr>
                <w:color w:val="000000"/>
                <w:sz w:val="22"/>
                <w:szCs w:val="22"/>
                <w:lang w:bidi="ar"/>
              </w:rPr>
              <w:t>高</w:t>
            </w:r>
          </w:p>
        </w:tc>
        <w:tc>
          <w:tcPr>
            <w:tcW w:w="1844" w:type="dxa"/>
            <w:vAlign w:val="center"/>
          </w:tcPr>
          <w:p>
            <w:pPr>
              <w:widowControl/>
              <w:jc w:val="left"/>
              <w:textAlignment w:val="center"/>
              <w:rPr>
                <w:b/>
                <w:bCs/>
                <w:color w:val="2F75B6"/>
                <w:sz w:val="28"/>
                <w:szCs w:val="28"/>
              </w:rPr>
            </w:pPr>
            <w:r>
              <w:rPr>
                <w:color w:val="000000"/>
                <w:sz w:val="22"/>
                <w:szCs w:val="22"/>
                <w:lang w:bidi="ar"/>
              </w:rPr>
              <w:t>设立量产里程碑条款，分批释放投资资金；引入具备MEMS/柔性电子量产经验的顾问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Align w:val="center"/>
          </w:tcPr>
          <w:p>
            <w:pPr>
              <w:widowControl/>
              <w:jc w:val="center"/>
              <w:textAlignment w:val="center"/>
              <w:rPr>
                <w:b/>
                <w:bCs/>
                <w:color w:val="2F75B6"/>
                <w:sz w:val="28"/>
                <w:szCs w:val="28"/>
              </w:rPr>
            </w:pPr>
            <w:r>
              <w:rPr>
                <w:color w:val="000000"/>
                <w:sz w:val="22"/>
                <w:szCs w:val="22"/>
                <w:lang w:bidi="ar"/>
              </w:rPr>
              <w:t>4</w:t>
            </w:r>
          </w:p>
        </w:tc>
        <w:tc>
          <w:tcPr>
            <w:tcW w:w="1843" w:type="dxa"/>
            <w:vAlign w:val="center"/>
          </w:tcPr>
          <w:p>
            <w:pPr>
              <w:widowControl/>
              <w:jc w:val="center"/>
              <w:textAlignment w:val="center"/>
              <w:rPr>
                <w:b/>
                <w:bCs/>
                <w:color w:val="2F75B6"/>
                <w:sz w:val="28"/>
                <w:szCs w:val="28"/>
              </w:rPr>
            </w:pPr>
            <w:r>
              <w:rPr>
                <w:color w:val="000000"/>
                <w:sz w:val="22"/>
                <w:szCs w:val="22"/>
                <w:lang w:bidi="ar"/>
              </w:rPr>
              <w:t>工商文件不完备</w:t>
            </w:r>
          </w:p>
        </w:tc>
        <w:tc>
          <w:tcPr>
            <w:tcW w:w="1843" w:type="dxa"/>
            <w:vAlign w:val="center"/>
          </w:tcPr>
          <w:p>
            <w:pPr>
              <w:widowControl/>
              <w:jc w:val="left"/>
              <w:textAlignment w:val="center"/>
              <w:rPr>
                <w:b/>
                <w:bCs/>
                <w:color w:val="2F75B6"/>
                <w:sz w:val="28"/>
                <w:szCs w:val="28"/>
              </w:rPr>
            </w:pPr>
            <w:r>
              <w:rPr>
                <w:color w:val="000000"/>
                <w:sz w:val="22"/>
                <w:szCs w:val="22"/>
                <w:lang w:bidi="ar"/>
              </w:rPr>
              <w:t>历次增资历史协议存在缺漏，注册资本实缴未全覆盖</w:t>
            </w:r>
          </w:p>
        </w:tc>
        <w:tc>
          <w:tcPr>
            <w:tcW w:w="1843" w:type="dxa"/>
            <w:vAlign w:val="center"/>
          </w:tcPr>
          <w:p>
            <w:pPr>
              <w:widowControl/>
              <w:jc w:val="center"/>
              <w:textAlignment w:val="center"/>
              <w:rPr>
                <w:b/>
                <w:bCs/>
                <w:color w:val="2F75B6"/>
                <w:sz w:val="28"/>
                <w:szCs w:val="28"/>
              </w:rPr>
            </w:pPr>
            <w:r>
              <w:rPr>
                <w:color w:val="000000"/>
                <w:sz w:val="22"/>
                <w:szCs w:val="22"/>
                <w:lang w:bidi="ar"/>
              </w:rPr>
              <w:t>中-高</w:t>
            </w:r>
          </w:p>
        </w:tc>
        <w:tc>
          <w:tcPr>
            <w:tcW w:w="1844" w:type="dxa"/>
            <w:vAlign w:val="center"/>
          </w:tcPr>
          <w:p>
            <w:pPr>
              <w:widowControl/>
              <w:jc w:val="left"/>
              <w:textAlignment w:val="center"/>
              <w:rPr>
                <w:b/>
                <w:bCs/>
                <w:color w:val="2F75B6"/>
                <w:sz w:val="28"/>
                <w:szCs w:val="28"/>
              </w:rPr>
            </w:pPr>
            <w:r>
              <w:rPr>
                <w:color w:val="000000"/>
                <w:sz w:val="22"/>
                <w:szCs w:val="22"/>
                <w:lang w:bidi="ar"/>
              </w:rPr>
              <w:t>交割前完成文件清单核查，补签缺失文件后方可放款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Align w:val="center"/>
          </w:tcPr>
          <w:p>
            <w:pPr>
              <w:widowControl/>
              <w:jc w:val="center"/>
              <w:textAlignment w:val="center"/>
              <w:rPr>
                <w:b/>
                <w:bCs/>
                <w:color w:val="2F75B6"/>
                <w:sz w:val="28"/>
                <w:szCs w:val="28"/>
              </w:rPr>
            </w:pPr>
            <w:r>
              <w:rPr>
                <w:rFonts w:hint="default"/>
                <w:color w:val="000000"/>
                <w:sz w:val="22"/>
                <w:szCs w:val="22"/>
                <w:lang w:bidi="ar"/>
              </w:rPr>
              <w:t>5</w:t>
            </w:r>
          </w:p>
        </w:tc>
        <w:tc>
          <w:tcPr>
            <w:tcW w:w="1843" w:type="dxa"/>
            <w:vAlign w:val="center"/>
          </w:tcPr>
          <w:p>
            <w:pPr>
              <w:widowControl/>
              <w:jc w:val="center"/>
              <w:textAlignment w:val="center"/>
              <w:rPr>
                <w:b/>
                <w:bCs/>
                <w:color w:val="2F75B6"/>
                <w:sz w:val="28"/>
                <w:szCs w:val="28"/>
              </w:rPr>
            </w:pPr>
            <w:r>
              <w:rPr>
                <w:color w:val="000000"/>
                <w:sz w:val="22"/>
                <w:szCs w:val="22"/>
                <w:lang w:bidi="ar"/>
              </w:rPr>
              <w:t>专利实审风险</w:t>
            </w:r>
          </w:p>
        </w:tc>
        <w:tc>
          <w:tcPr>
            <w:tcW w:w="1843" w:type="dxa"/>
            <w:vAlign w:val="center"/>
          </w:tcPr>
          <w:p>
            <w:pPr>
              <w:widowControl/>
              <w:jc w:val="left"/>
              <w:textAlignment w:val="center"/>
              <w:rPr>
                <w:b/>
                <w:bCs/>
                <w:color w:val="2F75B6"/>
                <w:sz w:val="28"/>
                <w:szCs w:val="28"/>
              </w:rPr>
            </w:pPr>
            <w:r>
              <w:rPr>
                <w:color w:val="000000"/>
                <w:sz w:val="22"/>
                <w:szCs w:val="22"/>
                <w:lang w:bidi="ar"/>
              </w:rPr>
              <w:t>4项转让专利中3项仍处实审阶段，权利要求存在被审查员压缩风险</w:t>
            </w:r>
          </w:p>
        </w:tc>
        <w:tc>
          <w:tcPr>
            <w:tcW w:w="1843" w:type="dxa"/>
            <w:vAlign w:val="center"/>
          </w:tcPr>
          <w:p>
            <w:pPr>
              <w:widowControl/>
              <w:jc w:val="center"/>
              <w:textAlignment w:val="center"/>
              <w:rPr>
                <w:b/>
                <w:bCs/>
                <w:color w:val="2F75B6"/>
                <w:sz w:val="28"/>
                <w:szCs w:val="28"/>
              </w:rPr>
            </w:pPr>
            <w:r>
              <w:rPr>
                <w:color w:val="000000"/>
                <w:sz w:val="22"/>
                <w:szCs w:val="22"/>
                <w:lang w:bidi="ar"/>
              </w:rPr>
              <w:t>中</w:t>
            </w:r>
          </w:p>
        </w:tc>
        <w:tc>
          <w:tcPr>
            <w:tcW w:w="1844" w:type="dxa"/>
            <w:vAlign w:val="center"/>
          </w:tcPr>
          <w:p>
            <w:pPr>
              <w:widowControl/>
              <w:jc w:val="left"/>
              <w:textAlignment w:val="center"/>
              <w:rPr>
                <w:b/>
                <w:bCs/>
                <w:color w:val="2F75B6"/>
                <w:sz w:val="28"/>
                <w:szCs w:val="28"/>
              </w:rPr>
            </w:pPr>
            <w:r>
              <w:rPr>
                <w:color w:val="000000"/>
                <w:sz w:val="22"/>
                <w:szCs w:val="22"/>
                <w:lang w:bidi="ar"/>
              </w:rPr>
              <w:t>关键专利</w:t>
            </w:r>
            <w:r>
              <w:rPr>
                <w:rFonts w:hint="eastAsia"/>
                <w:color w:val="000000"/>
                <w:sz w:val="22"/>
                <w:szCs w:val="22"/>
                <w:lang w:val="en-US" w:eastAsia="zh-Hans" w:bidi="ar"/>
              </w:rPr>
              <w:t>转让进度追踪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Align w:val="center"/>
          </w:tcPr>
          <w:p>
            <w:pPr>
              <w:widowControl/>
              <w:jc w:val="center"/>
              <w:textAlignment w:val="center"/>
              <w:rPr>
                <w:b/>
                <w:bCs/>
                <w:color w:val="2F75B6"/>
                <w:sz w:val="28"/>
                <w:szCs w:val="28"/>
              </w:rPr>
            </w:pPr>
            <w:r>
              <w:rPr>
                <w:rFonts w:hint="default"/>
                <w:color w:val="000000"/>
                <w:sz w:val="22"/>
                <w:szCs w:val="22"/>
                <w:lang w:bidi="ar"/>
              </w:rPr>
              <w:t>6</w:t>
            </w:r>
          </w:p>
        </w:tc>
        <w:tc>
          <w:tcPr>
            <w:tcW w:w="1843" w:type="dxa"/>
            <w:vAlign w:val="center"/>
          </w:tcPr>
          <w:p>
            <w:pPr>
              <w:widowControl/>
              <w:jc w:val="center"/>
              <w:textAlignment w:val="center"/>
              <w:rPr>
                <w:b/>
                <w:bCs/>
                <w:color w:val="2F75B6"/>
                <w:sz w:val="28"/>
                <w:szCs w:val="28"/>
              </w:rPr>
            </w:pPr>
            <w:r>
              <w:rPr>
                <w:color w:val="000000"/>
                <w:sz w:val="22"/>
                <w:szCs w:val="22"/>
                <w:lang w:bidi="ar"/>
              </w:rPr>
              <w:t>BCI市场教育周期</w:t>
            </w:r>
          </w:p>
        </w:tc>
        <w:tc>
          <w:tcPr>
            <w:tcW w:w="1843" w:type="dxa"/>
            <w:vAlign w:val="center"/>
          </w:tcPr>
          <w:p>
            <w:pPr>
              <w:widowControl/>
              <w:jc w:val="left"/>
              <w:textAlignment w:val="center"/>
              <w:rPr>
                <w:b/>
                <w:bCs/>
                <w:color w:val="2F75B6"/>
                <w:sz w:val="28"/>
                <w:szCs w:val="28"/>
              </w:rPr>
            </w:pPr>
            <w:r>
              <w:rPr>
                <w:color w:val="000000"/>
                <w:sz w:val="22"/>
                <w:szCs w:val="22"/>
                <w:lang w:bidi="ar"/>
              </w:rPr>
              <w:t>中国市场对BCI产品认知度尚低，临床医生与患者均需较长市场教育期，销售周期长</w:t>
            </w:r>
          </w:p>
        </w:tc>
        <w:tc>
          <w:tcPr>
            <w:tcW w:w="1843" w:type="dxa"/>
            <w:vAlign w:val="center"/>
          </w:tcPr>
          <w:p>
            <w:pPr>
              <w:widowControl/>
              <w:jc w:val="center"/>
              <w:textAlignment w:val="center"/>
              <w:rPr>
                <w:b/>
                <w:bCs/>
                <w:color w:val="2F75B6"/>
                <w:sz w:val="28"/>
                <w:szCs w:val="28"/>
              </w:rPr>
            </w:pPr>
            <w:r>
              <w:rPr>
                <w:color w:val="000000"/>
                <w:sz w:val="22"/>
                <w:szCs w:val="22"/>
                <w:lang w:bidi="ar"/>
              </w:rPr>
              <w:t>中</w:t>
            </w:r>
          </w:p>
        </w:tc>
        <w:tc>
          <w:tcPr>
            <w:tcW w:w="1844" w:type="dxa"/>
            <w:vAlign w:val="center"/>
          </w:tcPr>
          <w:p>
            <w:pPr>
              <w:widowControl/>
              <w:jc w:val="left"/>
              <w:textAlignment w:val="center"/>
              <w:rPr>
                <w:b/>
                <w:bCs/>
                <w:color w:val="2F75B6"/>
                <w:sz w:val="28"/>
                <w:szCs w:val="28"/>
              </w:rPr>
            </w:pPr>
            <w:r>
              <w:rPr>
                <w:color w:val="000000"/>
                <w:sz w:val="22"/>
                <w:szCs w:val="22"/>
                <w:lang w:bidi="ar"/>
              </w:rPr>
              <w:t>近期专注工业赛道快速形成营收；平行推进BCI学术合作与学术会议品牌铺垫</w:t>
            </w:r>
          </w:p>
        </w:tc>
      </w:tr>
    </w:tbl>
    <w:p>
      <w:pPr>
        <w:spacing w:before="160" w:after="80"/>
        <w:rPr>
          <w:b/>
          <w:bCs/>
          <w:color w:val="2F75B6"/>
          <w:sz w:val="28"/>
          <w:szCs w:val="28"/>
        </w:rPr>
      </w:pPr>
    </w:p>
    <w:p>
      <w:pPr>
        <w:spacing w:before="160" w:after="80"/>
      </w:pPr>
      <w:r>
        <w:rPr>
          <w:b/>
          <w:bCs/>
          <w:color w:val="2F75B6"/>
          <w:sz w:val="28"/>
          <w:szCs w:val="28"/>
        </w:rPr>
        <w:t>13.2 投后辅助建议</w:t>
      </w:r>
    </w:p>
    <w:p>
      <w:pPr>
        <w:spacing w:after="60"/>
      </w:pPr>
      <w:r>
        <w:rPr>
          <w:b/>
          <w:bCs/>
        </w:rPr>
        <w:t>推进NeuroWorm专利转让</w:t>
      </w:r>
      <w:r>
        <w:t>：协助公司与中科院深圳先进院谈判专利的转让或独占许可</w:t>
      </w:r>
    </w:p>
    <w:p>
      <w:pPr>
        <w:spacing w:after="60"/>
      </w:pPr>
      <w:r>
        <w:rPr>
          <w:b/>
          <w:bCs/>
        </w:rPr>
        <w:t>协助引入BCI下游战略客户</w:t>
      </w:r>
      <w:r>
        <w:t>：帮助对接医院神经科临床团队、康复科、以及有BCI需求的脑科学研究院所</w:t>
      </w:r>
    </w:p>
    <w:p>
      <w:pPr>
        <w:spacing w:after="60"/>
      </w:pPr>
      <w:r>
        <w:rPr>
          <w:b/>
          <w:bCs/>
        </w:rPr>
        <w:t>协助引入大客户资源（工业侧）</w:t>
      </w:r>
      <w:r>
        <w:t>：对接迈瑞医疗、微创机器人等头部厂商</w:t>
      </w:r>
    </w:p>
    <w:p>
      <w:pPr>
        <w:spacing w:after="60"/>
        <w:rPr>
          <w:rFonts w:hint="default"/>
        </w:rPr>
      </w:pPr>
      <w:r>
        <w:rPr>
          <w:b/>
          <w:bCs/>
        </w:rPr>
        <w:t>推荐量产工业化顾问</w:t>
      </w:r>
      <w:r>
        <w:t>：引荐具备MEMS/柔性电子量产经验的顾问。</w:t>
      </w:r>
    </w:p>
    <w:p>
      <w:pPr>
        <w:spacing w:after="60"/>
      </w:pPr>
      <w:r>
        <w:rPr>
          <w:b/>
          <w:bCs/>
        </w:rPr>
        <w:t>助力科创认定</w:t>
      </w:r>
      <w:r>
        <w:t>：推进"专精特新小巨人"、"深圳高新技术企业"认定，并协助申报脑计划相关配套资金</w:t>
      </w:r>
    </w:p>
    <w:p>
      <w:pPr>
        <w:spacing w:before="220" w:after="120"/>
      </w:pPr>
      <w:r>
        <w:rPr>
          <w:b/>
          <w:bCs/>
          <w:color w:val="2E5090"/>
          <w:sz w:val="34"/>
          <w:szCs w:val="34"/>
        </w:rPr>
        <w:t>十四、投资结论</w:t>
      </w:r>
    </w:p>
    <w:p>
      <w:pPr>
        <w:spacing w:after="100"/>
      </w:pPr>
      <w:r>
        <w:t>综合本次尽职调查全流程（含电话会议披露内容及最新学术成果研判）所获取的各维度信息，调查小组作出如下投资结论：</w:t>
      </w:r>
    </w:p>
    <w:p>
      <w:pPr>
        <w:spacing w:before="160" w:after="80"/>
      </w:pPr>
      <w:r>
        <w:rPr>
          <w:b/>
          <w:bCs/>
          <w:color w:val="2F75B6"/>
          <w:sz w:val="28"/>
          <w:szCs w:val="28"/>
        </w:rPr>
        <w:t>有条件建议投资</w:t>
      </w:r>
    </w:p>
    <w:p>
      <w:pPr>
        <w:spacing w:after="100"/>
      </w:pPr>
      <w:r>
        <w:rPr>
          <w:b/>
          <w:bCs/>
        </w:rPr>
        <w:t>结论性判断：</w:t>
      </w:r>
    </w:p>
    <w:p>
      <w:pPr>
        <w:spacing w:after="100"/>
      </w:pPr>
      <w:r>
        <w:t>本轮投资的战略价值，已超越一般意义上的"早期科技公司投资"——其本质是：</w:t>
      </w:r>
      <w:r>
        <w:rPr>
          <w:b/>
          <w:bCs/>
        </w:rPr>
        <w:t>以2.7亿元人民币的估值，持有中国在BCI植入式神经电极材料领域《Nature》正刊级别原创成果的直接商业转化载体的早期股权</w:t>
      </w:r>
      <w:r>
        <w:t>。</w:t>
      </w:r>
    </w:p>
    <w:p>
      <w:pPr>
        <w:spacing w:after="100"/>
      </w:pPr>
      <w:r>
        <w:t>2025年NeuroWorm在《Nature》正刊的发表，将刘志远课题组的学术地位从"国内领先"提升至"</w:t>
      </w:r>
      <w:r>
        <w:rPr>
          <w:b/>
          <w:bCs/>
        </w:rPr>
        <w:t>全球BCI材料领域开创者</w:t>
      </w:r>
      <w:r>
        <w:t>"。这一成果的商业意涵是：公司不仅仅持有4项来自中科院的技术专利，更持有</w:t>
      </w:r>
      <w:r>
        <w:rPr>
          <w:b/>
          <w:bCs/>
        </w:rPr>
        <w:t>全球已经过最高学术评审验证的BCI柔性电极技术路线的商业化权利</w:t>
      </w:r>
      <w:r>
        <w:t>。类比来看，这相当于在鲍哲南发表Stanford"电子皮肤"Nature论文后立即参与其创业公司的种子轮。</w:t>
      </w:r>
    </w:p>
    <w:p>
      <w:pPr>
        <w:spacing w:after="100"/>
      </w:pPr>
      <w:r>
        <w:rPr>
          <w:rFonts w:hint="eastAsia"/>
        </w:rPr>
        <w:t>“</w:t>
      </w:r>
      <w:r>
        <w:t>建议投资"结论的核心原因在于：技术价值和团队禀赋高度确定</w:t>
      </w:r>
    </w:p>
    <w:p>
      <w:pPr>
        <w:spacing w:after="100"/>
      </w:pPr>
      <w:r>
        <w:rPr>
          <w:b/>
          <w:bCs/>
        </w:rPr>
        <w:t>投资条款建议（最终版）：</w:t>
      </w:r>
    </w:p>
    <w:tbl>
      <w:tblPr>
        <w:tblStyle w:val="5"/>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b/>
                <w:bCs/>
                <w:sz w:val="20"/>
                <w:szCs w:val="20"/>
              </w:rPr>
              <w:t>项目</w:t>
            </w:r>
          </w:p>
        </w:tc>
        <w:tc>
          <w:tcPr>
            <w:tcW w:w="4320" w:type="dxa"/>
          </w:tcPr>
          <w:p>
            <w:pPr>
              <w:spacing w:before="40" w:after="40"/>
            </w:pPr>
            <w:r>
              <w:rPr>
                <w:b/>
                <w:bCs/>
                <w:sz w:val="20"/>
                <w:szCs w:val="20"/>
              </w:rPr>
              <w:t>建议内容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投资金额</w:t>
            </w:r>
          </w:p>
        </w:tc>
        <w:tc>
          <w:tcPr>
            <w:tcW w:w="4320" w:type="dxa"/>
          </w:tcPr>
          <w:p>
            <w:pPr>
              <w:spacing w:before="40" w:after="40"/>
            </w:pPr>
            <w:r>
              <w:rPr>
                <w:sz w:val="20"/>
                <w:szCs w:val="20"/>
              </w:rPr>
              <w:t>人民币</w:t>
            </w:r>
            <w:r>
              <w:rPr>
                <w:rFonts w:hint="eastAsia"/>
                <w:sz w:val="20"/>
                <w:szCs w:val="20"/>
              </w:rPr>
              <w:t>3</w:t>
            </w:r>
            <w:r>
              <w:rPr>
                <w:sz w:val="20"/>
                <w:szCs w:val="20"/>
              </w:rPr>
              <w:t>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投前估值</w:t>
            </w:r>
          </w:p>
        </w:tc>
        <w:tc>
          <w:tcPr>
            <w:tcW w:w="4320" w:type="dxa"/>
          </w:tcPr>
          <w:p>
            <w:pPr>
              <w:spacing w:before="40" w:after="40"/>
            </w:pPr>
            <w:r>
              <w:rPr>
                <w:sz w:val="20"/>
                <w:szCs w:val="20"/>
              </w:rPr>
              <w:t>人民币2.7亿元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对应股比</w:t>
            </w:r>
          </w:p>
        </w:tc>
        <w:tc>
          <w:tcPr>
            <w:tcW w:w="4320" w:type="dxa"/>
          </w:tcPr>
          <w:p>
            <w:pPr>
              <w:spacing w:before="40" w:after="40"/>
            </w:pPr>
            <w:r>
              <w:rPr>
                <w:sz w:val="20"/>
                <w:szCs w:val="20"/>
              </w:rPr>
              <w:t>约10%（投后）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投资工具</w:t>
            </w:r>
          </w:p>
        </w:tc>
        <w:tc>
          <w:tcPr>
            <w:tcW w:w="4320" w:type="dxa"/>
          </w:tcPr>
          <w:p>
            <w:pPr>
              <w:spacing w:before="40" w:after="40"/>
            </w:pPr>
            <w:r>
              <w:rPr>
                <w:sz w:val="20"/>
                <w:szCs w:val="20"/>
              </w:rPr>
              <w:t>股权投资（普通股）或可转债视谈判结果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投后首季度优先行动</w:t>
            </w:r>
          </w:p>
        </w:tc>
        <w:tc>
          <w:tcPr>
            <w:tcW w:w="4320" w:type="dxa"/>
          </w:tcPr>
          <w:p>
            <w:pPr>
              <w:spacing w:before="40" w:after="40"/>
            </w:pPr>
            <w:r>
              <w:rPr>
                <w:sz w:val="20"/>
                <w:szCs w:val="20"/>
              </w:rPr>
              <w:t>启动NeuroWorm相关新专利（CN202511227073.9等）转让协议谈判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pPr>
            <w:r>
              <w:rPr>
                <w:sz w:val="20"/>
                <w:szCs w:val="20"/>
              </w:rPr>
              <w:t>董事会席位</w:t>
            </w:r>
          </w:p>
        </w:tc>
        <w:tc>
          <w:tcPr>
            <w:tcW w:w="4320" w:type="dxa"/>
          </w:tcPr>
          <w:p>
            <w:pPr>
              <w:spacing w:before="40" w:after="40"/>
              <w:rPr>
                <w:rFonts w:hint="eastAsia"/>
              </w:rPr>
            </w:pPr>
            <w:r>
              <w:rPr>
                <w:rFonts w:hint="eastAsia"/>
                <w:sz w:val="20"/>
                <w:szCs w:val="20"/>
              </w:rPr>
              <w:t>领投拥有1个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pPr>
              <w:spacing w:before="40" w:after="40"/>
              <w:rPr>
                <w:rFonts w:hint="eastAsia" w:eastAsia="微软雅黑"/>
                <w:lang w:val="en-US" w:eastAsia="zh-Hans"/>
              </w:rPr>
            </w:pPr>
            <w:r>
              <w:rPr>
                <w:sz w:val="20"/>
                <w:szCs w:val="20"/>
              </w:rPr>
              <w:t>回购权触发</w:t>
            </w:r>
          </w:p>
        </w:tc>
        <w:tc>
          <w:tcPr>
            <w:tcW w:w="4320" w:type="dxa"/>
          </w:tcPr>
          <w:p>
            <w:pPr>
              <w:spacing w:before="40" w:after="40"/>
            </w:pPr>
          </w:p>
        </w:tc>
      </w:tr>
    </w:tbl>
    <w:p>
      <w:pPr>
        <w:spacing w:after="60"/>
      </w:pPr>
    </w:p>
    <w:p>
      <w:pPr>
        <w:spacing w:after="100"/>
      </w:pPr>
    </w:p>
    <w:sectPr>
      <w:pgSz w:w="12240" w:h="15840"/>
      <w:pgMar w:top="1440" w:right="1440" w:bottom="1440" w:left="18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panose1 w:val="02010609060101010101"/>
    <w:charset w:val="86"/>
    <w:family w:val="auto"/>
    <w:pitch w:val="default"/>
    <w:sig w:usb0="00000000" w:usb1="00000000" w:usb2="00000000" w:usb3="00000000" w:csb0="00160000"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宋体-简">
    <w:panose1 w:val="0201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9C46B0"/>
    <w:multiLevelType w:val="singleLevel"/>
    <w:tmpl w:val="9E9C46B0"/>
    <w:lvl w:ilvl="0" w:tentative="0">
      <w:start w:val="1"/>
      <w:numFmt w:val="decimal"/>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trackRevisions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E4A"/>
    <w:rsid w:val="00245E4A"/>
    <w:rsid w:val="004008EB"/>
    <w:rsid w:val="00536AC0"/>
    <w:rsid w:val="005B57D4"/>
    <w:rsid w:val="00725F29"/>
    <w:rsid w:val="3A462FF3"/>
    <w:rsid w:val="67FD1732"/>
    <w:rsid w:val="69FEDF74"/>
    <w:rsid w:val="6EEFD6A6"/>
    <w:rsid w:val="6F7F3B54"/>
    <w:rsid w:val="74DF3DB5"/>
    <w:rsid w:val="7AAF5731"/>
    <w:rsid w:val="7EED369B"/>
    <w:rsid w:val="AF6F1A7F"/>
    <w:rsid w:val="EDEF8C92"/>
    <w:rsid w:val="F3D63275"/>
    <w:rsid w:val="FFD9A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微软雅黑" w:hAnsi="微软雅黑" w:eastAsia="微软雅黑" w:cs="微软雅黑"/>
      <w:sz w:val="24"/>
      <w:szCs w:val="24"/>
      <w:lang w:val="en-US" w:eastAsia="zh-CN" w:bidi="ar-SA"/>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9"/>
    <w:qFormat/>
    <w:uiPriority w:val="0"/>
  </w:style>
  <w:style w:type="paragraph" w:styleId="4">
    <w:name w:val="annotation subject"/>
    <w:basedOn w:val="3"/>
    <w:next w:val="3"/>
    <w:link w:val="10"/>
    <w:qFormat/>
    <w:uiPriority w:val="0"/>
    <w:rPr>
      <w:b/>
      <w:bCs/>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annotation reference"/>
    <w:basedOn w:val="7"/>
    <w:qFormat/>
    <w:uiPriority w:val="0"/>
    <w:rPr>
      <w:sz w:val="21"/>
      <w:szCs w:val="21"/>
    </w:rPr>
  </w:style>
  <w:style w:type="character" w:customStyle="1" w:styleId="9">
    <w:name w:val="批注文字 字符"/>
    <w:basedOn w:val="7"/>
    <w:link w:val="3"/>
    <w:qFormat/>
    <w:uiPriority w:val="0"/>
    <w:rPr>
      <w:rFonts w:ascii="微软雅黑" w:hAnsi="微软雅黑" w:eastAsia="微软雅黑" w:cs="微软雅黑"/>
      <w:sz w:val="24"/>
      <w:szCs w:val="24"/>
    </w:rPr>
  </w:style>
  <w:style w:type="character" w:customStyle="1" w:styleId="10">
    <w:name w:val="批注主题 字符"/>
    <w:basedOn w:val="9"/>
    <w:link w:val="4"/>
    <w:qFormat/>
    <w:uiPriority w:val="0"/>
    <w:rPr>
      <w:rFonts w:ascii="微软雅黑" w:hAnsi="微软雅黑" w:eastAsia="微软雅黑" w:cs="微软雅黑"/>
      <w:b/>
      <w:bCs/>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2349</Words>
  <Characters>13391</Characters>
  <Lines>111</Lines>
  <Paragraphs>31</Paragraphs>
  <TotalTime>18</TotalTime>
  <ScaleCrop>false</ScaleCrop>
  <LinksUpToDate>false</LinksUpToDate>
  <CharactersWithSpaces>15709</CharactersWithSpaces>
  <Application>WPS Office_3.9.4.6407_F1E327BC-269C-435d-A152-05C5408002CA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2026-03-13T07:49:00Z</dcterms:created>
  <dc:creator>Data</dc:creator>
  <cp:lastModifiedBy>信 达</cp:lastModifiedBy>
  <dcterms:modified xsi:type="dcterms:W3CDTF">2026-03-19T20:37:30Z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2052-3.9.4.6407</vt:lpwstr>
  </property>
  <property fmtid="{D5CDD505-2E9C-101B-9397-08002B2CF9AE}" pid="3" name="ICV">
    <vt:lpwstr>E30F83CF45719A5DADEABB69747F8101</vt:lpwstr>
  </property>
  <property fmtid="{D5CDD505-2E9C-101B-9397-08002B2CF9AE}" pid="4" name="GrammarlyDocumentId">
    <vt:lpwstr>26a01ff9-273d-46b6-87a2-ebd8b43faad5</vt:lpwstr>
  </property>
</Properties>
</file>