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24"/>
        </w:rPr>
        <w:t>Data &amp; BI Analyst | Healthcare &amp; Fintech | AI &amp; Analytics Engineering</w:t>
      </w:r>
    </w:p>
    <w:p>
      <w:pPr>
        <w:spacing w:before="120" w:after="60"/>
      </w:pPr>
      <w:r>
        <w:rPr>
          <w:b/>
          <w:sz w:val="22"/>
        </w:rPr>
        <w:t>Personal Profile</w:t>
      </w:r>
    </w:p>
    <w:p>
      <w:pPr>
        <w:spacing w:after="40"/>
      </w:pPr>
      <w:r>
        <w:rPr>
          <w:sz w:val="20"/>
        </w:rPr>
        <w:t>Data &amp; Analytics professional (MSc Distinction, Data &amp; Decision Analytics) with 4+ years' experience in healthcare, clinical trials, and fintech. Skilled in Python, SQL, R, and BI tools (Power BI, Tableau, R Shiny), with expertise in ETL pipelines, automation, dashboards, and machine learning. Proven record of delivering faster data pipelines (80%+), automated reporting (70% less manual work), and improved fraud detection (26%). Now seeking roles where data, AI, and BI create measurable business impact.</w:t>
      </w:r>
    </w:p>
    <w:p>
      <w:pPr>
        <w:spacing w:before="120" w:after="60"/>
      </w:pPr>
      <w:r>
        <w:rPr>
          <w:b/>
          <w:sz w:val="22"/>
        </w:rPr>
        <w:t>Technical Skills</w:t>
      </w:r>
    </w:p>
    <w:p>
      <w:pPr>
        <w:pStyle w:val="ListBullet"/>
        <w:spacing w:after="20"/>
        <w:ind w:left="283"/>
      </w:pPr>
      <w:r>
        <w:rPr>
          <w:sz w:val="20"/>
        </w:rPr>
        <w:t>Languages: Python, R, SQL, Bash, SAS</w:t>
      </w:r>
    </w:p>
    <w:p>
      <w:pPr>
        <w:pStyle w:val="ListBullet"/>
        <w:spacing w:after="20"/>
        <w:ind w:left="283"/>
      </w:pPr>
      <w:r>
        <w:rPr>
          <w:sz w:val="20"/>
        </w:rPr>
        <w:t>BI &amp; Visualisation: Power BI, Tableau, R Shiny, Excel (advanced)</w:t>
      </w:r>
    </w:p>
    <w:p>
      <w:pPr>
        <w:pStyle w:val="ListBullet"/>
        <w:spacing w:after="20"/>
        <w:ind w:left="283"/>
      </w:pPr>
      <w:r>
        <w:rPr>
          <w:sz w:val="20"/>
        </w:rPr>
        <w:t>ETL &amp; Data Engineering: API integration, Data Cleaning, ETL pipelines, Google Earth Engine</w:t>
      </w:r>
    </w:p>
    <w:p>
      <w:pPr>
        <w:pStyle w:val="ListBullet"/>
        <w:spacing w:after="20"/>
        <w:ind w:left="283"/>
      </w:pPr>
      <w:r>
        <w:rPr>
          <w:sz w:val="20"/>
        </w:rPr>
        <w:t>Libraries &amp; ML Tools: Pandas, NumPy, Scikit-learn, XGBoost, Prophet, SHAP, LIME</w:t>
      </w:r>
    </w:p>
    <w:p>
      <w:pPr>
        <w:pStyle w:val="ListBullet"/>
        <w:spacing w:after="20"/>
        <w:ind w:left="283"/>
      </w:pPr>
      <w:r>
        <w:rPr>
          <w:sz w:val="20"/>
        </w:rPr>
        <w:t>AI &amp; NLP: Neural Networks, SpaCy, BERT, Clustering, Forecasting</w:t>
      </w:r>
    </w:p>
    <w:p>
      <w:pPr>
        <w:pStyle w:val="ListBullet"/>
        <w:spacing w:after="20"/>
        <w:ind w:left="283"/>
      </w:pPr>
      <w:r>
        <w:rPr>
          <w:sz w:val="20"/>
        </w:rPr>
        <w:t>Deployment &amp; Cloud: Docker, Git, Azure, Google Cloud</w:t>
      </w:r>
    </w:p>
    <w:p>
      <w:pPr>
        <w:pStyle w:val="ListBullet"/>
        <w:spacing w:after="20"/>
        <w:ind w:left="283"/>
      </w:pPr>
      <w:r>
        <w:rPr>
          <w:sz w:val="20"/>
        </w:rPr>
        <w:t>Data Management &amp; Compliance: GDPR, Metadata Governance, GCP Standards</w:t>
      </w:r>
    </w:p>
    <w:p>
      <w:pPr>
        <w:pStyle w:val="ListBullet"/>
        <w:spacing w:after="20"/>
        <w:ind w:left="283"/>
      </w:pPr>
      <w:r>
        <w:rPr>
          <w:sz w:val="20"/>
        </w:rPr>
        <w:t>Methodologies: Agile, PRINCE2</w:t>
      </w:r>
    </w:p>
    <w:p>
      <w:pPr>
        <w:spacing w:before="120" w:after="60"/>
      </w:pPr>
      <w:r>
        <w:rPr>
          <w:b/>
          <w:sz w:val="22"/>
        </w:rPr>
        <w:t>Professional Experience</w:t>
      </w:r>
    </w:p>
    <w:p>
      <w:pPr>
        <w:spacing w:before="80" w:after="40"/>
      </w:pPr>
      <w:r>
        <w:rPr>
          <w:b/>
          <w:sz w:val="20"/>
        </w:rPr>
        <w:t>Clinical Data Analyst / Engineer (Official title: Clinical Data Coordinator) | Clinical Trials Unit | Academic Research Centre | Sep 2024 – Present</w:t>
      </w:r>
    </w:p>
    <w:p>
      <w:pPr>
        <w:pStyle w:val="ListBullet"/>
        <w:spacing w:after="20"/>
        <w:ind w:left="283"/>
      </w:pPr>
      <w:r>
        <w:rPr>
          <w:sz w:val="20"/>
        </w:rPr>
        <w:t>Developed R Shiny and Streamlit dashboards to monitor recruitment trends, protocol deviations, and site performance, enabling trial managers to make real-time decisions.</w:t>
      </w:r>
    </w:p>
    <w:p>
      <w:pPr>
        <w:pStyle w:val="ListBullet"/>
        <w:spacing w:after="20"/>
        <w:ind w:left="283"/>
      </w:pPr>
      <w:r>
        <w:rPr>
          <w:sz w:val="20"/>
        </w:rPr>
        <w:t>Engineered a Streamlit/Python trial dashboard with automated Excel parsing (schema validation), statistical process control charts with RAG scoring, and real-time KPI tracking across 9 research sites, overcoming inconsistent data formats and enabling interactive performance monitoring.</w:t>
      </w:r>
    </w:p>
    <w:p>
      <w:pPr>
        <w:pStyle w:val="ListBullet"/>
        <w:spacing w:after="20"/>
        <w:ind w:left="283"/>
      </w:pPr>
      <w:r>
        <w:rPr>
          <w:sz w:val="20"/>
        </w:rPr>
        <w:t>Built automated data-validation pipelines (Python + SAS + Flask) across 15+ oncology trials, reducing manual review workload by 70% and improving regulatory compliance.</w:t>
      </w:r>
    </w:p>
    <w:p>
      <w:pPr>
        <w:pStyle w:val="ListBullet"/>
        <w:spacing w:after="20"/>
        <w:ind w:left="283"/>
      </w:pPr>
      <w:r>
        <w:rPr>
          <w:sz w:val="20"/>
        </w:rPr>
        <w:t>Designed GDPR-compliant ETL pipelines that cut weekly reporting from 3 hours to under 1 hour and reduced error rates by 35%.</w:t>
      </w:r>
    </w:p>
    <w:p>
      <w:pPr>
        <w:pStyle w:val="ListBullet"/>
        <w:spacing w:after="20"/>
        <w:ind w:left="283"/>
      </w:pPr>
      <w:r>
        <w:rPr>
          <w:sz w:val="20"/>
        </w:rPr>
        <w:t>Translated clinical protocols into measurable KPIs, improving visibility of bottlenecks across 9+ NHS sites.</w:t>
      </w:r>
    </w:p>
    <w:p>
      <w:pPr>
        <w:spacing w:before="80" w:after="40"/>
      </w:pPr>
      <w:r>
        <w:rPr>
          <w:b/>
          <w:sz w:val="20"/>
        </w:rPr>
        <w:t>Data Scientist Intern | Environmental Analytics &amp; Consulting Firm | Jun 2024 – Sep 2024</w:t>
      </w:r>
    </w:p>
    <w:p>
      <w:pPr>
        <w:pStyle w:val="ListBullet"/>
        <w:spacing w:after="20"/>
        <w:ind w:left="283"/>
      </w:pPr>
      <w:r>
        <w:rPr>
          <w:sz w:val="20"/>
        </w:rPr>
        <w:t>Automated geospatial data pipelines to overcome bottlenecks in satellite data retrieval, using Google Earth Engine and APIs to standardise NASA GEDI and Sentinel-2 datasets; reduced preprocessing time by 80%, enabling faster modelling cycles.</w:t>
      </w:r>
    </w:p>
    <w:p>
      <w:pPr>
        <w:pStyle w:val="ListBullet"/>
        <w:spacing w:after="20"/>
        <w:ind w:left="283"/>
      </w:pPr>
      <w:r>
        <w:rPr>
          <w:sz w:val="20"/>
        </w:rPr>
        <w:t>Built BioVision Analytics Hub, an ML dashboard (Streamlit, Plotly) with ensemble models + hyperparameter tuning; achieved 15% RMSE reduction through feature engineering/selection, enabling real-time biomass prediction with spatial analysis.</w:t>
      </w:r>
    </w:p>
    <w:p>
      <w:pPr>
        <w:pStyle w:val="ListBullet"/>
        <w:spacing w:after="20"/>
        <w:ind w:left="283"/>
      </w:pPr>
      <w:r>
        <w:rPr>
          <w:sz w:val="20"/>
        </w:rPr>
        <w:t>Engineered biomass prediction models on large-scale forest data (10,000+ hectares) to improve carbon stock estimation accuracy by 20%, and applied explainable AI (SHAP, LIME) to reveal key environmental drivers behind predictions; delivered more reliable and interpretable insights for ecological consultants and policy analysts.</w:t>
      </w:r>
    </w:p>
    <w:p>
      <w:pPr>
        <w:spacing w:before="80" w:after="40"/>
      </w:pPr>
      <w:r>
        <w:rPr>
          <w:b/>
          <w:sz w:val="20"/>
        </w:rPr>
        <w:t>Data Analyst &amp; Accountant | Fintech &amp; E-Commerce Platform | Oct 2019 – Sep 2023</w:t>
      </w:r>
    </w:p>
    <w:p>
      <w:pPr>
        <w:pStyle w:val="ListBullet"/>
        <w:spacing w:after="20"/>
        <w:ind w:left="283"/>
      </w:pPr>
      <w:r>
        <w:rPr>
          <w:sz w:val="20"/>
        </w:rPr>
        <w:t>Automated financial workflows to eliminate inefficiencies in manual reporting, using SQL and Python scripts to streamline reconciliation processes; reduced handling time by 43%, enabling faster month-end close.</w:t>
      </w:r>
    </w:p>
    <w:p>
      <w:pPr>
        <w:pStyle w:val="ListBullet"/>
        <w:spacing w:after="20"/>
        <w:ind w:left="283"/>
      </w:pPr>
      <w:r>
        <w:rPr>
          <w:sz w:val="20"/>
        </w:rPr>
        <w:t>Strengthened fraud detection by analysing transaction anomalies (e.g., duplicate location payments, same card used in two cities within minutes) and building ML models for anomaly detection; improved fraud prevention effectiveness by 26% and reduced compliance risks.</w:t>
      </w:r>
    </w:p>
    <w:p>
      <w:pPr>
        <w:pStyle w:val="ListBullet"/>
        <w:spacing w:after="20"/>
        <w:ind w:left="283"/>
      </w:pPr>
      <w:r>
        <w:rPr>
          <w:sz w:val="20"/>
        </w:rPr>
        <w:t>Enhanced financial decision-making by designing KPI dashboards (Power BI, Tableau) that tracked revenue, costs, and operational bottlenecks; improved management's ability to act on data, boosting decision-making effectiveness by 27%.</w:t>
      </w:r>
    </w:p>
    <w:p>
      <w:pPr>
        <w:pStyle w:val="ListBullet"/>
        <w:spacing w:after="20"/>
        <w:ind w:left="283"/>
      </w:pPr>
      <w:r>
        <w:rPr>
          <w:sz w:val="20"/>
        </w:rPr>
        <w:t>Improved data integrity by integrating SAP/ERP systems with SQL-based reconciliation processes; reduced accounting discrepancies by 28% and improved audit readiness.</w:t>
      </w:r>
    </w:p>
    <w:p>
      <w:pPr>
        <w:pStyle w:val="ListBullet"/>
        <w:spacing w:after="20"/>
        <w:ind w:left="283"/>
      </w:pPr>
      <w:r>
        <w:rPr>
          <w:sz w:val="20"/>
        </w:rPr>
        <w:t>Built analytical capability in the team by mentoring 5 interns on SQL and financial analytics best practices; achieved a 95% project completion rate and supported 10 successful product feature launches.</w:t>
      </w:r>
    </w:p>
    <w:p>
      <w:pPr>
        <w:spacing w:before="80" w:after="40"/>
      </w:pPr>
      <w:r>
        <w:rPr>
          <w:b/>
          <w:sz w:val="20"/>
        </w:rPr>
        <w:t>Sales Accountant | Private Transport &amp; Payments Firm | Jun 2018 – Sep 2019</w:t>
      </w:r>
    </w:p>
    <w:p>
      <w:pPr>
        <w:pStyle w:val="ListBullet"/>
        <w:spacing w:after="20"/>
        <w:ind w:left="283"/>
      </w:pPr>
      <w:r>
        <w:rPr>
          <w:sz w:val="20"/>
        </w:rPr>
        <w:t>Improved financial accuracy and client trust by reconciling accounts and streamlining payment workflows; used SQL/PostgreSQL to identify discrepancies and enhanced supplier–client relationships by 23%.</w:t>
      </w:r>
    </w:p>
    <w:p>
      <w:pPr>
        <w:pStyle w:val="ListBullet"/>
        <w:spacing w:after="20"/>
        <w:ind w:left="283"/>
      </w:pPr>
      <w:r>
        <w:rPr>
          <w:sz w:val="20"/>
        </w:rPr>
        <w:t>Enhanced compliance and transparency by preparing VAT and tax reports through SQL-based automation; reduced reporting errors and supported regulatory audits.</w:t>
      </w:r>
    </w:p>
    <w:p>
      <w:pPr>
        <w:pStyle w:val="ListBullet"/>
        <w:spacing w:after="20"/>
        <w:ind w:left="283"/>
      </w:pPr>
      <w:r>
        <w:rPr>
          <w:sz w:val="20"/>
        </w:rPr>
        <w:t>Ensured operational continuity by overseeing invoicing, bank statements, and audits, maintaining accurate records and minimising financial disruptions.</w:t>
      </w:r>
    </w:p>
    <w:p>
      <w:pPr>
        <w:spacing w:before="80" w:after="40"/>
      </w:pPr>
      <w:r>
        <w:rPr>
          <w:b/>
          <w:sz w:val="20"/>
        </w:rPr>
        <w:t>Content Producer | EdTech &amp; Language Learning Platform | Jan 2017 – May 2018</w:t>
      </w:r>
    </w:p>
    <w:p>
      <w:pPr>
        <w:pStyle w:val="ListBullet"/>
        <w:spacing w:after="20"/>
        <w:ind w:left="283"/>
      </w:pPr>
      <w:r>
        <w:rPr>
          <w:sz w:val="20"/>
        </w:rPr>
        <w:t>Improved learner outcomes by designing digital English-learning programs tailored to exam preparation; boosted student test score improvement by 32% and engagement by 51%.</w:t>
      </w:r>
    </w:p>
    <w:p>
      <w:pPr>
        <w:pStyle w:val="ListBullet"/>
        <w:spacing w:after="20"/>
        <w:ind w:left="283"/>
      </w:pPr>
      <w:r>
        <w:rPr>
          <w:sz w:val="20"/>
        </w:rPr>
        <w:t>Enhanced brand reach and consistency by collaborating with media and marketing teams to produce multi-platform content, ensuring alignment between educational materials and brand messaging.</w:t>
      </w:r>
    </w:p>
    <w:p>
      <w:pPr>
        <w:pStyle w:val="ListBullet"/>
        <w:spacing w:after="20"/>
        <w:ind w:left="283"/>
      </w:pPr>
      <w:r>
        <w:rPr>
          <w:sz w:val="20"/>
        </w:rPr>
        <w:t>Personalised student learning journeys by delivering lessons in speaking, writing, and reading, supported with progress tracking systems that increased retention and learner satisfaction.</w:t>
      </w:r>
    </w:p>
    <w:p>
      <w:pPr>
        <w:spacing w:before="120" w:after="60"/>
      </w:pPr>
      <w:r>
        <w:rPr>
          <w:b/>
          <w:sz w:val="22"/>
        </w:rPr>
        <w:t>Education</w:t>
      </w:r>
    </w:p>
    <w:p>
      <w:pPr>
        <w:spacing w:before="80" w:after="40"/>
      </w:pPr>
      <w:r>
        <w:rPr>
          <w:b/>
          <w:sz w:val="20"/>
        </w:rPr>
        <w:t>MSc Data &amp; Decision Analytics (Distinction) | UK University | 2023 – 2024</w:t>
      </w:r>
    </w:p>
    <w:p>
      <w:pPr>
        <w:spacing w:after="40"/>
      </w:pPr>
      <w:r>
        <w:rPr>
          <w:sz w:val="20"/>
        </w:rPr>
        <w:t>Honours: Awarded the Presidential Scholarship for Academic Excellence &amp; Alignment with UN SDGs.</w:t>
      </w:r>
    </w:p>
    <w:p>
      <w:pPr>
        <w:spacing w:after="40"/>
      </w:pPr>
      <w:r>
        <w:rPr>
          <w:sz w:val="20"/>
        </w:rPr>
        <w:t>Key Projects: FTSE 100 Predictive Analysis – Developed ARIMA &amp; Exponential Smoothing models to forecast stock trends, improving forecasting accuracy by 18%. S&amp;P 500 Returns Prediction – Built logistic regression &amp; LDA models to predict weekly market movements with 76% accuracy.</w:t>
      </w:r>
    </w:p>
    <w:p>
      <w:pPr>
        <w:spacing w:before="80" w:after="40"/>
      </w:pPr>
      <w:r>
        <w:rPr>
          <w:b/>
          <w:sz w:val="20"/>
        </w:rPr>
        <w:t>BSc Materials Engineering (Distinction) | 2010 – 2014</w:t>
      </w:r>
    </w:p>
    <w:p>
      <w:pPr>
        <w:spacing w:after="40"/>
      </w:pPr>
      <w:r>
        <w:rPr>
          <w:sz w:val="20"/>
        </w:rPr>
        <w:t>Graduated with Distinction (Top 5%). Strong foundation in mathematical modelling, computational analysis, and process optimization.</w:t>
      </w:r>
    </w:p>
    <w:p>
      <w:pPr>
        <w:spacing w:before="120" w:after="60"/>
      </w:pPr>
      <w:r>
        <w:rPr>
          <w:b/>
          <w:sz w:val="22"/>
        </w:rPr>
        <w:t>Key Portfolio Projects</w:t>
      </w:r>
    </w:p>
    <w:p>
      <w:pPr>
        <w:spacing w:before="80" w:after="40"/>
      </w:pPr>
      <w:r>
        <w:rPr>
          <w:b/>
          <w:sz w:val="20"/>
        </w:rPr>
        <w:t>Fraud Detection Dashboard API | Personal Project | 2024</w:t>
      </w:r>
    </w:p>
    <w:p>
      <w:pPr>
        <w:pStyle w:val="ListBullet"/>
        <w:spacing w:after="20"/>
        <w:ind w:left="283"/>
      </w:pPr>
      <w:r>
        <w:rPr>
          <w:sz w:val="20"/>
        </w:rPr>
        <w:t>Built production-ready FastAPI backend with ML monitoring, network analysis, and explainable AI capabilities; processes 5M+ transactions with sub-second response times, features 18 interactive analytics tiles, and enables real-time fraud ring detection and money mule account identification.</w:t>
      </w:r>
    </w:p>
    <w:p>
      <w:pPr>
        <w:pStyle w:val="ListBullet"/>
        <w:spacing w:after="20"/>
        <w:ind w:left="283"/>
      </w:pPr>
      <w:r>
        <w:rPr>
          <w:sz w:val="20"/>
        </w:rPr>
        <w:t>Demonstrated 3,700% ROI potential through comprehensive model monitoring, drift detection, and 24-hour predictive risk scoring for financial institutions.</w:t>
      </w:r>
    </w:p>
    <w:p>
      <w:pPr>
        <w:spacing w:before="80" w:after="40"/>
      </w:pPr>
      <w:r>
        <w:rPr>
          <w:b/>
          <w:sz w:val="20"/>
        </w:rPr>
        <w:t>Bank Marketing Analytics Dashboard | Personal Project | 2024</w:t>
      </w:r>
    </w:p>
    <w:p>
      <w:pPr>
        <w:pStyle w:val="ListBullet"/>
        <w:spacing w:after="20"/>
        <w:ind w:left="283"/>
      </w:pPr>
      <w:r>
        <w:rPr>
          <w:sz w:val="20"/>
        </w:rPr>
        <w:t>Developed full-stack ML analytics platform (React/Flask + Streamlit) featuring 6 ML algorithms for subscription prediction, achieving 90.5%+ accuracy, K-Means customer segmentation, and contact optimisation analysis.</w:t>
      </w:r>
    </w:p>
    <w:p>
      <w:pPr>
        <w:pStyle w:val="ListBullet"/>
        <w:spacing w:after="20"/>
        <w:ind w:left="283"/>
      </w:pPr>
      <w:r>
        <w:rPr>
          <w:sz w:val="20"/>
        </w:rPr>
        <w:t>Analysed 41K+ customers to enable pre-call customer scoring, 15-20% conversion improvement through segmentation, and optimal contact frequency strategies for financial institutions.</w:t>
      </w:r>
    </w:p>
    <w:p>
      <w:pPr>
        <w:spacing w:before="80" w:after="40"/>
      </w:pPr>
      <w:r>
        <w:rPr>
          <w:b/>
          <w:sz w:val="20"/>
        </w:rPr>
        <w:t>Research Intelligence Dashboard | University Project | 2024</w:t>
      </w:r>
    </w:p>
    <w:p>
      <w:pPr>
        <w:pStyle w:val="ListBullet"/>
        <w:spacing w:after="20"/>
        <w:ind w:left="283"/>
      </w:pPr>
      <w:r>
        <w:rPr>
          <w:sz w:val="20"/>
        </w:rPr>
        <w:t>Architected comprehensive BI platform (4K+ lines, Streamlit/Python) with automated ETL, analysing £171.6M research portfolio across 11 research programmes and 314 constituencies.</w:t>
      </w:r>
    </w:p>
    <w:p>
      <w:pPr>
        <w:pStyle w:val="ListBullet"/>
        <w:spacing w:after="20"/>
        <w:ind w:left="283"/>
      </w:pPr>
      <w:r>
        <w:rPr>
          <w:sz w:val="20"/>
        </w:rPr>
        <w:t>Demonstrated 122:1 ROI potential and £116K-£172K projected annual savings through 70% faster reporting, parliament-ready visualisations, and data quality scoring (73.6%).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