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CADReport County Integration - Quick Reference</w:t>
      </w:r>
    </w:p>
    <w:p>
      <w:pPr>
        <w:shd w:fill="DC2626" w:val="clear"/>
        <w:spacing w:before="240" w:after="120"/>
      </w:pPr>
      <w:r>
        <w:rPr>
          <w:b/>
          <w:bCs/>
          <w:color w:val="FFFFFF"/>
          <w:sz w:val="22"/>
          <w:szCs w:val="22"/>
        </w:rPr>
        <w:t xml:space="preserve">  INTEGRATION PROCESS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Department signs Letter of Authorization (LOA)</w:t>
            </w:r>
          </w:p>
          <w:p>
            <w:r>
              <w:rPr>
                <w:color w:val="666666"/>
                <w:sz w:val="18"/>
                <w:szCs w:val="18"/>
              </w:rPr>
              <w:t xml:space="preserve">Authorizes CADReport to contact county on their behalf</w:t>
            </w:r>
          </w:p>
        </w:tc>
      </w:tr>
      <w:tr>
        <w:tc>
          <w:tcPr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Department sends introduction email to county</w:t>
            </w:r>
          </w:p>
          <w:p>
            <w:r>
              <w:rPr>
                <w:color w:val="666666"/>
                <w:sz w:val="18"/>
                <w:szCs w:val="18"/>
              </w:rPr>
              <w:t xml:space="preserve">CC: admin@cadreport.com - establishes three-way communication</w:t>
            </w:r>
          </w:p>
        </w:tc>
      </w:tr>
      <w:tr>
        <w:tc>
          <w:tcPr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CADReport coordinates technical details with county</w:t>
            </w:r>
          </w:p>
          <w:p>
            <w:r>
              <w:rPr>
                <w:color w:val="666666"/>
                <w:sz w:val="18"/>
                <w:szCs w:val="18"/>
              </w:rPr>
              <w:t xml:space="preserve">Determines connection method: TCP/IP, email, or other</w:t>
            </w:r>
          </w:p>
        </w:tc>
      </w:tr>
      <w:tr>
        <w:tc>
          <w:tcPr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Testing and go-live</w:t>
            </w:r>
          </w:p>
          <w:p>
            <w:r>
              <w:rPr>
                <w:color w:val="666666"/>
                <w:sz w:val="18"/>
                <w:szCs w:val="18"/>
              </w:rPr>
              <w:t xml:space="preserve">Verify data flow, configure parsing, begin operations</w:t>
            </w:r>
          </w:p>
        </w:tc>
      </w:tr>
    </w:tbl>
    <w:p>
      <w:pPr>
        <w:shd w:fill="DC2626" w:val="clear"/>
        <w:spacing w:before="360" w:after="120"/>
      </w:pPr>
      <w:r>
        <w:rPr>
          <w:b/>
          <w:bCs/>
          <w:color w:val="FFFFFF"/>
          <w:sz w:val="22"/>
          <w:szCs w:val="22"/>
        </w:rPr>
        <w:t xml:space="preserve">  CAD CONNECTION METHODS (Most to Least Preferred)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TCP/IP Direct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data push. Requires static IP + port forwarding at station. Best option.</w:t>
            </w:r>
          </w:p>
        </w:tc>
      </w:tr>
      <w:tr>
        <w:tc>
          <w:tcPr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 Polling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 emails dispatch data. CADReport polls inbox. Slight delay. Very common.</w:t>
            </w:r>
          </w:p>
        </w:tc>
      </w:tr>
      <w:tr>
        <w:tc>
          <w:tcPr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API/Web 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 REST/SOAP calls. May require additional licensing from CAD vendor.</w:t>
            </w:r>
          </w:p>
        </w:tc>
      </w:tr>
      <w:tr>
        <w:tc>
          <w:tcPr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Third-Party Relay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via Active911/IamResponding. Depends on their API access. Less control.</w:t>
            </w:r>
          </w:p>
        </w:tc>
      </w:tr>
    </w:tbl>
    <w:p>
      <w:pPr>
        <w:shd w:fill="DC2626" w:val="clear"/>
        <w:spacing w:before="360" w:after="120"/>
      </w:pPr>
      <w:r>
        <w:rPr>
          <w:b/>
          <w:bCs/>
          <w:color w:val="FFFFFF"/>
          <w:sz w:val="22"/>
          <w:szCs w:val="22"/>
        </w:rPr>
        <w:t xml:space="preserve">  QUESTIONS TO ASK THE COUNTY</w:t>
      </w:r>
    </w:p>
    <w:p>
      <w:pPr>
        <w:spacing w:after="60"/>
        <w:ind w:left="360"/>
      </w:pPr>
      <w:r>
        <w:rPr>
          <w:b/>
          <w:bCs/>
        </w:rPr>
        <w:t xml:space="preserve">1. What CAD system do you use? </w:t>
      </w:r>
      <w:r>
        <w:t xml:space="preserve">(Hexagon/Intergraph, Tyler, Motorola, Central Square)</w:t>
      </w:r>
    </w:p>
    <w:p>
      <w:pPr>
        <w:spacing w:after="60"/>
        <w:ind w:left="360"/>
      </w:pPr>
      <w:r>
        <w:rPr>
          <w:b/>
          <w:bCs/>
        </w:rPr>
        <w:t xml:space="preserve">2. What methods are available for sending CAD data to fire stations? </w:t>
      </w:r>
    </w:p>
    <w:p>
      <w:pPr>
        <w:spacing w:after="60"/>
        <w:ind w:left="360"/>
      </w:pPr>
      <w:r>
        <w:rPr>
          <w:b/>
          <w:bCs/>
        </w:rPr>
        <w:t xml:space="preserve">3. Do other fire departments in the county already receive CAD data feeds? </w:t>
      </w:r>
    </w:p>
    <w:p>
      <w:pPr>
        <w:spacing w:after="60"/>
        <w:ind w:left="360"/>
      </w:pPr>
      <w:r>
        <w:rPr>
          <w:b/>
          <w:bCs/>
        </w:rPr>
        <w:t xml:space="preserve">4. What information do we need to provide? </w:t>
      </w:r>
      <w:r>
        <w:t xml:space="preserve">(IP address, port, email, etc.)</w:t>
      </w:r>
    </w:p>
    <w:p>
      <w:pPr>
        <w:spacing w:after="60"/>
        <w:ind w:left="360"/>
      </w:pPr>
      <w:r>
        <w:rPr>
          <w:b/>
          <w:bCs/>
        </w:rPr>
        <w:t xml:space="preserve">5. Is there any cost or agreement required? </w:t>
      </w:r>
    </w:p>
    <w:p>
      <w:pPr>
        <w:ind w:left="360"/>
      </w:pPr>
      <w:r>
        <w:rPr>
          <w:b/>
          <w:bCs/>
        </w:rPr>
        <w:t xml:space="preserve">6. Who is the technical contact for setup/testing? </w:t>
      </w:r>
    </w:p>
    <w:p>
      <w:pPr>
        <w:shd w:fill="DC2626" w:val="clear"/>
        <w:spacing w:before="360" w:after="120"/>
      </w:pPr>
      <w:r>
        <w:rPr>
          <w:b/>
          <w:bCs/>
          <w:color w:val="FFFFFF"/>
          <w:sz w:val="22"/>
          <w:szCs w:val="22"/>
        </w:rPr>
        <w:t xml:space="preserve">  CADREPORT 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Michael VanScoyk</w:t>
            </w:r>
          </w:p>
          <w:p>
            <w:r>
              <w:t xml:space="preserve">Email: admin@cadreport.com</w:t>
            </w:r>
          </w:p>
          <w:p>
            <w:r>
              <w:t xml:space="preserve">Web: https://cadreport.com</w:t>
            </w:r>
          </w:p>
          <w:p>
            <w:r>
              <w:rPr>
                <w:color w:val="666666"/>
                <w:sz w:val="18"/>
                <w:szCs w:val="18"/>
              </w:rPr>
              <w:t xml:space="preserve">1020 N Manor Road, Honey Brook, PA 19344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2026-01-06T21:17:04.321Z</dcterms:created>
  <dcterms:modified xsi:type="dcterms:W3CDTF">2026-01-06T21:17:04.321Z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