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Language Breakdown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Statscan provides a detailed breakdown of the census data for each electoral district. For the purpose of this analysis, we will look at ‘Mother tongue’ - ‘Single responses’ and group them in a way that will maximize information while minimizing complexity. We choose ‘Mother tongue’, not ‘most spoken at home’ because mother-tongue is the best indication for an ethnic breakdown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Categories will be: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English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French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Non-official languages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These non-official languages will be broken down further into: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Aboriginal languages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Afro-Asiatic languages (mainly semitic languages, includes Hebrew and Arabic)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Austro-Asiatic languages (includes Khmer and Vietnamese); include Hmong-Mien languages in this group (computing required)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Austronesian languages (includes Tagalog / Philipino)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Dravidian languages (includes Tamil)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large group of Indo-European languages will be broken down (computing required):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European languages (Albanian, Armenian, Balt-Slavic, Celtic, Germanic, Greek), Italic, does not include English and French (doesn’t include it in Statscan either), also include Kartvelian languages (Georgian, computing required) and Uralic languages (computing required)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Indo-Aryan languages (includes Hindi, Punjabi, Gujarati, Marathi, Urdu…) - further breakdown may be useful.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Iranian languages (Kurdish, Farsi), include Indo-Iranian Languages n.i.e in this group (computing required)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Japanese, Mongolic, Korean languages (computing required)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Niger-Congo and Nilo-Saharan languages, include Creole languages (computing required)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Sign languages and Other languages (computing required)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Sino-Tibetan languages group will be broken down: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Chinese languages - mainly Mandarin and Cantonese (computing required)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Tibeto-Burman languages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Tai-Kadai languages (mainly Lao and Thai)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Turkic languages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