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99AA2D">
      <w:pPr>
        <w:keepNext w:val="0"/>
        <w:keepLines w:val="0"/>
        <w:pageBreakBefore w:val="0"/>
        <w:widowControl w:val="0"/>
        <w:numPr>
          <w:ilvl w:val="-1"/>
          <w:numId w:val="0"/>
        </w:numPr>
        <w:kinsoku/>
        <w:wordWrap/>
        <w:overflowPunct/>
        <w:topLinePunct w:val="0"/>
        <w:autoSpaceDE/>
        <w:autoSpaceDN/>
        <w:bidi w:val="0"/>
        <w:adjustRightInd/>
        <w:snapToGrid/>
        <w:spacing w:line="600" w:lineRule="exact"/>
        <w:ind w:leftChars="200" w:firstLine="1320" w:firstLineChars="300"/>
        <w:jc w:val="both"/>
        <w:textAlignment w:val="auto"/>
        <w:rPr>
          <w:rFonts w:hint="eastAsia" w:ascii="方正小标宋简体" w:hAnsi="方正小标宋简体" w:eastAsia="方正小标宋简体" w:cs="方正小标宋简体"/>
          <w:sz w:val="44"/>
          <w:szCs w:val="44"/>
          <w:highlight w:val="none"/>
        </w:rPr>
      </w:pPr>
      <w:r>
        <w:rPr>
          <w:rFonts w:hint="eastAsia" w:ascii="方正小标宋简体" w:hAnsi="方正小标宋简体" w:eastAsia="方正小标宋简体" w:cs="方正小标宋简体"/>
          <w:sz w:val="44"/>
          <w:szCs w:val="44"/>
          <w:highlight w:val="none"/>
        </w:rPr>
        <w:t>交流中心园区化发展分析报告</w:t>
      </w:r>
    </w:p>
    <w:p w14:paraId="47702334">
      <w:pPr>
        <w:keepNext w:val="0"/>
        <w:keepLines w:val="0"/>
        <w:pageBreakBefore w:val="0"/>
        <w:widowControl w:val="0"/>
        <w:numPr>
          <w:ilvl w:val="-1"/>
          <w:numId w:val="0"/>
        </w:numPr>
        <w:kinsoku/>
        <w:wordWrap/>
        <w:overflowPunct/>
        <w:topLinePunct w:val="0"/>
        <w:autoSpaceDE/>
        <w:autoSpaceDN/>
        <w:bidi w:val="0"/>
        <w:adjustRightInd/>
        <w:snapToGrid/>
        <w:spacing w:line="600" w:lineRule="exact"/>
        <w:ind w:leftChars="200"/>
        <w:jc w:val="center"/>
        <w:textAlignment w:val="auto"/>
        <w:rPr>
          <w:rFonts w:hint="eastAsia" w:ascii="方正小标宋简体" w:hAnsi="方正小标宋简体" w:eastAsia="方正小标宋简体" w:cs="方正小标宋简体"/>
          <w:sz w:val="44"/>
          <w:szCs w:val="44"/>
          <w:highlight w:val="none"/>
        </w:rPr>
      </w:pPr>
      <w:r>
        <w:rPr>
          <w:rFonts w:hint="eastAsia" w:ascii="方正小标宋简体" w:hAnsi="方正小标宋简体" w:eastAsia="方正小标宋简体" w:cs="方正小标宋简体"/>
          <w:sz w:val="44"/>
          <w:szCs w:val="44"/>
          <w:highlight w:val="none"/>
          <w:lang w:val="en-US" w:eastAsia="zh-CN"/>
        </w:rPr>
        <w:t xml:space="preserve">         </w:t>
      </w:r>
      <w:r>
        <w:rPr>
          <w:rFonts w:hint="eastAsia" w:ascii="方正小标宋简体" w:hAnsi="方正小标宋简体" w:eastAsia="方正小标宋简体" w:cs="方正小标宋简体"/>
          <w:sz w:val="40"/>
          <w:szCs w:val="40"/>
          <w:highlight w:val="none"/>
          <w:lang w:eastAsia="zh-CN"/>
        </w:rPr>
        <w:t>——</w:t>
      </w:r>
      <w:r>
        <w:rPr>
          <w:rFonts w:hint="eastAsia" w:ascii="方正小标宋简体" w:hAnsi="方正小标宋简体" w:eastAsia="方正小标宋简体" w:cs="方正小标宋简体"/>
          <w:sz w:val="40"/>
          <w:szCs w:val="40"/>
          <w:highlight w:val="none"/>
        </w:rPr>
        <w:t>打造无边界平台型服务园区</w:t>
      </w:r>
    </w:p>
    <w:p w14:paraId="574E121A">
      <w:pPr>
        <w:keepNext w:val="0"/>
        <w:keepLines w:val="0"/>
        <w:pageBreakBefore w:val="0"/>
        <w:widowControl w:val="0"/>
        <w:numPr>
          <w:ilvl w:val="-1"/>
          <w:numId w:val="0"/>
        </w:numPr>
        <w:kinsoku/>
        <w:wordWrap/>
        <w:overflowPunct/>
        <w:topLinePunct w:val="0"/>
        <w:autoSpaceDE/>
        <w:autoSpaceDN/>
        <w:bidi w:val="0"/>
        <w:adjustRightInd/>
        <w:snapToGrid/>
        <w:spacing w:line="560" w:lineRule="exact"/>
        <w:ind w:leftChars="200" w:firstLine="880" w:firstLineChars="200"/>
        <w:jc w:val="center"/>
        <w:textAlignment w:val="auto"/>
        <w:rPr>
          <w:rFonts w:hint="eastAsia" w:ascii="方正小标宋简体" w:hAnsi="方正小标宋简体" w:eastAsia="方正小标宋简体" w:cs="方正小标宋简体"/>
          <w:sz w:val="44"/>
          <w:szCs w:val="44"/>
          <w:highlight w:val="none"/>
        </w:rPr>
      </w:pPr>
    </w:p>
    <w:p w14:paraId="0F4121FC">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200" w:firstLine="640" w:firstLineChars="200"/>
        <w:textAlignment w:val="auto"/>
        <w:rPr>
          <w:rFonts w:hint="eastAsia" w:ascii="方正黑体简体" w:hAnsi="方正黑体简体" w:eastAsia="方正黑体简体" w:cs="方正黑体简体"/>
          <w:sz w:val="32"/>
          <w:szCs w:val="32"/>
          <w:highlight w:val="none"/>
        </w:rPr>
      </w:pPr>
      <w:r>
        <w:rPr>
          <w:rFonts w:hint="eastAsia" w:ascii="方正黑体简体" w:hAnsi="方正黑体简体" w:eastAsia="方正黑体简体" w:cs="方正黑体简体"/>
          <w:sz w:val="32"/>
          <w:szCs w:val="32"/>
          <w:highlight w:val="none"/>
          <w:lang w:eastAsia="zh-CN"/>
        </w:rPr>
        <w:t>一、</w:t>
      </w:r>
      <w:r>
        <w:rPr>
          <w:rFonts w:hint="eastAsia" w:ascii="方正黑体简体" w:hAnsi="方正黑体简体" w:eastAsia="方正黑体简体" w:cs="方正黑体简体"/>
          <w:sz w:val="32"/>
          <w:szCs w:val="32"/>
          <w:highlight w:val="none"/>
        </w:rPr>
        <w:t>园区化发展的背景与战略意义</w:t>
      </w:r>
    </w:p>
    <w:p w14:paraId="3A7FE545">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200" w:firstLine="640"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sz w:val="32"/>
          <w:szCs w:val="32"/>
          <w:highlight w:val="none"/>
        </w:rPr>
        <w:t>产业园区作为经济发展的重要载体，其形态和功能随着经济社会的变革不断演进。从早期的经济技术开发区到高新技术产业园区，再到如今的生态创新社区与开放式平台，园区已从单纯的要素集聚空间转变为创新生态系统的核心载体。在这一演进过程中，园区的发展逻辑也发生了根本性变化——从依靠土地、政策等基础要素驱动，转向依靠创新、生态、服务等高级要素驱动。在当前高质量发展和新发展格局背景下，园区化发展已成为各类组织实现</w:t>
      </w:r>
      <w:r>
        <w:rPr>
          <w:rFonts w:hint="default" w:ascii="Times New Roman" w:hAnsi="Times New Roman" w:eastAsia="方正仿宋简体" w:cs="Times New Roman"/>
          <w:b/>
          <w:bCs/>
          <w:sz w:val="32"/>
          <w:szCs w:val="32"/>
          <w:highlight w:val="none"/>
        </w:rPr>
        <w:t>集约资源、集聚要素、集成功能</w:t>
      </w:r>
      <w:r>
        <w:rPr>
          <w:rFonts w:hint="default" w:ascii="Times New Roman" w:hAnsi="Times New Roman" w:eastAsia="方正仿宋简体" w:cs="Times New Roman"/>
          <w:sz w:val="32"/>
          <w:szCs w:val="32"/>
          <w:highlight w:val="none"/>
        </w:rPr>
        <w:t>的重要战略路径。</w:t>
      </w:r>
    </w:p>
    <w:p w14:paraId="5606DB29">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200" w:firstLine="640"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sz w:val="32"/>
          <w:szCs w:val="32"/>
          <w:highlight w:val="none"/>
        </w:rPr>
        <w:t>交流中心推动园区化发展，本质上是顺应时代发展要求，对自身资源禀赋和功能定位进行战略性重构。这不仅是物理空间的升级，更是发展模式、运营机制和服务能级的全面跃升。通过园区化发展，交流中心能够突破传统发展模式的局限，实现从单一功能载体向</w:t>
      </w:r>
      <w:r>
        <w:rPr>
          <w:rFonts w:hint="default" w:ascii="Times New Roman" w:hAnsi="Times New Roman" w:eastAsia="方正仿宋简体" w:cs="Times New Roman"/>
          <w:b/>
          <w:bCs/>
          <w:sz w:val="32"/>
          <w:szCs w:val="32"/>
          <w:highlight w:val="none"/>
        </w:rPr>
        <w:t>综合价值平台</w:t>
      </w:r>
      <w:r>
        <w:rPr>
          <w:rFonts w:hint="default" w:ascii="Times New Roman" w:hAnsi="Times New Roman" w:eastAsia="方正仿宋简体" w:cs="Times New Roman"/>
          <w:sz w:val="32"/>
          <w:szCs w:val="32"/>
          <w:highlight w:val="none"/>
        </w:rPr>
        <w:t>的转变，从而更好地服务于</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国际青年交流重大任务的坚定保障者、传统业态转型升级的积极探索者、中国特色现代企业治理体系的忠实建设者</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的战略定位。</w:t>
      </w:r>
    </w:p>
    <w:p w14:paraId="3F4400C8">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200" w:firstLine="640"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sz w:val="32"/>
          <w:szCs w:val="32"/>
          <w:highlight w:val="none"/>
        </w:rPr>
        <w:t>值得注意的是，</w:t>
      </w:r>
      <w:r>
        <w:rPr>
          <w:rFonts w:hint="eastAsia" w:ascii="Times New Roman" w:hAnsi="Times New Roman" w:eastAsia="方正仿宋简体" w:cs="Times New Roman"/>
          <w:sz w:val="32"/>
          <w:szCs w:val="32"/>
          <w:highlight w:val="none"/>
          <w:lang w:val="en-US" w:eastAsia="zh-CN"/>
        </w:rPr>
        <w:t>当前</w:t>
      </w:r>
      <w:r>
        <w:rPr>
          <w:rFonts w:hint="default" w:ascii="Times New Roman" w:hAnsi="Times New Roman" w:eastAsia="方正仿宋简体" w:cs="Times New Roman"/>
          <w:sz w:val="32"/>
          <w:szCs w:val="32"/>
          <w:highlight w:val="none"/>
        </w:rPr>
        <w:t>园区化发展已呈现出</w:t>
      </w:r>
      <w:r>
        <w:rPr>
          <w:rFonts w:hint="default" w:ascii="Times New Roman" w:hAnsi="Times New Roman" w:eastAsia="方正仿宋简体" w:cs="Times New Roman"/>
          <w:b/>
          <w:bCs/>
          <w:sz w:val="32"/>
          <w:szCs w:val="32"/>
          <w:highlight w:val="none"/>
        </w:rPr>
        <w:t>多元化、专业化、平台化</w:t>
      </w:r>
      <w:r>
        <w:rPr>
          <w:rFonts w:hint="default" w:ascii="Times New Roman" w:hAnsi="Times New Roman" w:eastAsia="方正仿宋简体" w:cs="Times New Roman"/>
          <w:sz w:val="32"/>
          <w:szCs w:val="32"/>
          <w:highlight w:val="none"/>
        </w:rPr>
        <w:t>的新趋势，其成功愈发依赖于与城市功能的深度融合，而非建立一个封闭的</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孤岛</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。因此，准确把握园区形态的演进规律，科学选择符合自身资源禀赋的园区发展路径，对交流中心园区化建设</w:t>
      </w:r>
      <w:r>
        <w:rPr>
          <w:rFonts w:hint="eastAsia" w:ascii="Times New Roman" w:hAnsi="Times New Roman" w:eastAsia="方正仿宋简体" w:cs="Times New Roman"/>
          <w:sz w:val="32"/>
          <w:szCs w:val="32"/>
          <w:highlight w:val="none"/>
          <w:lang w:eastAsia="zh-CN"/>
        </w:rPr>
        <w:t>发展</w:t>
      </w:r>
      <w:r>
        <w:rPr>
          <w:rFonts w:hint="default" w:ascii="Times New Roman" w:hAnsi="Times New Roman" w:eastAsia="方正仿宋简体" w:cs="Times New Roman"/>
          <w:sz w:val="32"/>
          <w:szCs w:val="32"/>
          <w:highlight w:val="none"/>
        </w:rPr>
        <w:t>具有</w:t>
      </w:r>
      <w:r>
        <w:rPr>
          <w:rFonts w:hint="eastAsia" w:ascii="Times New Roman" w:hAnsi="Times New Roman" w:eastAsia="方正仿宋简体" w:cs="Times New Roman"/>
          <w:sz w:val="32"/>
          <w:szCs w:val="32"/>
          <w:highlight w:val="none"/>
          <w:lang w:val="en-US" w:eastAsia="zh-CN"/>
        </w:rPr>
        <w:t>重要</w:t>
      </w:r>
      <w:r>
        <w:rPr>
          <w:rFonts w:hint="default" w:ascii="Times New Roman" w:hAnsi="Times New Roman" w:eastAsia="方正仿宋简体" w:cs="Times New Roman"/>
          <w:sz w:val="32"/>
          <w:szCs w:val="32"/>
          <w:highlight w:val="none"/>
        </w:rPr>
        <w:t>意义。</w:t>
      </w:r>
      <w:r>
        <w:rPr>
          <w:rFonts w:hint="eastAsia" w:ascii="Times New Roman" w:hAnsi="Times New Roman" w:eastAsia="方正仿宋简体" w:cs="Times New Roman"/>
          <w:sz w:val="32"/>
          <w:szCs w:val="32"/>
          <w:highlight w:val="none"/>
          <w:lang w:val="en-US" w:eastAsia="zh-CN"/>
        </w:rPr>
        <w:t>战略发展部希望</w:t>
      </w:r>
      <w:r>
        <w:rPr>
          <w:rFonts w:hint="default" w:ascii="Times New Roman" w:hAnsi="Times New Roman" w:eastAsia="方正仿宋简体" w:cs="Times New Roman"/>
          <w:sz w:val="32"/>
          <w:szCs w:val="32"/>
          <w:highlight w:val="none"/>
        </w:rPr>
        <w:t>通过系统分析园区发展的内在规律和外部实践，为交流中心的园区化发展提供理论</w:t>
      </w:r>
      <w:r>
        <w:rPr>
          <w:rFonts w:hint="eastAsia" w:ascii="Times New Roman" w:hAnsi="Times New Roman" w:eastAsia="方正仿宋简体" w:cs="Times New Roman"/>
          <w:sz w:val="32"/>
          <w:szCs w:val="32"/>
          <w:highlight w:val="none"/>
          <w:lang w:val="en-US" w:eastAsia="zh-CN"/>
        </w:rPr>
        <w:t>资讯</w:t>
      </w:r>
      <w:r>
        <w:rPr>
          <w:rFonts w:hint="default" w:ascii="Times New Roman" w:hAnsi="Times New Roman" w:eastAsia="方正仿宋简体" w:cs="Times New Roman"/>
          <w:sz w:val="32"/>
          <w:szCs w:val="32"/>
          <w:highlight w:val="none"/>
        </w:rPr>
        <w:t>和实践参考。</w:t>
      </w:r>
    </w:p>
    <w:p w14:paraId="53B12149">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200" w:firstLine="640" w:firstLineChars="200"/>
        <w:textAlignment w:val="auto"/>
        <w:rPr>
          <w:rFonts w:hint="eastAsia" w:ascii="方正黑体简体" w:hAnsi="方正黑体简体" w:eastAsia="方正黑体简体" w:cs="方正黑体简体"/>
          <w:sz w:val="32"/>
          <w:szCs w:val="32"/>
          <w:highlight w:val="none"/>
        </w:rPr>
      </w:pPr>
      <w:r>
        <w:rPr>
          <w:rFonts w:hint="eastAsia" w:ascii="方正黑体简体" w:hAnsi="方正黑体简体" w:eastAsia="方正黑体简体" w:cs="方正黑体简体"/>
          <w:sz w:val="32"/>
          <w:szCs w:val="32"/>
          <w:highlight w:val="none"/>
          <w:lang w:eastAsia="zh-CN"/>
        </w:rPr>
        <w:t>二、</w:t>
      </w:r>
      <w:r>
        <w:rPr>
          <w:rFonts w:hint="eastAsia" w:ascii="方正黑体简体" w:hAnsi="方正黑体简体" w:eastAsia="方正黑体简体" w:cs="方正黑体简体"/>
          <w:sz w:val="32"/>
          <w:szCs w:val="32"/>
          <w:highlight w:val="none"/>
        </w:rPr>
        <w:t>产业园区的内核与多元形态</w:t>
      </w:r>
    </w:p>
    <w:p w14:paraId="605650D5">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200" w:firstLine="640" w:firstLineChars="200"/>
        <w:textAlignment w:val="auto"/>
        <w:rPr>
          <w:rFonts w:hint="default" w:ascii="Times New Roman" w:hAnsi="Times New Roman" w:eastAsia="方正楷体简体" w:cs="Times New Roman"/>
          <w:sz w:val="32"/>
          <w:szCs w:val="32"/>
          <w:highlight w:val="none"/>
        </w:rPr>
      </w:pPr>
      <w:r>
        <w:rPr>
          <w:rFonts w:hint="default" w:ascii="Times New Roman" w:hAnsi="Times New Roman" w:eastAsia="方正楷体简体" w:cs="Times New Roman"/>
          <w:sz w:val="32"/>
          <w:szCs w:val="32"/>
          <w:highlight w:val="none"/>
          <w:lang w:val="en-US" w:eastAsia="zh-CN"/>
        </w:rPr>
        <w:t xml:space="preserve">1. </w:t>
      </w:r>
      <w:r>
        <w:rPr>
          <w:rFonts w:hint="default" w:ascii="Times New Roman" w:hAnsi="Times New Roman" w:eastAsia="方正楷体简体" w:cs="Times New Roman"/>
          <w:sz w:val="32"/>
          <w:szCs w:val="32"/>
          <w:highlight w:val="none"/>
        </w:rPr>
        <w:t>产业园区的基本概念与演进规律</w:t>
      </w:r>
    </w:p>
    <w:p w14:paraId="3A03150C">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200" w:firstLine="640"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sz w:val="32"/>
          <w:szCs w:val="32"/>
          <w:highlight w:val="none"/>
        </w:rPr>
        <w:t>产业园区是指政府或企业为促进产业发展而创立的特殊区位环境，其核心特征在于产业集聚和资源集约。传统的产业园区主要围绕</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土地+政策+基础设施</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三大要素构建竞争力，通过提供低廉的土地价格、优惠的税收政策和基础配套设施，吸引企业入驻，形成产业集聚效应。这类园区的主要收入来源局限于物业租售和基础服务，园区运营方主要扮演</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房东</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和</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基础服务提供商</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的角色。</w:t>
      </w:r>
    </w:p>
    <w:p w14:paraId="587A5E41">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200" w:firstLine="640"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sz w:val="32"/>
          <w:szCs w:val="32"/>
          <w:highlight w:val="none"/>
        </w:rPr>
        <w:t>随着经济全球化和产业分工的深入发展，产业园区的发展模式不断演进，逐步从成本导向转向创新导向，从单一功能转向综合功能。成功的现代园区已不再是简单的企业集聚空间，而是</w:t>
      </w:r>
      <w:r>
        <w:rPr>
          <w:rFonts w:hint="default" w:ascii="Times New Roman" w:hAnsi="Times New Roman" w:eastAsia="方正仿宋简体" w:cs="Times New Roman"/>
          <w:b/>
          <w:bCs/>
          <w:sz w:val="32"/>
          <w:szCs w:val="32"/>
          <w:highlight w:val="none"/>
        </w:rPr>
        <w:t>各种创新要素交互作用的生态系统</w:t>
      </w:r>
      <w:r>
        <w:rPr>
          <w:rFonts w:hint="default" w:ascii="Times New Roman" w:hAnsi="Times New Roman" w:eastAsia="方正仿宋简体" w:cs="Times New Roman"/>
          <w:sz w:val="32"/>
          <w:szCs w:val="32"/>
          <w:highlight w:val="none"/>
        </w:rPr>
        <w:t>。在这个系统中，</w:t>
      </w:r>
      <w:r>
        <w:rPr>
          <w:rFonts w:hint="default" w:ascii="Times New Roman" w:hAnsi="Times New Roman" w:eastAsia="方正仿宋简体" w:cs="Times New Roman"/>
          <w:b/>
          <w:bCs/>
          <w:sz w:val="32"/>
          <w:szCs w:val="32"/>
          <w:highlight w:val="none"/>
        </w:rPr>
        <w:t>知识外溢、技术扩散、产业协同成为园区价值创造的核心机制</w:t>
      </w:r>
      <w:r>
        <w:rPr>
          <w:rFonts w:hint="default" w:ascii="Times New Roman" w:hAnsi="Times New Roman" w:eastAsia="方正仿宋简体" w:cs="Times New Roman"/>
          <w:sz w:val="32"/>
          <w:szCs w:val="32"/>
          <w:highlight w:val="none"/>
        </w:rPr>
        <w:t>。园区运营方的角色也相应从</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房东</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转变为</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股东+服务商</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，通过产业投资和专业服务分享企业成长红利，构建更加可持续的盈利模式。</w:t>
      </w:r>
    </w:p>
    <w:p w14:paraId="7D724B59">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leftChars="200" w:firstLine="640" w:firstLineChars="200"/>
        <w:textAlignment w:val="auto"/>
        <w:rPr>
          <w:rFonts w:hint="eastAsia" w:ascii="方正楷体简体" w:hAnsi="方正楷体简体" w:eastAsia="方正楷体简体" w:cs="方正楷体简体"/>
          <w:sz w:val="32"/>
          <w:szCs w:val="32"/>
          <w:highlight w:val="none"/>
        </w:rPr>
      </w:pPr>
      <w:r>
        <w:rPr>
          <w:rFonts w:hint="eastAsia" w:ascii="方正楷体简体" w:hAnsi="方正楷体简体" w:eastAsia="方正楷体简体" w:cs="方正楷体简体"/>
          <w:sz w:val="32"/>
          <w:szCs w:val="32"/>
          <w:highlight w:val="none"/>
        </w:rPr>
        <w:t>平台型服务园区的</w:t>
      </w:r>
      <w:r>
        <w:rPr>
          <w:rFonts w:hint="eastAsia" w:ascii="方正楷体简体" w:hAnsi="方正楷体简体" w:eastAsia="方正楷体简体" w:cs="方正楷体简体"/>
          <w:sz w:val="32"/>
          <w:szCs w:val="32"/>
          <w:highlight w:val="none"/>
          <w:lang w:eastAsia="zh-CN"/>
        </w:rPr>
        <w:t>发展</w:t>
      </w:r>
      <w:r>
        <w:rPr>
          <w:rFonts w:hint="eastAsia" w:ascii="方正楷体简体" w:hAnsi="方正楷体简体" w:eastAsia="方正楷体简体" w:cs="方正楷体简体"/>
          <w:sz w:val="32"/>
          <w:szCs w:val="32"/>
          <w:highlight w:val="none"/>
        </w:rPr>
        <w:t>与特征</w:t>
      </w:r>
    </w:p>
    <w:p w14:paraId="53E739CF">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200" w:firstLine="640"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sz w:val="32"/>
          <w:szCs w:val="32"/>
          <w:highlight w:val="none"/>
        </w:rPr>
        <w:t>在园区形态不断演进的过程中，</w:t>
      </w:r>
      <w:r>
        <w:rPr>
          <w:rFonts w:hint="default" w:ascii="Times New Roman" w:hAnsi="Times New Roman" w:eastAsia="方正仿宋简体" w:cs="Times New Roman"/>
          <w:b/>
          <w:bCs/>
          <w:sz w:val="32"/>
          <w:szCs w:val="32"/>
          <w:highlight w:val="none"/>
        </w:rPr>
        <w:t>平台型服务园区</w:t>
      </w:r>
      <w:r>
        <w:rPr>
          <w:rFonts w:hint="default" w:ascii="Times New Roman" w:hAnsi="Times New Roman" w:eastAsia="方正仿宋简体" w:cs="Times New Roman"/>
          <w:sz w:val="32"/>
          <w:szCs w:val="32"/>
          <w:highlight w:val="none"/>
        </w:rPr>
        <w:t>作为一种新型园区形态逐渐崛起并展现出强大生命力。与传统产业园区不同，平台型服务园区不是以</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产业集聚</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为核心目的，而是以</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b/>
          <w:bCs/>
          <w:sz w:val="32"/>
          <w:szCs w:val="32"/>
          <w:highlight w:val="none"/>
        </w:rPr>
        <w:t>功能实现</w:t>
      </w:r>
      <w:r>
        <w:rPr>
          <w:rFonts w:hint="eastAsia" w:ascii="Times New Roman" w:hAnsi="Times New Roman" w:eastAsia="方正仿宋简体" w:cs="Times New Roman"/>
          <w:b/>
          <w:bCs/>
          <w:sz w:val="32"/>
          <w:szCs w:val="32"/>
          <w:highlight w:val="none"/>
          <w:lang w:eastAsia="zh-CN"/>
        </w:rPr>
        <w:t>”</w:t>
      </w:r>
      <w:r>
        <w:rPr>
          <w:rFonts w:hint="default" w:ascii="Times New Roman" w:hAnsi="Times New Roman" w:eastAsia="方正仿宋简体" w:cs="Times New Roman"/>
          <w:b w:val="0"/>
          <w:bCs w:val="0"/>
          <w:sz w:val="32"/>
          <w:szCs w:val="32"/>
          <w:highlight w:val="none"/>
        </w:rPr>
        <w:t>和</w:t>
      </w:r>
      <w:r>
        <w:rPr>
          <w:rFonts w:hint="eastAsia" w:ascii="Times New Roman" w:hAnsi="Times New Roman" w:eastAsia="方正仿宋简体" w:cs="Times New Roman"/>
          <w:b/>
          <w:bCs/>
          <w:sz w:val="32"/>
          <w:szCs w:val="32"/>
          <w:highlight w:val="none"/>
          <w:lang w:eastAsia="zh-CN"/>
        </w:rPr>
        <w:t>“</w:t>
      </w:r>
      <w:r>
        <w:rPr>
          <w:rFonts w:hint="default" w:ascii="Times New Roman" w:hAnsi="Times New Roman" w:eastAsia="方正仿宋简体" w:cs="Times New Roman"/>
          <w:b/>
          <w:bCs/>
          <w:sz w:val="32"/>
          <w:szCs w:val="32"/>
          <w:highlight w:val="none"/>
        </w:rPr>
        <w:t>价值创造</w:t>
      </w:r>
      <w:r>
        <w:rPr>
          <w:rFonts w:hint="eastAsia" w:ascii="Times New Roman" w:hAnsi="Times New Roman" w:eastAsia="方正仿宋简体" w:cs="Times New Roman"/>
          <w:b/>
          <w:bCs/>
          <w:sz w:val="32"/>
          <w:szCs w:val="32"/>
          <w:highlight w:val="none"/>
          <w:lang w:eastAsia="zh-CN"/>
        </w:rPr>
        <w:t>”</w:t>
      </w:r>
      <w:r>
        <w:rPr>
          <w:rFonts w:hint="default" w:ascii="Times New Roman" w:hAnsi="Times New Roman" w:eastAsia="方正仿宋简体" w:cs="Times New Roman"/>
          <w:sz w:val="32"/>
          <w:szCs w:val="32"/>
          <w:highlight w:val="none"/>
        </w:rPr>
        <w:t>为核心导向。它通过构建一个或多个高能级功能平台，吸附和整合各类资源，形成开放、协同、共生的生态系统。</w:t>
      </w:r>
    </w:p>
    <w:p w14:paraId="7336C0D5">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200" w:firstLine="640"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sz w:val="32"/>
          <w:szCs w:val="32"/>
          <w:highlight w:val="none"/>
        </w:rPr>
        <w:t>平台型服务园区的本质特征是</w:t>
      </w:r>
      <w:r>
        <w:rPr>
          <w:rFonts w:hint="default" w:ascii="Times New Roman" w:hAnsi="Times New Roman" w:eastAsia="方正仿宋简体" w:cs="Times New Roman"/>
          <w:b/>
          <w:bCs/>
          <w:sz w:val="32"/>
          <w:szCs w:val="32"/>
          <w:highlight w:val="none"/>
        </w:rPr>
        <w:t>去地产化</w:t>
      </w:r>
      <w:r>
        <w:rPr>
          <w:rFonts w:hint="default" w:ascii="Times New Roman" w:hAnsi="Times New Roman" w:eastAsia="方正仿宋简体" w:cs="Times New Roman"/>
          <w:sz w:val="32"/>
          <w:szCs w:val="32"/>
          <w:highlight w:val="none"/>
        </w:rPr>
        <w:t>和</w:t>
      </w:r>
      <w:r>
        <w:rPr>
          <w:rFonts w:hint="default" w:ascii="Times New Roman" w:hAnsi="Times New Roman" w:eastAsia="方正仿宋简体" w:cs="Times New Roman"/>
          <w:b/>
          <w:bCs/>
          <w:sz w:val="32"/>
          <w:szCs w:val="32"/>
          <w:highlight w:val="none"/>
        </w:rPr>
        <w:t>强资源整合</w:t>
      </w:r>
      <w:r>
        <w:rPr>
          <w:rFonts w:hint="default" w:ascii="Times New Roman" w:hAnsi="Times New Roman" w:eastAsia="方正仿宋简体" w:cs="Times New Roman"/>
          <w:sz w:val="32"/>
          <w:szCs w:val="32"/>
          <w:highlight w:val="none"/>
        </w:rPr>
        <w:t>。它不仅仅提供物理空间，更重要的是提供价值创造的平台和机制。在这个平台上，各类主体能够高效交互、协同创新，实现价值的共创共享。平台型服务园区的竞争力不依赖于土地和政策的优惠程度，而取决于其</w:t>
      </w:r>
      <w:r>
        <w:rPr>
          <w:rFonts w:hint="default" w:ascii="Times New Roman" w:hAnsi="Times New Roman" w:eastAsia="方正仿宋简体" w:cs="Times New Roman"/>
          <w:b/>
          <w:bCs/>
          <w:sz w:val="32"/>
          <w:szCs w:val="32"/>
          <w:highlight w:val="none"/>
        </w:rPr>
        <w:t>平台能级、资源质量和网络效应</w:t>
      </w:r>
      <w:r>
        <w:rPr>
          <w:rFonts w:hint="default" w:ascii="Times New Roman" w:hAnsi="Times New Roman" w:eastAsia="方正仿宋简体" w:cs="Times New Roman"/>
          <w:sz w:val="32"/>
          <w:szCs w:val="32"/>
          <w:highlight w:val="none"/>
        </w:rPr>
        <w:t>。</w:t>
      </w:r>
    </w:p>
    <w:p w14:paraId="46407808">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200" w:firstLine="640"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sz w:val="32"/>
          <w:szCs w:val="32"/>
          <w:highlight w:val="none"/>
        </w:rPr>
        <w:t>具体来说，平台型服务园区具有以下典型特征：</w:t>
      </w:r>
    </w:p>
    <w:p w14:paraId="542DEE60">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200" w:firstLine="643"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b/>
          <w:bCs/>
          <w:sz w:val="32"/>
          <w:szCs w:val="32"/>
          <w:highlight w:val="none"/>
        </w:rPr>
        <w:t>功能主导：</w:t>
      </w:r>
      <w:r>
        <w:rPr>
          <w:rFonts w:hint="default" w:ascii="Times New Roman" w:hAnsi="Times New Roman" w:eastAsia="方正仿宋简体" w:cs="Times New Roman"/>
          <w:sz w:val="32"/>
          <w:szCs w:val="32"/>
          <w:highlight w:val="none"/>
        </w:rPr>
        <w:t>园区的存在和价值实现主要围绕一个或多个</w:t>
      </w:r>
      <w:r>
        <w:rPr>
          <w:rFonts w:hint="default" w:ascii="Times New Roman" w:hAnsi="Times New Roman" w:eastAsia="方正仿宋简体" w:cs="Times New Roman"/>
          <w:b/>
          <w:bCs/>
          <w:sz w:val="32"/>
          <w:szCs w:val="32"/>
          <w:highlight w:val="none"/>
        </w:rPr>
        <w:t>高能级功能平台</w:t>
      </w:r>
      <w:r>
        <w:rPr>
          <w:rFonts w:hint="default" w:ascii="Times New Roman" w:hAnsi="Times New Roman" w:eastAsia="方正仿宋简体" w:cs="Times New Roman"/>
          <w:sz w:val="32"/>
          <w:szCs w:val="32"/>
          <w:highlight w:val="none"/>
        </w:rPr>
        <w:t>展开，如国际交往平台、技术创新平台、文化传播平台等。</w:t>
      </w:r>
    </w:p>
    <w:p w14:paraId="4EB7740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200" w:firstLine="643"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b/>
          <w:bCs/>
          <w:sz w:val="32"/>
          <w:szCs w:val="32"/>
          <w:highlight w:val="none"/>
        </w:rPr>
        <w:t>生态依存：</w:t>
      </w:r>
      <w:r>
        <w:rPr>
          <w:rFonts w:hint="default" w:ascii="Times New Roman" w:hAnsi="Times New Roman" w:eastAsia="方正仿宋简体" w:cs="Times New Roman"/>
          <w:sz w:val="32"/>
          <w:szCs w:val="32"/>
          <w:highlight w:val="none"/>
        </w:rPr>
        <w:t>园区内各主体之间不是简单的租赁或买卖关系，而是</w:t>
      </w:r>
      <w:r>
        <w:rPr>
          <w:rFonts w:hint="default" w:ascii="Times New Roman" w:hAnsi="Times New Roman" w:eastAsia="方正仿宋简体" w:cs="Times New Roman"/>
          <w:b/>
          <w:bCs/>
          <w:sz w:val="32"/>
          <w:szCs w:val="32"/>
          <w:highlight w:val="none"/>
        </w:rPr>
        <w:t>功能互补、价值共生</w:t>
      </w:r>
      <w:r>
        <w:rPr>
          <w:rFonts w:hint="default" w:ascii="Times New Roman" w:hAnsi="Times New Roman" w:eastAsia="方正仿宋简体" w:cs="Times New Roman"/>
          <w:sz w:val="32"/>
          <w:szCs w:val="32"/>
          <w:highlight w:val="none"/>
        </w:rPr>
        <w:t>的生态关系。</w:t>
      </w:r>
    </w:p>
    <w:p w14:paraId="79577BA3">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200" w:firstLine="643" w:firstLineChars="200"/>
        <w:textAlignment w:val="auto"/>
        <w:rPr>
          <w:rFonts w:hint="eastAsia" w:ascii="Times New Roman" w:hAnsi="Times New Roman" w:eastAsia="方正仿宋简体" w:cs="Times New Roman"/>
          <w:b/>
          <w:bCs/>
          <w:sz w:val="32"/>
          <w:szCs w:val="32"/>
          <w:highlight w:val="none"/>
        </w:rPr>
      </w:pPr>
      <w:r>
        <w:rPr>
          <w:rFonts w:hint="default" w:ascii="Times New Roman" w:hAnsi="Times New Roman" w:eastAsia="方正仿宋简体" w:cs="Times New Roman"/>
          <w:b/>
          <w:bCs/>
          <w:sz w:val="32"/>
          <w:szCs w:val="32"/>
          <w:highlight w:val="none"/>
        </w:rPr>
        <w:t>网络效应：</w:t>
      </w:r>
      <w:r>
        <w:rPr>
          <w:rFonts w:hint="default" w:ascii="Times New Roman" w:hAnsi="Times New Roman" w:eastAsia="方正仿宋简体" w:cs="Times New Roman"/>
          <w:sz w:val="32"/>
          <w:szCs w:val="32"/>
          <w:highlight w:val="none"/>
        </w:rPr>
        <w:t>园区的价值随着参与主体的增加呈现指数级增长，形成</w:t>
      </w:r>
      <w:r>
        <w:rPr>
          <w:rFonts w:hint="default" w:ascii="Times New Roman" w:hAnsi="Times New Roman" w:eastAsia="方正仿宋简体" w:cs="Times New Roman"/>
          <w:b/>
          <w:bCs/>
          <w:sz w:val="32"/>
          <w:szCs w:val="32"/>
          <w:highlight w:val="none"/>
        </w:rPr>
        <w:t>正向反馈机制</w:t>
      </w:r>
      <w:r>
        <w:rPr>
          <w:rFonts w:hint="default" w:ascii="Times New Roman" w:hAnsi="Times New Roman" w:eastAsia="方正仿宋简体" w:cs="Times New Roman"/>
          <w:sz w:val="32"/>
          <w:szCs w:val="32"/>
          <w:highlight w:val="none"/>
        </w:rPr>
        <w:t>。</w:t>
      </w:r>
    </w:p>
    <w:p w14:paraId="1EF424FA">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200" w:firstLine="643"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b/>
          <w:bCs/>
          <w:sz w:val="32"/>
          <w:szCs w:val="32"/>
          <w:highlight w:val="none"/>
        </w:rPr>
        <w:t>服务赋能：</w:t>
      </w:r>
      <w:r>
        <w:rPr>
          <w:rFonts w:hint="default" w:ascii="Times New Roman" w:hAnsi="Times New Roman" w:eastAsia="方正仿宋简体" w:cs="Times New Roman"/>
          <w:sz w:val="32"/>
          <w:szCs w:val="32"/>
          <w:highlight w:val="none"/>
        </w:rPr>
        <w:t>园区运营方主要通过提供</w:t>
      </w:r>
      <w:r>
        <w:rPr>
          <w:rFonts w:hint="default" w:ascii="Times New Roman" w:hAnsi="Times New Roman" w:eastAsia="方正仿宋简体" w:cs="Times New Roman"/>
          <w:b/>
          <w:bCs/>
          <w:sz w:val="32"/>
          <w:szCs w:val="32"/>
          <w:highlight w:val="none"/>
        </w:rPr>
        <w:t>专业服务</w:t>
      </w:r>
      <w:r>
        <w:rPr>
          <w:rFonts w:hint="default" w:ascii="Times New Roman" w:hAnsi="Times New Roman" w:eastAsia="方正仿宋简体" w:cs="Times New Roman"/>
          <w:sz w:val="32"/>
          <w:szCs w:val="32"/>
          <w:highlight w:val="none"/>
        </w:rPr>
        <w:t>和</w:t>
      </w:r>
      <w:r>
        <w:rPr>
          <w:rFonts w:hint="default" w:ascii="Times New Roman" w:hAnsi="Times New Roman" w:eastAsia="方正仿宋简体" w:cs="Times New Roman"/>
          <w:b/>
          <w:bCs/>
          <w:sz w:val="32"/>
          <w:szCs w:val="32"/>
          <w:highlight w:val="none"/>
        </w:rPr>
        <w:t>系统解决方案</w:t>
      </w:r>
      <w:r>
        <w:rPr>
          <w:rFonts w:hint="default" w:ascii="Times New Roman" w:hAnsi="Times New Roman" w:eastAsia="方正仿宋简体" w:cs="Times New Roman"/>
          <w:sz w:val="32"/>
          <w:szCs w:val="32"/>
          <w:highlight w:val="none"/>
        </w:rPr>
        <w:t>为入驻主体赋能，而非简单提供空间。</w:t>
      </w:r>
    </w:p>
    <w:p w14:paraId="66A24597">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200" w:firstLine="640" w:firstLineChars="200"/>
        <w:textAlignment w:val="auto"/>
        <w:rPr>
          <w:rFonts w:hint="default" w:ascii="Times New Roman" w:hAnsi="Times New Roman" w:eastAsia="方正仿宋简体" w:cs="Times New Roman"/>
          <w:sz w:val="32"/>
          <w:szCs w:val="32"/>
          <w:highlight w:val="none"/>
        </w:rPr>
      </w:pPr>
    </w:p>
    <w:p w14:paraId="74D7CF6C">
      <w:pPr>
        <w:pStyle w:val="4"/>
        <w:keepNext w:val="0"/>
        <w:keepLines w:val="0"/>
        <w:pageBreakBefore w:val="0"/>
        <w:widowControl/>
        <w:suppressLineNumbers w:val="0"/>
        <w:shd w:val="clear" w:fill="FFFFFF"/>
        <w:kinsoku/>
        <w:wordWrap/>
        <w:overflowPunct/>
        <w:topLinePunct w:val="0"/>
        <w:autoSpaceDE/>
        <w:autoSpaceDN/>
        <w:bidi w:val="0"/>
        <w:adjustRightInd/>
        <w:spacing w:beforeAutospacing="0" w:afterAutospacing="0" w:line="560" w:lineRule="exact"/>
        <w:ind w:left="0" w:right="0" w:firstLine="0"/>
        <w:textAlignment w:val="auto"/>
        <w:rPr>
          <w:rFonts w:hint="eastAsia" w:ascii="方正仿宋简体" w:hAnsi="方正仿宋简体" w:eastAsia="方正仿宋简体" w:cs="方正仿宋简体"/>
          <w:i w:val="0"/>
          <w:iCs w:val="0"/>
          <w:caps w:val="0"/>
          <w:color w:val="0F1115"/>
          <w:spacing w:val="0"/>
          <w:sz w:val="28"/>
          <w:szCs w:val="28"/>
          <w:highlight w:val="none"/>
        </w:rPr>
      </w:pPr>
      <w:r>
        <w:rPr>
          <w:rStyle w:val="7"/>
          <w:rFonts w:hint="eastAsia" w:ascii="方正仿宋简体" w:hAnsi="方正仿宋简体" w:eastAsia="方正仿宋简体" w:cs="方正仿宋简体"/>
          <w:b/>
          <w:bCs/>
          <w:i w:val="0"/>
          <w:iCs w:val="0"/>
          <w:caps w:val="0"/>
          <w:color w:val="0F1115"/>
          <w:spacing w:val="0"/>
          <w:sz w:val="28"/>
          <w:szCs w:val="28"/>
          <w:highlight w:val="none"/>
          <w:shd w:val="clear" w:fill="FFFFFF"/>
          <w:lang w:eastAsia="zh-CN"/>
        </w:rPr>
        <w:t>表：</w:t>
      </w:r>
      <w:r>
        <w:rPr>
          <w:rStyle w:val="7"/>
          <w:rFonts w:hint="eastAsia" w:ascii="方正仿宋简体" w:hAnsi="方正仿宋简体" w:eastAsia="方正仿宋简体" w:cs="方正仿宋简体"/>
          <w:b/>
          <w:bCs/>
          <w:i w:val="0"/>
          <w:iCs w:val="0"/>
          <w:caps w:val="0"/>
          <w:color w:val="0F1115"/>
          <w:spacing w:val="0"/>
          <w:sz w:val="28"/>
          <w:szCs w:val="28"/>
          <w:highlight w:val="none"/>
          <w:shd w:val="clear" w:fill="FFFFFF"/>
        </w:rPr>
        <w:t>传统产业园区与平台型服务园区比较</w:t>
      </w:r>
    </w:p>
    <w:tbl>
      <w:tblPr>
        <w:tblStyle w:val="5"/>
        <w:tblW w:w="89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45" w:type="dxa"/>
          <w:left w:w="96" w:type="dxa"/>
          <w:bottom w:w="45" w:type="dxa"/>
          <w:right w:w="96" w:type="dxa"/>
        </w:tblCellMar>
      </w:tblPr>
      <w:tblGrid>
        <w:gridCol w:w="1745"/>
        <w:gridCol w:w="3044"/>
        <w:gridCol w:w="4159"/>
      </w:tblGrid>
      <w:tr w14:paraId="4512F97C">
        <w:trPr>
          <w:tblHeader/>
          <w:jc w:val="center"/>
        </w:trPr>
        <w:tc>
          <w:tcPr>
            <w:tcW w:w="1745" w:type="dxa"/>
            <w:shd w:val="clear" w:color="auto" w:fill="auto"/>
            <w:vAlign w:val="center"/>
          </w:tcPr>
          <w:p w14:paraId="44F3C76C">
            <w:pPr>
              <w:keepNext w:val="0"/>
              <w:keepLines w:val="0"/>
              <w:pageBreakBefore w:val="0"/>
              <w:widowControl/>
              <w:suppressLineNumbers w:val="0"/>
              <w:kinsoku/>
              <w:wordWrap/>
              <w:overflowPunct/>
              <w:topLinePunct w:val="0"/>
              <w:autoSpaceDE/>
              <w:autoSpaceDN/>
              <w:bidi w:val="0"/>
              <w:adjustRightInd/>
              <w:snapToGrid w:val="0"/>
              <w:spacing w:line="560" w:lineRule="exact"/>
              <w:jc w:val="center"/>
              <w:textAlignment w:val="auto"/>
              <w:rPr>
                <w:rFonts w:hint="eastAsia" w:ascii="方正仿宋简体" w:hAnsi="方正仿宋简体" w:eastAsia="方正仿宋简体" w:cs="方正仿宋简体"/>
                <w:b/>
                <w:bCs/>
                <w:sz w:val="28"/>
                <w:szCs w:val="28"/>
                <w:highlight w:val="none"/>
              </w:rPr>
            </w:pPr>
            <w:r>
              <w:rPr>
                <w:rFonts w:hint="eastAsia" w:ascii="方正仿宋简体" w:hAnsi="方正仿宋简体" w:eastAsia="方正仿宋简体" w:cs="方正仿宋简体"/>
                <w:b/>
                <w:bCs/>
                <w:kern w:val="0"/>
                <w:sz w:val="28"/>
                <w:szCs w:val="28"/>
                <w:highlight w:val="none"/>
                <w:lang w:val="en-US" w:eastAsia="zh-CN" w:bidi="ar"/>
              </w:rPr>
              <w:t>比较维度</w:t>
            </w:r>
          </w:p>
        </w:tc>
        <w:tc>
          <w:tcPr>
            <w:tcW w:w="3044" w:type="dxa"/>
            <w:shd w:val="clear" w:color="auto" w:fill="auto"/>
            <w:vAlign w:val="center"/>
          </w:tcPr>
          <w:p w14:paraId="24EB97F3">
            <w:pPr>
              <w:keepNext w:val="0"/>
              <w:keepLines w:val="0"/>
              <w:pageBreakBefore w:val="0"/>
              <w:widowControl/>
              <w:suppressLineNumbers w:val="0"/>
              <w:kinsoku/>
              <w:wordWrap/>
              <w:overflowPunct/>
              <w:topLinePunct w:val="0"/>
              <w:autoSpaceDE/>
              <w:autoSpaceDN/>
              <w:bidi w:val="0"/>
              <w:adjustRightInd/>
              <w:snapToGrid w:val="0"/>
              <w:spacing w:line="560" w:lineRule="exact"/>
              <w:jc w:val="center"/>
              <w:textAlignment w:val="auto"/>
              <w:rPr>
                <w:rFonts w:hint="eastAsia" w:ascii="方正仿宋简体" w:hAnsi="方正仿宋简体" w:eastAsia="方正仿宋简体" w:cs="方正仿宋简体"/>
                <w:b/>
                <w:bCs/>
                <w:sz w:val="28"/>
                <w:szCs w:val="28"/>
                <w:highlight w:val="none"/>
              </w:rPr>
            </w:pPr>
            <w:r>
              <w:rPr>
                <w:rFonts w:hint="eastAsia" w:ascii="方正仿宋简体" w:hAnsi="方正仿宋简体" w:eastAsia="方正仿宋简体" w:cs="方正仿宋简体"/>
                <w:b/>
                <w:bCs/>
                <w:kern w:val="0"/>
                <w:sz w:val="28"/>
                <w:szCs w:val="28"/>
                <w:highlight w:val="none"/>
                <w:lang w:val="en-US" w:eastAsia="zh-CN" w:bidi="ar"/>
              </w:rPr>
              <w:t>传统产业园区</w:t>
            </w:r>
          </w:p>
        </w:tc>
        <w:tc>
          <w:tcPr>
            <w:tcW w:w="4159" w:type="dxa"/>
            <w:shd w:val="clear" w:color="auto" w:fill="auto"/>
            <w:vAlign w:val="center"/>
          </w:tcPr>
          <w:p w14:paraId="6560B6FE">
            <w:pPr>
              <w:keepNext w:val="0"/>
              <w:keepLines w:val="0"/>
              <w:pageBreakBefore w:val="0"/>
              <w:widowControl/>
              <w:suppressLineNumbers w:val="0"/>
              <w:kinsoku/>
              <w:wordWrap/>
              <w:overflowPunct/>
              <w:topLinePunct w:val="0"/>
              <w:autoSpaceDE/>
              <w:autoSpaceDN/>
              <w:bidi w:val="0"/>
              <w:adjustRightInd/>
              <w:snapToGrid w:val="0"/>
              <w:spacing w:line="560" w:lineRule="exact"/>
              <w:jc w:val="center"/>
              <w:textAlignment w:val="auto"/>
              <w:rPr>
                <w:rFonts w:hint="eastAsia" w:ascii="方正仿宋简体" w:hAnsi="方正仿宋简体" w:eastAsia="方正仿宋简体" w:cs="方正仿宋简体"/>
                <w:b/>
                <w:bCs/>
                <w:sz w:val="28"/>
                <w:szCs w:val="28"/>
                <w:highlight w:val="none"/>
              </w:rPr>
            </w:pPr>
            <w:r>
              <w:rPr>
                <w:rFonts w:hint="eastAsia" w:ascii="方正仿宋简体" w:hAnsi="方正仿宋简体" w:eastAsia="方正仿宋简体" w:cs="方正仿宋简体"/>
                <w:b/>
                <w:bCs/>
                <w:kern w:val="0"/>
                <w:sz w:val="28"/>
                <w:szCs w:val="28"/>
                <w:highlight w:val="none"/>
                <w:lang w:val="en-US" w:eastAsia="zh-CN" w:bidi="ar"/>
              </w:rPr>
              <w:t>平台型服务园区</w:t>
            </w:r>
          </w:p>
        </w:tc>
      </w:tr>
      <w:tr w14:paraId="33E55819">
        <w:trPr>
          <w:jc w:val="center"/>
        </w:trPr>
        <w:tc>
          <w:tcPr>
            <w:tcW w:w="1745" w:type="dxa"/>
            <w:shd w:val="clear" w:color="auto" w:fill="auto"/>
            <w:vAlign w:val="center"/>
          </w:tcPr>
          <w:p w14:paraId="6C0F6030">
            <w:pPr>
              <w:keepNext w:val="0"/>
              <w:keepLines w:val="0"/>
              <w:pageBreakBefore w:val="0"/>
              <w:widowControl/>
              <w:suppressLineNumbers w:val="0"/>
              <w:kinsoku/>
              <w:wordWrap/>
              <w:overflowPunct/>
              <w:topLinePunct w:val="0"/>
              <w:autoSpaceDE/>
              <w:autoSpaceDN/>
              <w:bidi w:val="0"/>
              <w:adjustRightInd/>
              <w:snapToGrid w:val="0"/>
              <w:spacing w:line="560" w:lineRule="exact"/>
              <w:jc w:val="center"/>
              <w:textAlignment w:val="auto"/>
              <w:rPr>
                <w:rFonts w:hint="eastAsia" w:ascii="方正仿宋简体" w:hAnsi="方正仿宋简体" w:eastAsia="方正仿宋简体" w:cs="方正仿宋简体"/>
                <w:sz w:val="28"/>
                <w:szCs w:val="28"/>
                <w:highlight w:val="none"/>
              </w:rPr>
            </w:pPr>
            <w:r>
              <w:rPr>
                <w:rStyle w:val="7"/>
                <w:rFonts w:hint="eastAsia" w:ascii="方正仿宋简体" w:hAnsi="方正仿宋简体" w:eastAsia="方正仿宋简体" w:cs="方正仿宋简体"/>
                <w:b/>
                <w:bCs/>
                <w:kern w:val="0"/>
                <w:sz w:val="28"/>
                <w:szCs w:val="28"/>
                <w:highlight w:val="none"/>
                <w:lang w:val="en-US" w:eastAsia="zh-CN" w:bidi="ar"/>
              </w:rPr>
              <w:t>核心驱动力</w:t>
            </w:r>
          </w:p>
        </w:tc>
        <w:tc>
          <w:tcPr>
            <w:tcW w:w="3044" w:type="dxa"/>
            <w:shd w:val="clear" w:color="auto" w:fill="auto"/>
            <w:vAlign w:val="center"/>
          </w:tcPr>
          <w:p w14:paraId="3A3EB9F1">
            <w:pPr>
              <w:keepNext w:val="0"/>
              <w:keepLines w:val="0"/>
              <w:pageBreakBefore w:val="0"/>
              <w:widowControl/>
              <w:suppressLineNumbers w:val="0"/>
              <w:kinsoku/>
              <w:wordWrap/>
              <w:overflowPunct/>
              <w:topLinePunct w:val="0"/>
              <w:autoSpaceDE/>
              <w:autoSpaceDN/>
              <w:bidi w:val="0"/>
              <w:adjustRightInd/>
              <w:snapToGrid w:val="0"/>
              <w:spacing w:line="560" w:lineRule="exact"/>
              <w:jc w:val="center"/>
              <w:textAlignment w:val="auto"/>
              <w:rPr>
                <w:rFonts w:hint="eastAsia" w:ascii="方正仿宋简体" w:hAnsi="方正仿宋简体" w:eastAsia="方正仿宋简体" w:cs="方正仿宋简体"/>
                <w:sz w:val="28"/>
                <w:szCs w:val="28"/>
                <w:highlight w:val="none"/>
              </w:rPr>
            </w:pPr>
            <w:r>
              <w:rPr>
                <w:rFonts w:hint="eastAsia" w:ascii="方正仿宋简体" w:hAnsi="方正仿宋简体" w:eastAsia="方正仿宋简体" w:cs="方正仿宋简体"/>
                <w:kern w:val="0"/>
                <w:sz w:val="28"/>
                <w:szCs w:val="28"/>
                <w:highlight w:val="none"/>
                <w:lang w:val="en-US" w:eastAsia="zh-CN" w:bidi="ar"/>
              </w:rPr>
              <w:t>土地、政策、基础设施</w:t>
            </w:r>
          </w:p>
        </w:tc>
        <w:tc>
          <w:tcPr>
            <w:tcW w:w="4159" w:type="dxa"/>
            <w:shd w:val="clear" w:color="auto" w:fill="auto"/>
            <w:vAlign w:val="center"/>
          </w:tcPr>
          <w:p w14:paraId="501AA18F">
            <w:pPr>
              <w:keepNext w:val="0"/>
              <w:keepLines w:val="0"/>
              <w:pageBreakBefore w:val="0"/>
              <w:widowControl/>
              <w:suppressLineNumbers w:val="0"/>
              <w:kinsoku/>
              <w:wordWrap/>
              <w:overflowPunct/>
              <w:topLinePunct w:val="0"/>
              <w:autoSpaceDE/>
              <w:autoSpaceDN/>
              <w:bidi w:val="0"/>
              <w:adjustRightInd/>
              <w:snapToGrid w:val="0"/>
              <w:spacing w:line="560" w:lineRule="exact"/>
              <w:jc w:val="center"/>
              <w:textAlignment w:val="auto"/>
              <w:rPr>
                <w:rFonts w:hint="eastAsia" w:ascii="方正仿宋简体" w:hAnsi="方正仿宋简体" w:eastAsia="方正仿宋简体" w:cs="方正仿宋简体"/>
                <w:sz w:val="28"/>
                <w:szCs w:val="28"/>
                <w:highlight w:val="none"/>
              </w:rPr>
            </w:pPr>
            <w:r>
              <w:rPr>
                <w:rFonts w:hint="eastAsia" w:ascii="方正仿宋简体" w:hAnsi="方正仿宋简体" w:eastAsia="方正仿宋简体" w:cs="方正仿宋简体"/>
                <w:kern w:val="0"/>
                <w:sz w:val="28"/>
                <w:szCs w:val="28"/>
                <w:highlight w:val="none"/>
                <w:lang w:val="en-US" w:eastAsia="zh-CN" w:bidi="ar"/>
              </w:rPr>
              <w:t>平台功能、资源网络、创新生态</w:t>
            </w:r>
          </w:p>
        </w:tc>
      </w:tr>
      <w:tr w14:paraId="10CED01B">
        <w:trPr>
          <w:jc w:val="center"/>
        </w:trPr>
        <w:tc>
          <w:tcPr>
            <w:tcW w:w="1745" w:type="dxa"/>
            <w:shd w:val="clear" w:color="auto" w:fill="auto"/>
            <w:vAlign w:val="center"/>
          </w:tcPr>
          <w:p w14:paraId="38453B51">
            <w:pPr>
              <w:keepNext w:val="0"/>
              <w:keepLines w:val="0"/>
              <w:pageBreakBefore w:val="0"/>
              <w:widowControl/>
              <w:suppressLineNumbers w:val="0"/>
              <w:kinsoku/>
              <w:wordWrap/>
              <w:overflowPunct/>
              <w:topLinePunct w:val="0"/>
              <w:autoSpaceDE/>
              <w:autoSpaceDN/>
              <w:bidi w:val="0"/>
              <w:adjustRightInd/>
              <w:snapToGrid w:val="0"/>
              <w:spacing w:line="560" w:lineRule="exact"/>
              <w:jc w:val="center"/>
              <w:textAlignment w:val="auto"/>
              <w:rPr>
                <w:rFonts w:hint="eastAsia" w:ascii="方正仿宋简体" w:hAnsi="方正仿宋简体" w:eastAsia="方正仿宋简体" w:cs="方正仿宋简体"/>
                <w:sz w:val="28"/>
                <w:szCs w:val="28"/>
                <w:highlight w:val="none"/>
              </w:rPr>
            </w:pPr>
            <w:r>
              <w:rPr>
                <w:rStyle w:val="7"/>
                <w:rFonts w:hint="eastAsia" w:ascii="方正仿宋简体" w:hAnsi="方正仿宋简体" w:eastAsia="方正仿宋简体" w:cs="方正仿宋简体"/>
                <w:b/>
                <w:bCs/>
                <w:kern w:val="0"/>
                <w:sz w:val="28"/>
                <w:szCs w:val="28"/>
                <w:highlight w:val="none"/>
                <w:lang w:val="en-US" w:eastAsia="zh-CN" w:bidi="ar"/>
              </w:rPr>
              <w:t>价值来源</w:t>
            </w:r>
          </w:p>
        </w:tc>
        <w:tc>
          <w:tcPr>
            <w:tcW w:w="3044" w:type="dxa"/>
            <w:shd w:val="clear" w:color="auto" w:fill="auto"/>
            <w:vAlign w:val="center"/>
          </w:tcPr>
          <w:p w14:paraId="0FDE7584">
            <w:pPr>
              <w:keepNext w:val="0"/>
              <w:keepLines w:val="0"/>
              <w:pageBreakBefore w:val="0"/>
              <w:widowControl/>
              <w:suppressLineNumbers w:val="0"/>
              <w:kinsoku/>
              <w:wordWrap/>
              <w:overflowPunct/>
              <w:topLinePunct w:val="0"/>
              <w:autoSpaceDE/>
              <w:autoSpaceDN/>
              <w:bidi w:val="0"/>
              <w:adjustRightInd/>
              <w:snapToGrid w:val="0"/>
              <w:spacing w:line="560" w:lineRule="exact"/>
              <w:jc w:val="center"/>
              <w:textAlignment w:val="auto"/>
              <w:rPr>
                <w:rFonts w:hint="eastAsia" w:ascii="方正仿宋简体" w:hAnsi="方正仿宋简体" w:eastAsia="方正仿宋简体" w:cs="方正仿宋简体"/>
                <w:sz w:val="28"/>
                <w:szCs w:val="28"/>
                <w:highlight w:val="none"/>
              </w:rPr>
            </w:pPr>
            <w:r>
              <w:rPr>
                <w:rFonts w:hint="eastAsia" w:ascii="方正仿宋简体" w:hAnsi="方正仿宋简体" w:eastAsia="方正仿宋简体" w:cs="方正仿宋简体"/>
                <w:kern w:val="0"/>
                <w:sz w:val="28"/>
                <w:szCs w:val="28"/>
                <w:highlight w:val="none"/>
                <w:lang w:val="en-US" w:eastAsia="zh-CN" w:bidi="ar"/>
              </w:rPr>
              <w:t>规模经济、范围经济</w:t>
            </w:r>
          </w:p>
        </w:tc>
        <w:tc>
          <w:tcPr>
            <w:tcW w:w="4159" w:type="dxa"/>
            <w:shd w:val="clear" w:color="auto" w:fill="auto"/>
            <w:vAlign w:val="center"/>
          </w:tcPr>
          <w:p w14:paraId="0104F739">
            <w:pPr>
              <w:keepNext w:val="0"/>
              <w:keepLines w:val="0"/>
              <w:pageBreakBefore w:val="0"/>
              <w:widowControl/>
              <w:suppressLineNumbers w:val="0"/>
              <w:kinsoku/>
              <w:wordWrap/>
              <w:overflowPunct/>
              <w:topLinePunct w:val="0"/>
              <w:autoSpaceDE/>
              <w:autoSpaceDN/>
              <w:bidi w:val="0"/>
              <w:adjustRightInd/>
              <w:snapToGrid w:val="0"/>
              <w:spacing w:line="560" w:lineRule="exact"/>
              <w:jc w:val="center"/>
              <w:textAlignment w:val="auto"/>
              <w:rPr>
                <w:rFonts w:hint="eastAsia" w:ascii="方正仿宋简体" w:hAnsi="方正仿宋简体" w:eastAsia="方正仿宋简体" w:cs="方正仿宋简体"/>
                <w:sz w:val="28"/>
                <w:szCs w:val="28"/>
                <w:highlight w:val="none"/>
              </w:rPr>
            </w:pPr>
            <w:r>
              <w:rPr>
                <w:rFonts w:hint="eastAsia" w:ascii="方正仿宋简体" w:hAnsi="方正仿宋简体" w:eastAsia="方正仿宋简体" w:cs="方正仿宋简体"/>
                <w:kern w:val="0"/>
                <w:sz w:val="28"/>
                <w:szCs w:val="28"/>
                <w:highlight w:val="none"/>
                <w:lang w:val="en-US" w:eastAsia="zh-CN" w:bidi="ar"/>
              </w:rPr>
              <w:t>网络效应、协同效应</w:t>
            </w:r>
          </w:p>
        </w:tc>
      </w:tr>
      <w:tr w14:paraId="316B5608">
        <w:trPr>
          <w:jc w:val="center"/>
        </w:trPr>
        <w:tc>
          <w:tcPr>
            <w:tcW w:w="1745" w:type="dxa"/>
            <w:shd w:val="clear" w:color="auto" w:fill="auto"/>
            <w:vAlign w:val="center"/>
          </w:tcPr>
          <w:p w14:paraId="0967503C">
            <w:pPr>
              <w:keepNext w:val="0"/>
              <w:keepLines w:val="0"/>
              <w:pageBreakBefore w:val="0"/>
              <w:widowControl/>
              <w:suppressLineNumbers w:val="0"/>
              <w:kinsoku/>
              <w:wordWrap/>
              <w:overflowPunct/>
              <w:topLinePunct w:val="0"/>
              <w:autoSpaceDE/>
              <w:autoSpaceDN/>
              <w:bidi w:val="0"/>
              <w:adjustRightInd/>
              <w:snapToGrid w:val="0"/>
              <w:spacing w:line="560" w:lineRule="exact"/>
              <w:jc w:val="center"/>
              <w:textAlignment w:val="auto"/>
              <w:rPr>
                <w:rFonts w:hint="eastAsia" w:ascii="方正仿宋简体" w:hAnsi="方正仿宋简体" w:eastAsia="方正仿宋简体" w:cs="方正仿宋简体"/>
                <w:sz w:val="28"/>
                <w:szCs w:val="28"/>
                <w:highlight w:val="none"/>
              </w:rPr>
            </w:pPr>
            <w:r>
              <w:rPr>
                <w:rStyle w:val="7"/>
                <w:rFonts w:hint="eastAsia" w:ascii="方正仿宋简体" w:hAnsi="方正仿宋简体" w:eastAsia="方正仿宋简体" w:cs="方正仿宋简体"/>
                <w:b/>
                <w:bCs/>
                <w:kern w:val="0"/>
                <w:sz w:val="28"/>
                <w:szCs w:val="28"/>
                <w:highlight w:val="none"/>
                <w:lang w:val="en-US" w:eastAsia="zh-CN" w:bidi="ar"/>
              </w:rPr>
              <w:t>运营模式</w:t>
            </w:r>
          </w:p>
        </w:tc>
        <w:tc>
          <w:tcPr>
            <w:tcW w:w="3044" w:type="dxa"/>
            <w:shd w:val="clear" w:color="auto" w:fill="auto"/>
            <w:vAlign w:val="center"/>
          </w:tcPr>
          <w:p w14:paraId="0C5B943A">
            <w:pPr>
              <w:keepNext w:val="0"/>
              <w:keepLines w:val="0"/>
              <w:pageBreakBefore w:val="0"/>
              <w:widowControl/>
              <w:suppressLineNumbers w:val="0"/>
              <w:kinsoku/>
              <w:wordWrap/>
              <w:overflowPunct/>
              <w:topLinePunct w:val="0"/>
              <w:autoSpaceDE/>
              <w:autoSpaceDN/>
              <w:bidi w:val="0"/>
              <w:adjustRightInd/>
              <w:snapToGrid w:val="0"/>
              <w:spacing w:line="560" w:lineRule="exact"/>
              <w:jc w:val="center"/>
              <w:textAlignment w:val="auto"/>
              <w:rPr>
                <w:rFonts w:hint="eastAsia" w:ascii="方正仿宋简体" w:hAnsi="方正仿宋简体" w:eastAsia="方正仿宋简体" w:cs="方正仿宋简体"/>
                <w:sz w:val="28"/>
                <w:szCs w:val="28"/>
                <w:highlight w:val="none"/>
              </w:rPr>
            </w:pPr>
            <w:r>
              <w:rPr>
                <w:rFonts w:hint="eastAsia" w:ascii="方正仿宋简体" w:hAnsi="方正仿宋简体" w:eastAsia="方正仿宋简体" w:cs="方正仿宋简体"/>
                <w:kern w:val="0"/>
                <w:sz w:val="28"/>
                <w:szCs w:val="28"/>
                <w:highlight w:val="none"/>
                <w:lang w:val="en-US" w:eastAsia="zh-CN" w:bidi="ar"/>
              </w:rPr>
              <w:t>物业管理、基础服务</w:t>
            </w:r>
          </w:p>
        </w:tc>
        <w:tc>
          <w:tcPr>
            <w:tcW w:w="4159" w:type="dxa"/>
            <w:shd w:val="clear" w:color="auto" w:fill="auto"/>
            <w:vAlign w:val="center"/>
          </w:tcPr>
          <w:p w14:paraId="1D973B15">
            <w:pPr>
              <w:keepNext w:val="0"/>
              <w:keepLines w:val="0"/>
              <w:pageBreakBefore w:val="0"/>
              <w:widowControl/>
              <w:suppressLineNumbers w:val="0"/>
              <w:kinsoku/>
              <w:wordWrap/>
              <w:overflowPunct/>
              <w:topLinePunct w:val="0"/>
              <w:autoSpaceDE/>
              <w:autoSpaceDN/>
              <w:bidi w:val="0"/>
              <w:adjustRightInd/>
              <w:snapToGrid w:val="0"/>
              <w:spacing w:line="560" w:lineRule="exact"/>
              <w:jc w:val="center"/>
              <w:textAlignment w:val="auto"/>
              <w:rPr>
                <w:rFonts w:hint="eastAsia" w:ascii="方正仿宋简体" w:hAnsi="方正仿宋简体" w:eastAsia="方正仿宋简体" w:cs="方正仿宋简体"/>
                <w:sz w:val="28"/>
                <w:szCs w:val="28"/>
                <w:highlight w:val="none"/>
              </w:rPr>
            </w:pPr>
            <w:r>
              <w:rPr>
                <w:rFonts w:hint="eastAsia" w:ascii="方正仿宋简体" w:hAnsi="方正仿宋简体" w:eastAsia="方正仿宋简体" w:cs="方正仿宋简体"/>
                <w:kern w:val="0"/>
                <w:sz w:val="28"/>
                <w:szCs w:val="28"/>
                <w:highlight w:val="none"/>
                <w:lang w:val="en-US" w:eastAsia="zh-CN" w:bidi="ar"/>
              </w:rPr>
              <w:t>资源整合、价值赋能</w:t>
            </w:r>
          </w:p>
        </w:tc>
      </w:tr>
      <w:tr w14:paraId="0333C416">
        <w:trPr>
          <w:jc w:val="center"/>
        </w:trPr>
        <w:tc>
          <w:tcPr>
            <w:tcW w:w="1745" w:type="dxa"/>
            <w:shd w:val="clear" w:color="auto" w:fill="auto"/>
            <w:vAlign w:val="center"/>
          </w:tcPr>
          <w:p w14:paraId="027BB367">
            <w:pPr>
              <w:keepNext w:val="0"/>
              <w:keepLines w:val="0"/>
              <w:pageBreakBefore w:val="0"/>
              <w:widowControl/>
              <w:suppressLineNumbers w:val="0"/>
              <w:kinsoku/>
              <w:wordWrap/>
              <w:overflowPunct/>
              <w:topLinePunct w:val="0"/>
              <w:autoSpaceDE/>
              <w:autoSpaceDN/>
              <w:bidi w:val="0"/>
              <w:adjustRightInd/>
              <w:snapToGrid w:val="0"/>
              <w:spacing w:line="560" w:lineRule="exact"/>
              <w:jc w:val="center"/>
              <w:textAlignment w:val="auto"/>
              <w:rPr>
                <w:rFonts w:hint="eastAsia" w:ascii="方正仿宋简体" w:hAnsi="方正仿宋简体" w:eastAsia="方正仿宋简体" w:cs="方正仿宋简体"/>
                <w:sz w:val="28"/>
                <w:szCs w:val="28"/>
                <w:highlight w:val="none"/>
              </w:rPr>
            </w:pPr>
            <w:r>
              <w:rPr>
                <w:rStyle w:val="7"/>
                <w:rFonts w:hint="eastAsia" w:ascii="方正仿宋简体" w:hAnsi="方正仿宋简体" w:eastAsia="方正仿宋简体" w:cs="方正仿宋简体"/>
                <w:b/>
                <w:bCs/>
                <w:kern w:val="0"/>
                <w:sz w:val="28"/>
                <w:szCs w:val="28"/>
                <w:highlight w:val="none"/>
                <w:lang w:val="en-US" w:eastAsia="zh-CN" w:bidi="ar"/>
              </w:rPr>
              <w:t>收入结构</w:t>
            </w:r>
          </w:p>
        </w:tc>
        <w:tc>
          <w:tcPr>
            <w:tcW w:w="3044" w:type="dxa"/>
            <w:shd w:val="clear" w:color="auto" w:fill="auto"/>
            <w:vAlign w:val="center"/>
          </w:tcPr>
          <w:p w14:paraId="2250700F">
            <w:pPr>
              <w:keepNext w:val="0"/>
              <w:keepLines w:val="0"/>
              <w:pageBreakBefore w:val="0"/>
              <w:widowControl/>
              <w:suppressLineNumbers w:val="0"/>
              <w:kinsoku/>
              <w:wordWrap/>
              <w:overflowPunct/>
              <w:topLinePunct w:val="0"/>
              <w:autoSpaceDE/>
              <w:autoSpaceDN/>
              <w:bidi w:val="0"/>
              <w:adjustRightInd/>
              <w:snapToGrid w:val="0"/>
              <w:spacing w:line="560" w:lineRule="exact"/>
              <w:jc w:val="center"/>
              <w:textAlignment w:val="auto"/>
              <w:rPr>
                <w:rFonts w:hint="eastAsia" w:ascii="方正仿宋简体" w:hAnsi="方正仿宋简体" w:eastAsia="方正仿宋简体" w:cs="方正仿宋简体"/>
                <w:sz w:val="28"/>
                <w:szCs w:val="28"/>
                <w:highlight w:val="none"/>
              </w:rPr>
            </w:pPr>
            <w:r>
              <w:rPr>
                <w:rFonts w:hint="eastAsia" w:ascii="方正仿宋简体" w:hAnsi="方正仿宋简体" w:eastAsia="方正仿宋简体" w:cs="方正仿宋简体"/>
                <w:kern w:val="0"/>
                <w:sz w:val="28"/>
                <w:szCs w:val="28"/>
                <w:highlight w:val="none"/>
                <w:lang w:val="en-US" w:eastAsia="zh-CN" w:bidi="ar"/>
              </w:rPr>
              <w:t>租金收入、服务费</w:t>
            </w:r>
          </w:p>
        </w:tc>
        <w:tc>
          <w:tcPr>
            <w:tcW w:w="4159" w:type="dxa"/>
            <w:shd w:val="clear" w:color="auto" w:fill="auto"/>
            <w:vAlign w:val="center"/>
          </w:tcPr>
          <w:p w14:paraId="2740FC94">
            <w:pPr>
              <w:keepNext w:val="0"/>
              <w:keepLines w:val="0"/>
              <w:pageBreakBefore w:val="0"/>
              <w:widowControl/>
              <w:suppressLineNumbers w:val="0"/>
              <w:kinsoku/>
              <w:wordWrap/>
              <w:overflowPunct/>
              <w:topLinePunct w:val="0"/>
              <w:autoSpaceDE/>
              <w:autoSpaceDN/>
              <w:bidi w:val="0"/>
              <w:adjustRightInd/>
              <w:snapToGrid w:val="0"/>
              <w:spacing w:line="560" w:lineRule="exact"/>
              <w:jc w:val="center"/>
              <w:textAlignment w:val="auto"/>
              <w:rPr>
                <w:rFonts w:hint="eastAsia" w:ascii="方正仿宋简体" w:hAnsi="方正仿宋简体" w:eastAsia="方正仿宋简体" w:cs="方正仿宋简体"/>
                <w:sz w:val="28"/>
                <w:szCs w:val="28"/>
                <w:highlight w:val="none"/>
              </w:rPr>
            </w:pPr>
            <w:r>
              <w:rPr>
                <w:rFonts w:hint="eastAsia" w:ascii="方正仿宋简体" w:hAnsi="方正仿宋简体" w:eastAsia="方正仿宋简体" w:cs="方正仿宋简体"/>
                <w:kern w:val="0"/>
                <w:sz w:val="28"/>
                <w:szCs w:val="28"/>
                <w:highlight w:val="none"/>
                <w:lang w:val="en-US" w:eastAsia="zh-CN" w:bidi="ar"/>
              </w:rPr>
              <w:t>服务收费、投资收益、平台分成</w:t>
            </w:r>
          </w:p>
        </w:tc>
      </w:tr>
      <w:tr w14:paraId="2E4D8EA1">
        <w:trPr>
          <w:jc w:val="center"/>
        </w:trPr>
        <w:tc>
          <w:tcPr>
            <w:tcW w:w="1745" w:type="dxa"/>
            <w:shd w:val="clear" w:color="auto" w:fill="auto"/>
            <w:vAlign w:val="center"/>
          </w:tcPr>
          <w:p w14:paraId="6A926F08">
            <w:pPr>
              <w:keepNext w:val="0"/>
              <w:keepLines w:val="0"/>
              <w:pageBreakBefore w:val="0"/>
              <w:widowControl/>
              <w:suppressLineNumbers w:val="0"/>
              <w:kinsoku/>
              <w:wordWrap/>
              <w:overflowPunct/>
              <w:topLinePunct w:val="0"/>
              <w:autoSpaceDE/>
              <w:autoSpaceDN/>
              <w:bidi w:val="0"/>
              <w:adjustRightInd/>
              <w:snapToGrid w:val="0"/>
              <w:spacing w:line="560" w:lineRule="exact"/>
              <w:jc w:val="center"/>
              <w:textAlignment w:val="auto"/>
              <w:rPr>
                <w:rFonts w:hint="eastAsia" w:ascii="方正仿宋简体" w:hAnsi="方正仿宋简体" w:eastAsia="方正仿宋简体" w:cs="方正仿宋简体"/>
                <w:sz w:val="28"/>
                <w:szCs w:val="28"/>
                <w:highlight w:val="none"/>
              </w:rPr>
            </w:pPr>
            <w:r>
              <w:rPr>
                <w:rStyle w:val="7"/>
                <w:rFonts w:hint="eastAsia" w:ascii="方正仿宋简体" w:hAnsi="方正仿宋简体" w:eastAsia="方正仿宋简体" w:cs="方正仿宋简体"/>
                <w:b/>
                <w:bCs/>
                <w:kern w:val="0"/>
                <w:sz w:val="28"/>
                <w:szCs w:val="28"/>
                <w:highlight w:val="none"/>
                <w:lang w:val="en-US" w:eastAsia="zh-CN" w:bidi="ar"/>
              </w:rPr>
              <w:t>主体关系</w:t>
            </w:r>
          </w:p>
        </w:tc>
        <w:tc>
          <w:tcPr>
            <w:tcW w:w="3044" w:type="dxa"/>
            <w:shd w:val="clear" w:color="auto" w:fill="auto"/>
            <w:vAlign w:val="center"/>
          </w:tcPr>
          <w:p w14:paraId="3596E982">
            <w:pPr>
              <w:keepNext w:val="0"/>
              <w:keepLines w:val="0"/>
              <w:pageBreakBefore w:val="0"/>
              <w:widowControl/>
              <w:suppressLineNumbers w:val="0"/>
              <w:kinsoku/>
              <w:wordWrap/>
              <w:overflowPunct/>
              <w:topLinePunct w:val="0"/>
              <w:autoSpaceDE/>
              <w:autoSpaceDN/>
              <w:bidi w:val="0"/>
              <w:adjustRightInd/>
              <w:snapToGrid w:val="0"/>
              <w:spacing w:line="560" w:lineRule="exact"/>
              <w:jc w:val="center"/>
              <w:textAlignment w:val="auto"/>
              <w:rPr>
                <w:rFonts w:hint="eastAsia" w:ascii="方正仿宋简体" w:hAnsi="方正仿宋简体" w:eastAsia="方正仿宋简体" w:cs="方正仿宋简体"/>
                <w:sz w:val="28"/>
                <w:szCs w:val="28"/>
                <w:highlight w:val="none"/>
              </w:rPr>
            </w:pPr>
            <w:r>
              <w:rPr>
                <w:rFonts w:hint="eastAsia" w:ascii="方正仿宋简体" w:hAnsi="方正仿宋简体" w:eastAsia="方正仿宋简体" w:cs="方正仿宋简体"/>
                <w:kern w:val="0"/>
                <w:sz w:val="28"/>
                <w:szCs w:val="28"/>
                <w:highlight w:val="none"/>
                <w:lang w:val="en-US" w:eastAsia="zh-CN" w:bidi="ar"/>
              </w:rPr>
              <w:t>租赁关系、交易关系</w:t>
            </w:r>
          </w:p>
        </w:tc>
        <w:tc>
          <w:tcPr>
            <w:tcW w:w="4159" w:type="dxa"/>
            <w:shd w:val="clear" w:color="auto" w:fill="auto"/>
            <w:vAlign w:val="center"/>
          </w:tcPr>
          <w:p w14:paraId="748B170B">
            <w:pPr>
              <w:keepNext w:val="0"/>
              <w:keepLines w:val="0"/>
              <w:pageBreakBefore w:val="0"/>
              <w:widowControl/>
              <w:suppressLineNumbers w:val="0"/>
              <w:kinsoku/>
              <w:wordWrap/>
              <w:overflowPunct/>
              <w:topLinePunct w:val="0"/>
              <w:autoSpaceDE/>
              <w:autoSpaceDN/>
              <w:bidi w:val="0"/>
              <w:adjustRightInd/>
              <w:snapToGrid w:val="0"/>
              <w:spacing w:line="560" w:lineRule="exact"/>
              <w:jc w:val="center"/>
              <w:textAlignment w:val="auto"/>
              <w:rPr>
                <w:rFonts w:hint="eastAsia" w:ascii="方正仿宋简体" w:hAnsi="方正仿宋简体" w:eastAsia="方正仿宋简体" w:cs="方正仿宋简体"/>
                <w:sz w:val="28"/>
                <w:szCs w:val="28"/>
                <w:highlight w:val="none"/>
              </w:rPr>
            </w:pPr>
            <w:r>
              <w:rPr>
                <w:rFonts w:hint="eastAsia" w:ascii="方正仿宋简体" w:hAnsi="方正仿宋简体" w:eastAsia="方正仿宋简体" w:cs="方正仿宋简体"/>
                <w:kern w:val="0"/>
                <w:sz w:val="28"/>
                <w:szCs w:val="28"/>
                <w:highlight w:val="none"/>
                <w:lang w:val="en-US" w:eastAsia="zh-CN" w:bidi="ar"/>
              </w:rPr>
              <w:t>伙伴关系、共生关系</w:t>
            </w:r>
          </w:p>
        </w:tc>
      </w:tr>
      <w:tr w14:paraId="5291E5E3">
        <w:trPr>
          <w:jc w:val="center"/>
        </w:trPr>
        <w:tc>
          <w:tcPr>
            <w:tcW w:w="1745" w:type="dxa"/>
            <w:shd w:val="clear" w:color="auto" w:fill="auto"/>
            <w:vAlign w:val="center"/>
          </w:tcPr>
          <w:p w14:paraId="7641036E">
            <w:pPr>
              <w:keepNext w:val="0"/>
              <w:keepLines w:val="0"/>
              <w:pageBreakBefore w:val="0"/>
              <w:widowControl/>
              <w:suppressLineNumbers w:val="0"/>
              <w:kinsoku/>
              <w:wordWrap/>
              <w:overflowPunct/>
              <w:topLinePunct w:val="0"/>
              <w:autoSpaceDE/>
              <w:autoSpaceDN/>
              <w:bidi w:val="0"/>
              <w:adjustRightInd/>
              <w:snapToGrid w:val="0"/>
              <w:spacing w:line="560" w:lineRule="exact"/>
              <w:jc w:val="center"/>
              <w:textAlignment w:val="auto"/>
              <w:rPr>
                <w:rFonts w:hint="eastAsia" w:ascii="方正仿宋简体" w:hAnsi="方正仿宋简体" w:eastAsia="方正仿宋简体" w:cs="方正仿宋简体"/>
                <w:sz w:val="28"/>
                <w:szCs w:val="28"/>
                <w:highlight w:val="none"/>
              </w:rPr>
            </w:pPr>
            <w:r>
              <w:rPr>
                <w:rStyle w:val="7"/>
                <w:rFonts w:hint="eastAsia" w:ascii="方正仿宋简体" w:hAnsi="方正仿宋简体" w:eastAsia="方正仿宋简体" w:cs="方正仿宋简体"/>
                <w:b/>
                <w:bCs/>
                <w:kern w:val="0"/>
                <w:sz w:val="28"/>
                <w:szCs w:val="28"/>
                <w:highlight w:val="none"/>
                <w:lang w:val="en-US" w:eastAsia="zh-CN" w:bidi="ar"/>
              </w:rPr>
              <w:t>成功标准</w:t>
            </w:r>
          </w:p>
        </w:tc>
        <w:tc>
          <w:tcPr>
            <w:tcW w:w="3044" w:type="dxa"/>
            <w:shd w:val="clear" w:color="auto" w:fill="auto"/>
            <w:vAlign w:val="center"/>
          </w:tcPr>
          <w:p w14:paraId="06D65492">
            <w:pPr>
              <w:keepNext w:val="0"/>
              <w:keepLines w:val="0"/>
              <w:pageBreakBefore w:val="0"/>
              <w:widowControl/>
              <w:suppressLineNumbers w:val="0"/>
              <w:kinsoku/>
              <w:wordWrap/>
              <w:overflowPunct/>
              <w:topLinePunct w:val="0"/>
              <w:autoSpaceDE/>
              <w:autoSpaceDN/>
              <w:bidi w:val="0"/>
              <w:adjustRightInd/>
              <w:snapToGrid w:val="0"/>
              <w:spacing w:line="560" w:lineRule="exact"/>
              <w:jc w:val="center"/>
              <w:textAlignment w:val="auto"/>
              <w:rPr>
                <w:rFonts w:hint="eastAsia" w:ascii="方正仿宋简体" w:hAnsi="方正仿宋简体" w:eastAsia="方正仿宋简体" w:cs="方正仿宋简体"/>
                <w:sz w:val="28"/>
                <w:szCs w:val="28"/>
                <w:highlight w:val="none"/>
              </w:rPr>
            </w:pPr>
            <w:r>
              <w:rPr>
                <w:rFonts w:hint="eastAsia" w:ascii="方正仿宋简体" w:hAnsi="方正仿宋简体" w:eastAsia="方正仿宋简体" w:cs="方正仿宋简体"/>
                <w:kern w:val="0"/>
                <w:sz w:val="28"/>
                <w:szCs w:val="28"/>
                <w:highlight w:val="none"/>
                <w:lang w:val="en-US" w:eastAsia="zh-CN" w:bidi="ar"/>
              </w:rPr>
              <w:t>入驻率、产值、税收</w:t>
            </w:r>
          </w:p>
        </w:tc>
        <w:tc>
          <w:tcPr>
            <w:tcW w:w="4159" w:type="dxa"/>
            <w:shd w:val="clear" w:color="auto" w:fill="auto"/>
            <w:vAlign w:val="center"/>
          </w:tcPr>
          <w:p w14:paraId="328AC4BC">
            <w:pPr>
              <w:keepNext w:val="0"/>
              <w:keepLines w:val="0"/>
              <w:pageBreakBefore w:val="0"/>
              <w:widowControl/>
              <w:suppressLineNumbers w:val="0"/>
              <w:kinsoku/>
              <w:wordWrap/>
              <w:overflowPunct/>
              <w:topLinePunct w:val="0"/>
              <w:autoSpaceDE/>
              <w:autoSpaceDN/>
              <w:bidi w:val="0"/>
              <w:adjustRightInd/>
              <w:snapToGrid w:val="0"/>
              <w:spacing w:line="560" w:lineRule="exact"/>
              <w:jc w:val="center"/>
              <w:textAlignment w:val="auto"/>
              <w:rPr>
                <w:rFonts w:hint="eastAsia" w:ascii="方正仿宋简体" w:hAnsi="方正仿宋简体" w:eastAsia="方正仿宋简体" w:cs="方正仿宋简体"/>
                <w:sz w:val="28"/>
                <w:szCs w:val="28"/>
                <w:highlight w:val="none"/>
              </w:rPr>
            </w:pPr>
            <w:r>
              <w:rPr>
                <w:rFonts w:hint="eastAsia" w:ascii="方正仿宋简体" w:hAnsi="方正仿宋简体" w:eastAsia="方正仿宋简体" w:cs="方正仿宋简体"/>
                <w:kern w:val="0"/>
                <w:sz w:val="28"/>
                <w:szCs w:val="28"/>
                <w:highlight w:val="none"/>
                <w:lang w:val="en-US" w:eastAsia="zh-CN" w:bidi="ar"/>
              </w:rPr>
              <w:t>平台活跃度、资源吸附力、价值创造力</w:t>
            </w:r>
          </w:p>
        </w:tc>
      </w:tr>
    </w:tbl>
    <w:p w14:paraId="376F69EA">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0" w:firstLineChars="0"/>
        <w:textAlignment w:val="auto"/>
        <w:rPr>
          <w:rFonts w:hint="default" w:ascii="Times New Roman" w:hAnsi="Times New Roman" w:eastAsia="方正仿宋简体" w:cs="Times New Roman"/>
          <w:sz w:val="32"/>
          <w:szCs w:val="32"/>
          <w:highlight w:val="none"/>
        </w:rPr>
      </w:pPr>
    </w:p>
    <w:p w14:paraId="1D3CE92F">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0" w:firstLineChars="200"/>
        <w:textAlignment w:val="auto"/>
        <w:rPr>
          <w:rFonts w:hint="eastAsia" w:ascii="方正黑体简体" w:hAnsi="方正黑体简体" w:eastAsia="方正黑体简体" w:cs="方正黑体简体"/>
          <w:sz w:val="32"/>
          <w:szCs w:val="32"/>
          <w:highlight w:val="none"/>
        </w:rPr>
      </w:pPr>
      <w:r>
        <w:rPr>
          <w:rFonts w:hint="eastAsia" w:ascii="方正黑体简体" w:hAnsi="方正黑体简体" w:eastAsia="方正黑体简体" w:cs="方正黑体简体"/>
          <w:sz w:val="32"/>
          <w:szCs w:val="32"/>
          <w:highlight w:val="none"/>
          <w:lang w:eastAsia="zh-CN"/>
        </w:rPr>
        <w:t>三、</w:t>
      </w:r>
      <w:r>
        <w:rPr>
          <w:rFonts w:hint="eastAsia" w:ascii="方正黑体简体" w:hAnsi="方正黑体简体" w:eastAsia="方正黑体简体" w:cs="方正黑体简体"/>
          <w:sz w:val="32"/>
          <w:szCs w:val="32"/>
          <w:highlight w:val="none"/>
        </w:rPr>
        <w:t>平台型服务园区的创新范式与案例</w:t>
      </w:r>
    </w:p>
    <w:p w14:paraId="36FF4A55">
      <w:pPr>
        <w:keepNext w:val="0"/>
        <w:keepLines w:val="0"/>
        <w:pageBreakBefore w:val="0"/>
        <w:widowControl w:val="0"/>
        <w:numPr>
          <w:ilvl w:val="-1"/>
          <w:numId w:val="0"/>
        </w:numPr>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楷体简体" w:cs="Times New Roman"/>
          <w:sz w:val="32"/>
          <w:szCs w:val="32"/>
          <w:highlight w:val="none"/>
          <w:lang w:val="en-US" w:eastAsia="zh-CN"/>
        </w:rPr>
        <w:t xml:space="preserve">1. </w:t>
      </w:r>
      <w:r>
        <w:rPr>
          <w:rFonts w:hint="default" w:ascii="Times New Roman" w:hAnsi="Times New Roman" w:eastAsia="方正楷体简体" w:cs="Times New Roman"/>
          <w:sz w:val="32"/>
          <w:szCs w:val="32"/>
          <w:highlight w:val="none"/>
        </w:rPr>
        <w:t>国际交往与功能平台型园区</w:t>
      </w:r>
    </w:p>
    <w:p w14:paraId="54E4BF66">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0"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sz w:val="32"/>
          <w:szCs w:val="32"/>
          <w:highlight w:val="none"/>
        </w:rPr>
        <w:t>国际交往型园区是平台型服务园区的重要形态，它以</w:t>
      </w:r>
      <w:r>
        <w:rPr>
          <w:rFonts w:hint="default" w:ascii="Times New Roman" w:hAnsi="Times New Roman" w:eastAsia="方正仿宋简体" w:cs="Times New Roman"/>
          <w:b/>
          <w:bCs/>
          <w:sz w:val="32"/>
          <w:szCs w:val="32"/>
          <w:highlight w:val="none"/>
        </w:rPr>
        <w:t>国际组织、国际会议、国际活动</w:t>
      </w:r>
      <w:r>
        <w:rPr>
          <w:rFonts w:hint="default" w:ascii="Times New Roman" w:hAnsi="Times New Roman" w:eastAsia="方正仿宋简体" w:cs="Times New Roman"/>
          <w:sz w:val="32"/>
          <w:szCs w:val="32"/>
          <w:highlight w:val="none"/>
        </w:rPr>
        <w:t>等为核心功能平台，通过国际资源的集聚和辐射，形成具有全球影响力的国际交往节点。这类园区的核心优势不在于产业规模，而在于国际影响力和全球资源配置能力。</w:t>
      </w:r>
    </w:p>
    <w:p w14:paraId="59ED1B58">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0"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sz w:val="32"/>
          <w:szCs w:val="32"/>
          <w:highlight w:val="none"/>
        </w:rPr>
        <w:t>这一类型的</w:t>
      </w:r>
      <w:r>
        <w:rPr>
          <w:rFonts w:hint="eastAsia" w:ascii="Times New Roman" w:hAnsi="Times New Roman" w:eastAsia="方正仿宋简体" w:cs="Times New Roman"/>
          <w:sz w:val="32"/>
          <w:szCs w:val="32"/>
          <w:highlight w:val="none"/>
          <w:lang w:val="en-US" w:eastAsia="zh-CN"/>
        </w:rPr>
        <w:t>典型代表是</w:t>
      </w:r>
      <w:r>
        <w:rPr>
          <w:rFonts w:hint="default" w:ascii="Times New Roman" w:hAnsi="Times New Roman" w:eastAsia="方正仿宋简体" w:cs="Times New Roman"/>
          <w:b/>
          <w:bCs/>
          <w:sz w:val="32"/>
          <w:szCs w:val="32"/>
          <w:highlight w:val="none"/>
        </w:rPr>
        <w:t>博鳌亚洲论坛永久会址</w:t>
      </w:r>
      <w:r>
        <w:rPr>
          <w:rFonts w:hint="default" w:ascii="Times New Roman" w:hAnsi="Times New Roman" w:eastAsia="方正仿宋简体" w:cs="Times New Roman"/>
          <w:sz w:val="32"/>
          <w:szCs w:val="32"/>
          <w:highlight w:val="none"/>
        </w:rPr>
        <w:t>。它不仅仅是一个会议中心，更通过其独特的滨海区位，将会务功能与旅游、休闲、文化展示深度融合，带动了整个区域的国际化发展，形成了独特的</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博鳌模式</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。其成功在于将周期性的大型国际会议与常态化的高端休闲目的地相结合，实现了影响力的持续释放。</w:t>
      </w:r>
    </w:p>
    <w:p w14:paraId="275B12CC">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leftChars="200" w:firstLine="640" w:firstLineChars="200"/>
        <w:textAlignment w:val="auto"/>
        <w:rPr>
          <w:rFonts w:hint="eastAsia" w:ascii="方正楷体简体" w:hAnsi="方正楷体简体" w:eastAsia="方正楷体简体" w:cs="方正楷体简体"/>
          <w:sz w:val="32"/>
          <w:szCs w:val="32"/>
          <w:highlight w:val="none"/>
        </w:rPr>
      </w:pPr>
      <w:r>
        <w:rPr>
          <w:rFonts w:hint="eastAsia" w:ascii="方正楷体简体" w:hAnsi="方正楷体简体" w:eastAsia="方正楷体简体" w:cs="方正楷体简体"/>
          <w:sz w:val="32"/>
          <w:szCs w:val="32"/>
          <w:highlight w:val="none"/>
        </w:rPr>
        <w:t>城市融合与文化赋能型园区</w:t>
      </w:r>
    </w:p>
    <w:p w14:paraId="2E3595DF">
      <w:pPr>
        <w:keepNext w:val="0"/>
        <w:keepLines w:val="0"/>
        <w:pageBreakBefore w:val="0"/>
        <w:widowControl w:val="0"/>
        <w:numPr>
          <w:ilvl w:val="-1"/>
          <w:numId w:val="0"/>
        </w:numPr>
        <w:kinsoku/>
        <w:wordWrap/>
        <w:overflowPunct/>
        <w:topLinePunct w:val="0"/>
        <w:autoSpaceDE/>
        <w:autoSpaceDN/>
        <w:bidi w:val="0"/>
        <w:adjustRightInd/>
        <w:snapToGrid/>
        <w:spacing w:line="560" w:lineRule="exact"/>
        <w:ind w:leftChars="0" w:firstLine="640"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sz w:val="32"/>
          <w:szCs w:val="32"/>
          <w:highlight w:val="none"/>
        </w:rPr>
        <w:t>这类园区是平台型服务园区在超大城市中心城区的特殊形态，其核心特征是与城市功能</w:t>
      </w:r>
      <w:r>
        <w:rPr>
          <w:rFonts w:hint="default" w:ascii="Times New Roman" w:hAnsi="Times New Roman" w:eastAsia="方正仿宋简体" w:cs="Times New Roman"/>
          <w:b/>
          <w:bCs/>
          <w:sz w:val="32"/>
          <w:szCs w:val="32"/>
          <w:highlight w:val="none"/>
        </w:rPr>
        <w:t>无界融合</w:t>
      </w:r>
      <w:r>
        <w:rPr>
          <w:rFonts w:hint="default" w:ascii="Times New Roman" w:hAnsi="Times New Roman" w:eastAsia="方正仿宋简体" w:cs="Times New Roman"/>
          <w:sz w:val="32"/>
          <w:szCs w:val="32"/>
          <w:highlight w:val="none"/>
        </w:rPr>
        <w:t>，利用独特的文化设施和区位优势，将自己打造为城市公共生活的热点和文化策源地。其成功不依赖于优惠政策，而在于能否成为区域文化生态的</w:t>
      </w:r>
      <w:r>
        <w:rPr>
          <w:rFonts w:hint="default" w:ascii="Times New Roman" w:hAnsi="Times New Roman" w:eastAsia="方正仿宋简体" w:cs="Times New Roman"/>
          <w:b/>
          <w:bCs/>
          <w:sz w:val="32"/>
          <w:szCs w:val="32"/>
          <w:highlight w:val="none"/>
        </w:rPr>
        <w:t>价值引擎</w:t>
      </w:r>
      <w:r>
        <w:rPr>
          <w:rFonts w:hint="default" w:ascii="Times New Roman" w:hAnsi="Times New Roman" w:eastAsia="方正仿宋简体" w:cs="Times New Roman"/>
          <w:sz w:val="32"/>
          <w:szCs w:val="32"/>
          <w:highlight w:val="none"/>
        </w:rPr>
        <w:t>。</w:t>
      </w:r>
    </w:p>
    <w:p w14:paraId="0A08FDEB">
      <w:pPr>
        <w:keepNext w:val="0"/>
        <w:keepLines w:val="0"/>
        <w:pageBreakBefore w:val="0"/>
        <w:widowControl w:val="0"/>
        <w:numPr>
          <w:ilvl w:val="-1"/>
          <w:numId w:val="0"/>
        </w:numPr>
        <w:kinsoku/>
        <w:wordWrap/>
        <w:overflowPunct/>
        <w:topLinePunct w:val="0"/>
        <w:autoSpaceDE/>
        <w:autoSpaceDN/>
        <w:bidi w:val="0"/>
        <w:adjustRightInd/>
        <w:snapToGrid/>
        <w:spacing w:line="560" w:lineRule="exact"/>
        <w:ind w:leftChars="0" w:firstLine="640"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sz w:val="32"/>
          <w:szCs w:val="32"/>
          <w:highlight w:val="none"/>
        </w:rPr>
        <w:t>这一类型的</w:t>
      </w:r>
      <w:r>
        <w:rPr>
          <w:rFonts w:hint="eastAsia" w:ascii="Times New Roman" w:hAnsi="Times New Roman" w:eastAsia="方正仿宋简体" w:cs="Times New Roman"/>
          <w:sz w:val="32"/>
          <w:szCs w:val="32"/>
          <w:highlight w:val="none"/>
          <w:lang w:val="en-US" w:eastAsia="zh-CN"/>
        </w:rPr>
        <w:t>典型代表是</w:t>
      </w:r>
      <w:r>
        <w:rPr>
          <w:rFonts w:hint="default" w:ascii="Times New Roman" w:hAnsi="Times New Roman" w:eastAsia="方正仿宋简体" w:cs="Times New Roman"/>
          <w:b/>
          <w:bCs/>
          <w:sz w:val="32"/>
          <w:szCs w:val="32"/>
          <w:highlight w:val="none"/>
        </w:rPr>
        <w:t>上海西岸传媒港</w:t>
      </w:r>
      <w:r>
        <w:rPr>
          <w:rFonts w:hint="default" w:ascii="Times New Roman" w:hAnsi="Times New Roman" w:eastAsia="方正仿宋简体" w:cs="Times New Roman"/>
          <w:sz w:val="32"/>
          <w:szCs w:val="32"/>
          <w:highlight w:val="none"/>
        </w:rPr>
        <w:t>。它并非一个封闭的园区，而是将文化艺术场馆、传媒机构、商业配套与开放的滨江空间完美融合，通过</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美术馆大道</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音乐节、艺术双年展等持续的内容运营，激活了整个徐汇滨江地区，使其从工业遗存转型为上海最具活力的文化高地之一。它的核心价值在于构建了一个文化生产、消费与体验的完整闭环，并以此带动了区域能级的全面提升。</w:t>
      </w:r>
    </w:p>
    <w:p w14:paraId="7A775C79">
      <w:pPr>
        <w:keepNext w:val="0"/>
        <w:keepLines w:val="0"/>
        <w:pageBreakBefore w:val="0"/>
        <w:widowControl w:val="0"/>
        <w:numPr>
          <w:ilvl w:val="-1"/>
          <w:numId w:val="0"/>
        </w:numPr>
        <w:kinsoku/>
        <w:wordWrap/>
        <w:overflowPunct/>
        <w:topLinePunct w:val="0"/>
        <w:autoSpaceDE/>
        <w:autoSpaceDN/>
        <w:bidi w:val="0"/>
        <w:adjustRightInd/>
        <w:snapToGrid/>
        <w:spacing w:line="560" w:lineRule="exact"/>
        <w:ind w:leftChars="0" w:firstLine="640"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sz w:val="32"/>
          <w:szCs w:val="32"/>
          <w:highlight w:val="none"/>
        </w:rPr>
        <w:t>此类园区的启示在于，在成熟的城市中心区，园区的价值创造逻辑发生了根本转变</w:t>
      </w:r>
      <w:r>
        <w:rPr>
          <w:rFonts w:hint="eastAsia" w:ascii="Times New Roman" w:hAnsi="Times New Roman" w:eastAsia="方正仿宋简体" w:cs="Times New Roman"/>
          <w:sz w:val="32"/>
          <w:szCs w:val="32"/>
          <w:highlight w:val="none"/>
          <w:lang w:eastAsia="zh-CN"/>
        </w:rPr>
        <w:t>，</w:t>
      </w:r>
      <w:r>
        <w:rPr>
          <w:rFonts w:hint="eastAsia" w:ascii="Times New Roman" w:hAnsi="Times New Roman" w:eastAsia="方正仿宋简体" w:cs="Times New Roman"/>
          <w:sz w:val="32"/>
          <w:szCs w:val="32"/>
          <w:highlight w:val="none"/>
          <w:lang w:val="en-US" w:eastAsia="zh-CN"/>
        </w:rPr>
        <w:t>即</w:t>
      </w:r>
      <w:r>
        <w:rPr>
          <w:rFonts w:hint="default" w:ascii="Times New Roman" w:hAnsi="Times New Roman" w:eastAsia="方正仿宋简体" w:cs="Times New Roman"/>
          <w:sz w:val="32"/>
          <w:szCs w:val="32"/>
          <w:highlight w:val="none"/>
        </w:rPr>
        <w:t>从</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向内集聚</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转向</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向外辐射</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。其成功关键在于放弃</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地主</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思维，转而扮演</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平台运营方</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和</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内容策源地</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的角色，通过与城市优质公共资源（如滨水空间、公园、商圈）的深度绑定与相互赋能，实现自身价值的最大化。</w:t>
      </w:r>
    </w:p>
    <w:p w14:paraId="77C7D1E7">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0" w:firstLineChars="200"/>
        <w:textAlignment w:val="auto"/>
        <w:rPr>
          <w:rFonts w:hint="eastAsia" w:ascii="方正黑体简体" w:hAnsi="方正黑体简体" w:eastAsia="方正黑体简体" w:cs="方正黑体简体"/>
          <w:sz w:val="32"/>
          <w:szCs w:val="32"/>
          <w:highlight w:val="none"/>
        </w:rPr>
      </w:pPr>
      <w:r>
        <w:rPr>
          <w:rFonts w:hint="eastAsia" w:ascii="方正黑体简体" w:hAnsi="方正黑体简体" w:eastAsia="方正黑体简体" w:cs="方正黑体简体"/>
          <w:sz w:val="32"/>
          <w:szCs w:val="32"/>
          <w:highlight w:val="none"/>
          <w:lang w:eastAsia="zh-CN"/>
        </w:rPr>
        <w:t>四、</w:t>
      </w:r>
      <w:r>
        <w:rPr>
          <w:rFonts w:hint="eastAsia" w:ascii="方正黑体简体" w:hAnsi="方正黑体简体" w:eastAsia="方正黑体简体" w:cs="方正黑体简体"/>
          <w:sz w:val="32"/>
          <w:szCs w:val="32"/>
          <w:highlight w:val="none"/>
        </w:rPr>
        <w:t>交流中心园区化的</w:t>
      </w:r>
      <w:r>
        <w:rPr>
          <w:rFonts w:hint="eastAsia" w:ascii="方正黑体简体" w:hAnsi="方正黑体简体" w:eastAsia="方正黑体简体" w:cs="方正黑体简体"/>
          <w:sz w:val="32"/>
          <w:szCs w:val="32"/>
          <w:highlight w:val="none"/>
          <w:lang w:val="en-US" w:eastAsia="zh-CN"/>
        </w:rPr>
        <w:t>方向</w:t>
      </w:r>
      <w:r>
        <w:rPr>
          <w:rFonts w:hint="eastAsia" w:ascii="方正黑体简体" w:hAnsi="方正黑体简体" w:eastAsia="方正黑体简体" w:cs="方正黑体简体"/>
          <w:sz w:val="32"/>
          <w:szCs w:val="32"/>
          <w:highlight w:val="none"/>
        </w:rPr>
        <w:t>选择</w:t>
      </w:r>
    </w:p>
    <w:p w14:paraId="2F3695F1">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0" w:firstLineChars="200"/>
        <w:textAlignment w:val="auto"/>
        <w:rPr>
          <w:rFonts w:hint="default" w:ascii="Times New Roman" w:hAnsi="Times New Roman" w:eastAsia="方正楷体简体" w:cs="Times New Roman"/>
          <w:sz w:val="32"/>
          <w:szCs w:val="32"/>
          <w:highlight w:val="none"/>
        </w:rPr>
      </w:pPr>
      <w:r>
        <w:rPr>
          <w:rFonts w:hint="default" w:ascii="Times New Roman" w:hAnsi="Times New Roman" w:eastAsia="方正楷体简体" w:cs="Times New Roman"/>
          <w:sz w:val="32"/>
          <w:szCs w:val="32"/>
          <w:highlight w:val="none"/>
          <w:lang w:val="en-US" w:eastAsia="zh-CN"/>
        </w:rPr>
        <w:t xml:space="preserve">1. </w:t>
      </w:r>
      <w:r>
        <w:rPr>
          <w:rFonts w:hint="default" w:ascii="Times New Roman" w:hAnsi="Times New Roman" w:eastAsia="方正楷体简体" w:cs="Times New Roman"/>
          <w:sz w:val="32"/>
          <w:szCs w:val="32"/>
          <w:highlight w:val="none"/>
        </w:rPr>
        <w:t>资源禀赋与战略定位评估</w:t>
      </w:r>
    </w:p>
    <w:p w14:paraId="39F9B41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0"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sz w:val="32"/>
          <w:szCs w:val="32"/>
          <w:highlight w:val="none"/>
        </w:rPr>
        <w:t>交流中心园区化发展的战略选择，必须建立在对自身资源禀赋的客观评估和外部环境的准确把握基础上。与传统产业园区不同，交流中心拥有的资源不是大规模土地或优惠政策，而是独特的</w:t>
      </w:r>
      <w:r>
        <w:rPr>
          <w:rFonts w:hint="default" w:ascii="Times New Roman" w:hAnsi="Times New Roman" w:eastAsia="方正仿宋简体" w:cs="Times New Roman"/>
          <w:b/>
          <w:bCs/>
          <w:sz w:val="32"/>
          <w:szCs w:val="32"/>
          <w:highlight w:val="none"/>
        </w:rPr>
        <w:t>功能平台、实体空间</w:t>
      </w:r>
      <w:r>
        <w:rPr>
          <w:rFonts w:hint="default" w:ascii="Times New Roman" w:hAnsi="Times New Roman" w:eastAsia="方正仿宋简体" w:cs="Times New Roman"/>
          <w:b w:val="0"/>
          <w:bCs w:val="0"/>
          <w:sz w:val="32"/>
          <w:szCs w:val="32"/>
          <w:highlight w:val="none"/>
        </w:rPr>
        <w:t>和</w:t>
      </w:r>
      <w:r>
        <w:rPr>
          <w:rFonts w:hint="default" w:ascii="Times New Roman" w:hAnsi="Times New Roman" w:eastAsia="方正仿宋简体" w:cs="Times New Roman"/>
          <w:b/>
          <w:bCs/>
          <w:sz w:val="32"/>
          <w:szCs w:val="32"/>
          <w:highlight w:val="none"/>
        </w:rPr>
        <w:t>区位环境</w:t>
      </w:r>
      <w:r>
        <w:rPr>
          <w:rFonts w:hint="default" w:ascii="Times New Roman" w:hAnsi="Times New Roman" w:eastAsia="方正仿宋简体" w:cs="Times New Roman"/>
          <w:sz w:val="32"/>
          <w:szCs w:val="32"/>
          <w:highlight w:val="none"/>
        </w:rPr>
        <w:t>。</w:t>
      </w:r>
    </w:p>
    <w:p w14:paraId="49099E3D">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0"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sz w:val="32"/>
          <w:szCs w:val="32"/>
          <w:highlight w:val="none"/>
        </w:rPr>
        <w:t>在功能平台方面，交流中心核心优势在于</w:t>
      </w:r>
      <w:r>
        <w:rPr>
          <w:rFonts w:hint="default" w:ascii="Times New Roman" w:hAnsi="Times New Roman" w:eastAsia="方正仿宋简体" w:cs="Times New Roman"/>
          <w:b/>
          <w:bCs/>
          <w:sz w:val="32"/>
          <w:szCs w:val="32"/>
          <w:highlight w:val="none"/>
        </w:rPr>
        <w:t>深厚的国际资源积累</w:t>
      </w:r>
      <w:r>
        <w:rPr>
          <w:rFonts w:hint="default" w:ascii="Times New Roman" w:hAnsi="Times New Roman" w:eastAsia="方正仿宋简体" w:cs="Times New Roman"/>
          <w:sz w:val="32"/>
          <w:szCs w:val="32"/>
          <w:highlight w:val="none"/>
        </w:rPr>
        <w:t>。</w:t>
      </w:r>
      <w:r>
        <w:rPr>
          <w:rFonts w:hint="eastAsia" w:ascii="Times New Roman" w:hAnsi="Times New Roman" w:eastAsia="方正仿宋简体" w:cs="Times New Roman"/>
          <w:sz w:val="32"/>
          <w:szCs w:val="32"/>
          <w:highlight w:val="none"/>
          <w:lang w:eastAsia="zh-CN"/>
        </w:rPr>
        <w:t>同时，</w:t>
      </w:r>
      <w:bookmarkStart w:id="0" w:name="_GoBack"/>
      <w:bookmarkEnd w:id="0"/>
      <w:r>
        <w:rPr>
          <w:rFonts w:hint="eastAsia" w:ascii="Times New Roman" w:hAnsi="Times New Roman" w:eastAsia="方正仿宋简体" w:cs="Times New Roman"/>
          <w:sz w:val="32"/>
          <w:szCs w:val="32"/>
          <w:highlight w:val="none"/>
          <w:lang w:eastAsia="zh-CN"/>
        </w:rPr>
        <w:t>交流中心提出打造</w:t>
      </w:r>
      <w:r>
        <w:rPr>
          <w:rFonts w:hint="default" w:ascii="Times New Roman" w:hAnsi="Times New Roman" w:eastAsia="方正仿宋简体" w:cs="Times New Roman"/>
          <w:b/>
          <w:bCs/>
          <w:sz w:val="32"/>
          <w:szCs w:val="32"/>
          <w:highlight w:val="none"/>
        </w:rPr>
        <w:t>世界青年发展论坛永久总部</w:t>
      </w:r>
      <w:r>
        <w:rPr>
          <w:rFonts w:hint="eastAsia" w:ascii="Times New Roman" w:hAnsi="Times New Roman" w:eastAsia="方正仿宋简体" w:cs="Times New Roman"/>
          <w:b/>
          <w:bCs/>
          <w:sz w:val="32"/>
          <w:szCs w:val="32"/>
          <w:highlight w:val="none"/>
          <w:lang w:eastAsia="zh-CN"/>
        </w:rPr>
        <w:t>基地，</w:t>
      </w:r>
      <w:r>
        <w:rPr>
          <w:rFonts w:hint="eastAsia" w:ascii="Times New Roman" w:hAnsi="Times New Roman" w:eastAsia="方正仿宋简体" w:cs="Times New Roman"/>
          <w:b w:val="0"/>
          <w:bCs w:val="0"/>
          <w:sz w:val="32"/>
          <w:szCs w:val="32"/>
          <w:highlight w:val="none"/>
          <w:lang w:val="en-US" w:eastAsia="zh-CN"/>
        </w:rPr>
        <w:t>并</w:t>
      </w:r>
      <w:r>
        <w:rPr>
          <w:rFonts w:hint="eastAsia" w:ascii="Times New Roman" w:hAnsi="Times New Roman" w:eastAsia="方正仿宋简体" w:cs="Times New Roman"/>
          <w:sz w:val="32"/>
          <w:szCs w:val="32"/>
          <w:highlight w:val="none"/>
          <w:lang w:eastAsia="zh-CN"/>
        </w:rPr>
        <w:t>申请</w:t>
      </w:r>
      <w:r>
        <w:rPr>
          <w:rFonts w:hint="eastAsia" w:ascii="Times New Roman" w:hAnsi="Times New Roman" w:eastAsia="方正仿宋简体" w:cs="Times New Roman"/>
          <w:sz w:val="32"/>
          <w:szCs w:val="32"/>
          <w:highlight w:val="none"/>
          <w:lang w:val="en-US" w:eastAsia="zh-CN"/>
        </w:rPr>
        <w:t>包括</w:t>
      </w:r>
      <w:r>
        <w:rPr>
          <w:rFonts w:hint="eastAsia" w:ascii="Times New Roman" w:hAnsi="Times New Roman" w:eastAsia="方正仿宋简体" w:cs="Times New Roman"/>
          <w:sz w:val="32"/>
          <w:szCs w:val="32"/>
          <w:highlight w:val="none"/>
        </w:rPr>
        <w:t>“十五五”规划</w:t>
      </w:r>
      <w:r>
        <w:rPr>
          <w:rFonts w:hint="eastAsia" w:ascii="Times New Roman" w:hAnsi="Times New Roman" w:eastAsia="方正仿宋简体" w:cs="Times New Roman"/>
          <w:sz w:val="32"/>
          <w:szCs w:val="32"/>
          <w:highlight w:val="none"/>
          <w:lang w:val="en-US" w:eastAsia="zh-CN"/>
        </w:rPr>
        <w:t>专项在内的各类专项资金</w:t>
      </w:r>
      <w:r>
        <w:rPr>
          <w:rFonts w:hint="default" w:ascii="Times New Roman" w:hAnsi="Times New Roman" w:eastAsia="方正仿宋简体" w:cs="Times New Roman"/>
          <w:sz w:val="32"/>
          <w:szCs w:val="32"/>
          <w:highlight w:val="none"/>
        </w:rPr>
        <w:t>，</w:t>
      </w:r>
      <w:r>
        <w:rPr>
          <w:rFonts w:hint="eastAsia" w:ascii="Times New Roman" w:hAnsi="Times New Roman" w:eastAsia="方正仿宋简体" w:cs="Times New Roman"/>
          <w:sz w:val="32"/>
          <w:szCs w:val="32"/>
          <w:highlight w:val="none"/>
          <w:lang w:eastAsia="zh-CN"/>
        </w:rPr>
        <w:t>这使得</w:t>
      </w:r>
      <w:r>
        <w:rPr>
          <w:rFonts w:hint="default" w:ascii="Times New Roman" w:hAnsi="Times New Roman" w:eastAsia="方正仿宋简体" w:cs="Times New Roman"/>
          <w:sz w:val="32"/>
          <w:szCs w:val="32"/>
          <w:highlight w:val="none"/>
        </w:rPr>
        <w:t>交流中心拥有元首倡议高级别国际青年交流平台的天然优势，具备国家级影响力和全球号召力。同时，依托第三使馆区的独特区位，交流中心与各国驻华使馆、国际组织建立了长期合作关系，形成了丰富的国际人脉资源和交流渠道，为打造国际青年交流</w:t>
      </w:r>
      <w:r>
        <w:rPr>
          <w:rFonts w:hint="eastAsia" w:ascii="Times New Roman" w:hAnsi="Times New Roman" w:eastAsia="方正仿宋简体" w:cs="Times New Roman"/>
          <w:sz w:val="32"/>
          <w:szCs w:val="32"/>
          <w:highlight w:val="none"/>
          <w:lang w:val="en-US" w:eastAsia="zh-CN"/>
        </w:rPr>
        <w:t>功能</w:t>
      </w:r>
      <w:r>
        <w:rPr>
          <w:rFonts w:hint="default" w:ascii="Times New Roman" w:hAnsi="Times New Roman" w:eastAsia="方正仿宋简体" w:cs="Times New Roman"/>
          <w:sz w:val="32"/>
          <w:szCs w:val="32"/>
          <w:highlight w:val="none"/>
        </w:rPr>
        <w:t>平台奠定了坚实基础。</w:t>
      </w:r>
    </w:p>
    <w:p w14:paraId="7C821E1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0"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sz w:val="32"/>
          <w:szCs w:val="32"/>
          <w:highlight w:val="none"/>
        </w:rPr>
        <w:t>在实体空间方面，交流中心拥有</w:t>
      </w:r>
      <w:r>
        <w:rPr>
          <w:rFonts w:hint="default" w:ascii="Times New Roman" w:hAnsi="Times New Roman" w:eastAsia="方正仿宋简体" w:cs="Times New Roman"/>
          <w:b/>
          <w:bCs/>
          <w:sz w:val="32"/>
          <w:szCs w:val="32"/>
          <w:highlight w:val="none"/>
        </w:rPr>
        <w:t>饭店、剧院、游泳馆、写字楼及院落空间</w:t>
      </w:r>
      <w:r>
        <w:rPr>
          <w:rFonts w:hint="default" w:ascii="Times New Roman" w:hAnsi="Times New Roman" w:eastAsia="方正仿宋简体" w:cs="Times New Roman"/>
          <w:sz w:val="32"/>
          <w:szCs w:val="32"/>
          <w:highlight w:val="none"/>
        </w:rPr>
        <w:t>等多样化物业资源组合。这些资源各具特色且功能互补：剧院可作为文化展示的核心载体，饭店和游泳馆提供完善的接待服务，写字楼满足办公需求，院落空间则创造了独特的交流氛围。这种</w:t>
      </w:r>
      <w:r>
        <w:rPr>
          <w:rFonts w:hint="default" w:ascii="Times New Roman" w:hAnsi="Times New Roman" w:eastAsia="方正仿宋简体" w:cs="Times New Roman"/>
          <w:b/>
          <w:bCs/>
          <w:sz w:val="32"/>
          <w:szCs w:val="32"/>
          <w:highlight w:val="none"/>
        </w:rPr>
        <w:t>综合功能优势</w:t>
      </w:r>
      <w:r>
        <w:rPr>
          <w:rFonts w:hint="default" w:ascii="Times New Roman" w:hAnsi="Times New Roman" w:eastAsia="方正仿宋简体" w:cs="Times New Roman"/>
          <w:sz w:val="32"/>
          <w:szCs w:val="32"/>
          <w:highlight w:val="none"/>
        </w:rPr>
        <w:t>使得交流中心具备打造完整生态系统的物理基础。</w:t>
      </w:r>
    </w:p>
    <w:p w14:paraId="236676F6">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0"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sz w:val="32"/>
          <w:szCs w:val="32"/>
          <w:highlight w:val="none"/>
        </w:rPr>
        <w:t>在区位环境方面，</w:t>
      </w:r>
      <w:r>
        <w:rPr>
          <w:rFonts w:hint="eastAsia" w:ascii="Times New Roman" w:hAnsi="Times New Roman" w:eastAsia="方正仿宋简体" w:cs="Times New Roman"/>
          <w:sz w:val="32"/>
          <w:szCs w:val="32"/>
          <w:highlight w:val="none"/>
          <w:lang w:eastAsia="zh-CN"/>
        </w:rPr>
        <w:t>今年</w:t>
      </w:r>
      <w:r>
        <w:rPr>
          <w:rFonts w:hint="eastAsia" w:ascii="Times New Roman" w:hAnsi="Times New Roman" w:eastAsia="方正仿宋简体" w:cs="Times New Roman"/>
          <w:sz w:val="32"/>
          <w:szCs w:val="32"/>
          <w:highlight w:val="none"/>
          <w:lang w:val="en-US" w:eastAsia="zh-CN"/>
        </w:rPr>
        <w:t>3月，北京市出台了</w:t>
      </w:r>
      <w:r>
        <w:rPr>
          <w:rFonts w:hint="eastAsia" w:ascii="Times New Roman" w:hAnsi="Times New Roman" w:eastAsia="方正仿宋简体" w:cs="Times New Roman"/>
          <w:sz w:val="32"/>
          <w:szCs w:val="32"/>
          <w:highlight w:val="none"/>
        </w:rPr>
        <w:t>《北京国际交往中心规划实施指引》</w:t>
      </w:r>
      <w:r>
        <w:rPr>
          <w:rFonts w:hint="eastAsia" w:ascii="Times New Roman" w:hAnsi="Times New Roman" w:eastAsia="方正仿宋简体" w:cs="Times New Roman"/>
          <w:sz w:val="32"/>
          <w:szCs w:val="32"/>
          <w:highlight w:val="none"/>
          <w:lang w:eastAsia="zh-CN"/>
        </w:rPr>
        <w:t>等系列文件，不断推进</w:t>
      </w:r>
      <w:r>
        <w:rPr>
          <w:rFonts w:hint="eastAsia" w:ascii="Times New Roman" w:hAnsi="Times New Roman" w:eastAsia="方正仿宋简体" w:cs="Times New Roman"/>
          <w:sz w:val="32"/>
          <w:szCs w:val="32"/>
          <w:highlight w:val="none"/>
        </w:rPr>
        <w:t>北京国际交往中心功能建设</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交流中心坐落于</w:t>
      </w:r>
      <w:r>
        <w:rPr>
          <w:rFonts w:hint="eastAsia" w:ascii="Times New Roman" w:hAnsi="Times New Roman" w:eastAsia="方正仿宋简体" w:cs="Times New Roman"/>
          <w:sz w:val="32"/>
          <w:szCs w:val="32"/>
          <w:highlight w:val="none"/>
          <w:lang w:eastAsia="zh-CN"/>
        </w:rPr>
        <w:t>北京市朝阳区</w:t>
      </w:r>
      <w:r>
        <w:rPr>
          <w:rFonts w:hint="default" w:ascii="Times New Roman" w:hAnsi="Times New Roman" w:eastAsia="方正仿宋简体" w:cs="Times New Roman"/>
          <w:b/>
          <w:bCs/>
          <w:sz w:val="32"/>
          <w:szCs w:val="32"/>
          <w:highlight w:val="none"/>
        </w:rPr>
        <w:t>第三使馆区</w:t>
      </w:r>
      <w:r>
        <w:rPr>
          <w:rFonts w:hint="default" w:ascii="Times New Roman" w:hAnsi="Times New Roman" w:eastAsia="方正仿宋简体" w:cs="Times New Roman"/>
          <w:sz w:val="32"/>
          <w:szCs w:val="32"/>
          <w:highlight w:val="none"/>
        </w:rPr>
        <w:t>，</w:t>
      </w:r>
      <w:r>
        <w:rPr>
          <w:rFonts w:hint="eastAsia" w:ascii="Times New Roman" w:hAnsi="Times New Roman" w:eastAsia="方正仿宋简体" w:cs="Times New Roman"/>
          <w:sz w:val="32"/>
          <w:szCs w:val="32"/>
          <w:highlight w:val="none"/>
          <w:lang w:eastAsia="zh-CN"/>
        </w:rPr>
        <w:t>周边的</w:t>
      </w:r>
      <w:r>
        <w:rPr>
          <w:rFonts w:hint="default" w:ascii="Times New Roman" w:hAnsi="Times New Roman" w:eastAsia="方正仿宋简体" w:cs="Times New Roman"/>
          <w:b/>
          <w:bCs/>
          <w:sz w:val="32"/>
          <w:szCs w:val="32"/>
          <w:highlight w:val="none"/>
        </w:rPr>
        <w:t>朝阳公园、蓝色港湾、亮马河国际风情水岸</w:t>
      </w:r>
      <w:r>
        <w:rPr>
          <w:rFonts w:hint="default" w:ascii="Times New Roman" w:hAnsi="Times New Roman" w:eastAsia="方正仿宋简体" w:cs="Times New Roman"/>
          <w:sz w:val="32"/>
          <w:szCs w:val="32"/>
          <w:highlight w:val="none"/>
        </w:rPr>
        <w:t>共同构成了北京最具活力的</w:t>
      </w:r>
      <w:r>
        <w:rPr>
          <w:rFonts w:hint="default" w:ascii="Times New Roman" w:hAnsi="Times New Roman" w:eastAsia="方正仿宋简体" w:cs="Times New Roman"/>
          <w:b/>
          <w:bCs/>
          <w:sz w:val="32"/>
          <w:szCs w:val="32"/>
          <w:highlight w:val="none"/>
        </w:rPr>
        <w:t>国际交往与时尚消费</w:t>
      </w:r>
      <w:r>
        <w:rPr>
          <w:rFonts w:hint="eastAsia" w:ascii="Times New Roman" w:hAnsi="Times New Roman" w:eastAsia="方正仿宋简体" w:cs="Times New Roman"/>
          <w:b w:val="0"/>
          <w:bCs w:val="0"/>
          <w:sz w:val="32"/>
          <w:szCs w:val="32"/>
          <w:highlight w:val="none"/>
          <w:lang w:eastAsia="zh-CN"/>
        </w:rPr>
        <w:t>区域</w:t>
      </w:r>
      <w:r>
        <w:rPr>
          <w:rFonts w:hint="default" w:ascii="Times New Roman" w:hAnsi="Times New Roman" w:eastAsia="方正仿宋简体" w:cs="Times New Roman"/>
          <w:sz w:val="32"/>
          <w:szCs w:val="32"/>
          <w:highlight w:val="none"/>
        </w:rPr>
        <w:t>。这一区位优势为</w:t>
      </w:r>
      <w:r>
        <w:rPr>
          <w:rFonts w:hint="eastAsia" w:ascii="Times New Roman" w:hAnsi="Times New Roman" w:eastAsia="方正仿宋简体" w:cs="Times New Roman"/>
          <w:sz w:val="32"/>
          <w:szCs w:val="32"/>
          <w:highlight w:val="none"/>
          <w:lang w:eastAsia="zh-CN"/>
        </w:rPr>
        <w:t>交流中心</w:t>
      </w:r>
      <w:r>
        <w:rPr>
          <w:rFonts w:hint="default" w:ascii="Times New Roman" w:hAnsi="Times New Roman" w:eastAsia="方正仿宋简体" w:cs="Times New Roman"/>
          <w:sz w:val="32"/>
          <w:szCs w:val="32"/>
          <w:highlight w:val="none"/>
        </w:rPr>
        <w:t>打造开放融合的</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无边界园区</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提供了得天独厚的外部环境。</w:t>
      </w:r>
    </w:p>
    <w:p w14:paraId="77A9212E">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0"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sz w:val="32"/>
          <w:szCs w:val="32"/>
          <w:highlight w:val="none"/>
        </w:rPr>
        <w:t>基于上述资源禀赋评估，交流中心</w:t>
      </w:r>
      <w:r>
        <w:rPr>
          <w:rFonts w:hint="eastAsia" w:ascii="Times New Roman" w:hAnsi="Times New Roman" w:eastAsia="方正仿宋简体" w:cs="Times New Roman"/>
          <w:sz w:val="32"/>
          <w:szCs w:val="32"/>
          <w:highlight w:val="none"/>
          <w:lang w:eastAsia="zh-CN"/>
        </w:rPr>
        <w:t>园区化发展</w:t>
      </w:r>
      <w:r>
        <w:rPr>
          <w:rFonts w:hint="default" w:ascii="Times New Roman" w:hAnsi="Times New Roman" w:eastAsia="方正仿宋简体" w:cs="Times New Roman"/>
          <w:sz w:val="32"/>
          <w:szCs w:val="32"/>
          <w:highlight w:val="none"/>
        </w:rPr>
        <w:t>的</w:t>
      </w:r>
      <w:r>
        <w:rPr>
          <w:rFonts w:hint="eastAsia" w:ascii="Times New Roman" w:hAnsi="Times New Roman" w:eastAsia="方正仿宋简体" w:cs="Times New Roman"/>
          <w:sz w:val="32"/>
          <w:szCs w:val="32"/>
          <w:highlight w:val="none"/>
          <w:lang w:val="en-US" w:eastAsia="zh-CN"/>
        </w:rPr>
        <w:t>方向</w:t>
      </w:r>
      <w:r>
        <w:rPr>
          <w:rFonts w:hint="default" w:ascii="Times New Roman" w:hAnsi="Times New Roman" w:eastAsia="方正仿宋简体" w:cs="Times New Roman"/>
          <w:sz w:val="32"/>
          <w:szCs w:val="32"/>
          <w:highlight w:val="none"/>
        </w:rPr>
        <w:t>定位</w:t>
      </w:r>
      <w:r>
        <w:rPr>
          <w:rFonts w:hint="eastAsia" w:ascii="Times New Roman" w:hAnsi="Times New Roman" w:eastAsia="方正仿宋简体" w:cs="Times New Roman"/>
          <w:sz w:val="32"/>
          <w:szCs w:val="32"/>
          <w:highlight w:val="none"/>
          <w:lang w:val="en-US" w:eastAsia="zh-CN"/>
        </w:rPr>
        <w:t>建议为</w:t>
      </w:r>
      <w:r>
        <w:rPr>
          <w:rFonts w:hint="default" w:ascii="Times New Roman" w:hAnsi="Times New Roman" w:eastAsia="方正仿宋简体" w:cs="Times New Roman"/>
          <w:sz w:val="32"/>
          <w:szCs w:val="32"/>
          <w:highlight w:val="none"/>
        </w:rPr>
        <w:t>：</w:t>
      </w:r>
      <w:r>
        <w:rPr>
          <w:rFonts w:hint="default" w:ascii="Times New Roman" w:hAnsi="Times New Roman" w:eastAsia="方正仿宋简体" w:cs="Times New Roman"/>
          <w:b/>
          <w:bCs/>
          <w:sz w:val="32"/>
          <w:szCs w:val="32"/>
          <w:highlight w:val="none"/>
        </w:rPr>
        <w:t>打造以</w:t>
      </w:r>
      <w:r>
        <w:rPr>
          <w:rFonts w:hint="eastAsia" w:ascii="Times New Roman" w:hAnsi="Times New Roman" w:eastAsia="方正仿宋简体" w:cs="Times New Roman"/>
          <w:b/>
          <w:bCs/>
          <w:sz w:val="32"/>
          <w:szCs w:val="32"/>
          <w:highlight w:val="none"/>
          <w:lang w:eastAsia="zh-CN"/>
        </w:rPr>
        <w:t>“</w:t>
      </w:r>
      <w:r>
        <w:rPr>
          <w:rFonts w:hint="default" w:ascii="Times New Roman" w:hAnsi="Times New Roman" w:eastAsia="方正仿宋简体" w:cs="Times New Roman"/>
          <w:b/>
          <w:bCs/>
          <w:sz w:val="32"/>
          <w:szCs w:val="32"/>
          <w:highlight w:val="none"/>
        </w:rPr>
        <w:t>世界青年发展论坛永久基地</w:t>
      </w:r>
      <w:r>
        <w:rPr>
          <w:rFonts w:hint="eastAsia" w:ascii="Times New Roman" w:hAnsi="Times New Roman" w:eastAsia="方正仿宋简体" w:cs="Times New Roman"/>
          <w:b/>
          <w:bCs/>
          <w:sz w:val="32"/>
          <w:szCs w:val="32"/>
          <w:highlight w:val="none"/>
          <w:lang w:eastAsia="zh-CN"/>
        </w:rPr>
        <w:t>”</w:t>
      </w:r>
      <w:r>
        <w:rPr>
          <w:rFonts w:hint="default" w:ascii="Times New Roman" w:hAnsi="Times New Roman" w:eastAsia="方正仿宋简体" w:cs="Times New Roman"/>
          <w:b/>
          <w:bCs/>
          <w:sz w:val="32"/>
          <w:szCs w:val="32"/>
          <w:highlight w:val="none"/>
        </w:rPr>
        <w:t xml:space="preserve">为品牌核心，以多元化空间资源为承载，与周边国际化环境深度融合的 </w:t>
      </w:r>
      <w:r>
        <w:rPr>
          <w:rFonts w:hint="eastAsia" w:ascii="Times New Roman" w:hAnsi="Times New Roman" w:eastAsia="方正仿宋简体" w:cs="Times New Roman"/>
          <w:b/>
          <w:bCs/>
          <w:sz w:val="32"/>
          <w:szCs w:val="32"/>
          <w:highlight w:val="none"/>
          <w:lang w:eastAsia="zh-CN"/>
        </w:rPr>
        <w:t>“</w:t>
      </w:r>
      <w:r>
        <w:rPr>
          <w:rFonts w:hint="default" w:ascii="Times New Roman" w:hAnsi="Times New Roman" w:eastAsia="方正仿宋简体" w:cs="Times New Roman"/>
          <w:b/>
          <w:bCs/>
          <w:sz w:val="32"/>
          <w:szCs w:val="32"/>
          <w:highlight w:val="none"/>
        </w:rPr>
        <w:t>国际青年交流与服务社区</w:t>
      </w:r>
      <w:r>
        <w:rPr>
          <w:rFonts w:hint="eastAsia" w:ascii="Times New Roman" w:hAnsi="Times New Roman" w:eastAsia="方正仿宋简体" w:cs="Times New Roman"/>
          <w:b/>
          <w:bCs/>
          <w:sz w:val="32"/>
          <w:szCs w:val="32"/>
          <w:highlight w:val="none"/>
          <w:lang w:eastAsia="zh-CN"/>
        </w:rPr>
        <w:t>”</w:t>
      </w:r>
      <w:r>
        <w:rPr>
          <w:rFonts w:hint="default" w:ascii="Times New Roman" w:hAnsi="Times New Roman" w:eastAsia="方正仿宋简体" w:cs="Times New Roman"/>
          <w:sz w:val="32"/>
          <w:szCs w:val="32"/>
          <w:highlight w:val="none"/>
        </w:rPr>
        <w:t>。</w:t>
      </w:r>
    </w:p>
    <w:p w14:paraId="2C2EE1CD">
      <w:pPr>
        <w:keepNext w:val="0"/>
        <w:keepLines w:val="0"/>
        <w:pageBreakBefore w:val="0"/>
        <w:widowControl w:val="0"/>
        <w:numPr>
          <w:ilvl w:val="0"/>
          <w:numId w:val="3"/>
        </w:numPr>
        <w:kinsoku/>
        <w:wordWrap/>
        <w:overflowPunct/>
        <w:topLinePunct w:val="0"/>
        <w:autoSpaceDE/>
        <w:autoSpaceDN/>
        <w:bidi w:val="0"/>
        <w:adjustRightInd/>
        <w:snapToGrid/>
        <w:spacing w:line="560" w:lineRule="exact"/>
        <w:ind w:leftChars="200" w:firstLine="640" w:firstLineChars="200"/>
        <w:textAlignment w:val="auto"/>
        <w:rPr>
          <w:rFonts w:hint="eastAsia" w:ascii="方正楷体简体" w:hAnsi="方正楷体简体" w:eastAsia="方正楷体简体" w:cs="方正楷体简体"/>
          <w:sz w:val="32"/>
          <w:szCs w:val="32"/>
          <w:highlight w:val="none"/>
        </w:rPr>
      </w:pPr>
      <w:r>
        <w:rPr>
          <w:rFonts w:hint="eastAsia" w:ascii="方正楷体简体" w:hAnsi="方正楷体简体" w:eastAsia="方正楷体简体" w:cs="方正楷体简体"/>
          <w:sz w:val="32"/>
          <w:szCs w:val="32"/>
          <w:highlight w:val="none"/>
        </w:rPr>
        <w:t>平台型服务园区的适配性分析</w:t>
      </w:r>
    </w:p>
    <w:p w14:paraId="48CAED02">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0"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sz w:val="32"/>
          <w:szCs w:val="32"/>
          <w:highlight w:val="none"/>
        </w:rPr>
        <w:t>平台型服务园区的定位高度契合交流中心的资源禀赋和战略使命，主要体现在以下三个方面：</w:t>
      </w:r>
    </w:p>
    <w:p w14:paraId="202E3882">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3"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b/>
          <w:bCs/>
          <w:sz w:val="32"/>
          <w:szCs w:val="32"/>
          <w:highlight w:val="none"/>
        </w:rPr>
        <w:t>功能匹配：</w:t>
      </w:r>
      <w:r>
        <w:rPr>
          <w:rFonts w:hint="default" w:ascii="Times New Roman" w:hAnsi="Times New Roman" w:eastAsia="方正仿宋简体" w:cs="Times New Roman"/>
          <w:sz w:val="32"/>
          <w:szCs w:val="32"/>
          <w:highlight w:val="none"/>
        </w:rPr>
        <w:t>平台型服务园区的核心是功能平台，而交流中心拥有的国际青年交流功能平台正是最具价值的核心资产。通过将这一平台园区化、实体化、生态化，可以</w:t>
      </w:r>
      <w:r>
        <w:rPr>
          <w:rFonts w:hint="eastAsia" w:ascii="Times New Roman" w:hAnsi="Times New Roman" w:eastAsia="方正仿宋简体" w:cs="Times New Roman"/>
          <w:sz w:val="32"/>
          <w:szCs w:val="32"/>
          <w:highlight w:val="none"/>
          <w:lang w:val="en-US" w:eastAsia="zh-CN"/>
        </w:rPr>
        <w:t>仿照</w:t>
      </w:r>
      <w:r>
        <w:rPr>
          <w:rFonts w:hint="default" w:ascii="Times New Roman" w:hAnsi="Times New Roman" w:eastAsia="方正仿宋简体" w:cs="Times New Roman"/>
          <w:sz w:val="32"/>
          <w:szCs w:val="32"/>
          <w:highlight w:val="none"/>
        </w:rPr>
        <w:t>博鳌亚洲论坛永久会址实现从</w:t>
      </w:r>
      <w:r>
        <w:rPr>
          <w:rFonts w:hint="eastAsia" w:ascii="Times New Roman" w:hAnsi="Times New Roman" w:eastAsia="方正仿宋简体" w:cs="Times New Roman"/>
          <w:b/>
          <w:bCs/>
          <w:sz w:val="32"/>
          <w:szCs w:val="32"/>
          <w:highlight w:val="none"/>
          <w:lang w:eastAsia="zh-CN"/>
        </w:rPr>
        <w:t>“</w:t>
      </w:r>
      <w:r>
        <w:rPr>
          <w:rFonts w:hint="default" w:ascii="Times New Roman" w:hAnsi="Times New Roman" w:eastAsia="方正仿宋简体" w:cs="Times New Roman"/>
          <w:b/>
          <w:bCs/>
          <w:sz w:val="32"/>
          <w:szCs w:val="32"/>
          <w:highlight w:val="none"/>
        </w:rPr>
        <w:t>周期性事件</w:t>
      </w:r>
      <w:r>
        <w:rPr>
          <w:rFonts w:hint="eastAsia" w:ascii="Times New Roman" w:hAnsi="Times New Roman" w:eastAsia="方正仿宋简体" w:cs="Times New Roman"/>
          <w:b/>
          <w:bCs/>
          <w:sz w:val="32"/>
          <w:szCs w:val="32"/>
          <w:highlight w:val="none"/>
          <w:lang w:eastAsia="zh-CN"/>
        </w:rPr>
        <w:t>”</w:t>
      </w:r>
      <w:r>
        <w:rPr>
          <w:rFonts w:hint="default" w:ascii="Times New Roman" w:hAnsi="Times New Roman" w:eastAsia="方正仿宋简体" w:cs="Times New Roman"/>
          <w:sz w:val="32"/>
          <w:szCs w:val="32"/>
          <w:highlight w:val="none"/>
        </w:rPr>
        <w:t>向</w:t>
      </w:r>
      <w:r>
        <w:rPr>
          <w:rFonts w:hint="eastAsia" w:ascii="Times New Roman" w:hAnsi="Times New Roman" w:eastAsia="方正仿宋简体" w:cs="Times New Roman"/>
          <w:b/>
          <w:bCs/>
          <w:sz w:val="32"/>
          <w:szCs w:val="32"/>
          <w:highlight w:val="none"/>
          <w:lang w:eastAsia="zh-CN"/>
        </w:rPr>
        <w:t>“</w:t>
      </w:r>
      <w:r>
        <w:rPr>
          <w:rFonts w:hint="default" w:ascii="Times New Roman" w:hAnsi="Times New Roman" w:eastAsia="方正仿宋简体" w:cs="Times New Roman"/>
          <w:b/>
          <w:bCs/>
          <w:sz w:val="32"/>
          <w:szCs w:val="32"/>
          <w:highlight w:val="none"/>
        </w:rPr>
        <w:t>常态化平台</w:t>
      </w:r>
      <w:r>
        <w:rPr>
          <w:rFonts w:hint="eastAsia" w:ascii="Times New Roman" w:hAnsi="Times New Roman" w:eastAsia="方正仿宋简体" w:cs="Times New Roman"/>
          <w:b/>
          <w:bCs/>
          <w:sz w:val="32"/>
          <w:szCs w:val="32"/>
          <w:highlight w:val="none"/>
          <w:lang w:eastAsia="zh-CN"/>
        </w:rPr>
        <w:t>”</w:t>
      </w:r>
      <w:r>
        <w:rPr>
          <w:rFonts w:hint="default" w:ascii="Times New Roman" w:hAnsi="Times New Roman" w:eastAsia="方正仿宋简体" w:cs="Times New Roman"/>
          <w:sz w:val="32"/>
          <w:szCs w:val="32"/>
          <w:highlight w:val="none"/>
        </w:rPr>
        <w:t>的转变。</w:t>
      </w:r>
    </w:p>
    <w:p w14:paraId="61147090">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3"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b/>
          <w:bCs/>
          <w:sz w:val="32"/>
          <w:szCs w:val="32"/>
          <w:highlight w:val="none"/>
        </w:rPr>
        <w:t>资源激活</w:t>
      </w:r>
      <w:r>
        <w:rPr>
          <w:rFonts w:hint="default" w:ascii="Times New Roman" w:hAnsi="Times New Roman" w:eastAsia="方正仿宋简体" w:cs="Times New Roman"/>
          <w:sz w:val="32"/>
          <w:szCs w:val="32"/>
          <w:highlight w:val="none"/>
        </w:rPr>
        <w:t>：平台型服务园区不强求大规模土地开发，而是注重现有空间的优化利用和功能提升。交流中心拥有的多元化物业资源，通过</w:t>
      </w:r>
      <w:r>
        <w:rPr>
          <w:rFonts w:hint="default" w:ascii="Times New Roman" w:hAnsi="Times New Roman" w:eastAsia="方正仿宋简体" w:cs="Times New Roman"/>
          <w:b/>
          <w:bCs/>
          <w:sz w:val="32"/>
          <w:szCs w:val="32"/>
          <w:highlight w:val="none"/>
        </w:rPr>
        <w:t>功能重构</w:t>
      </w:r>
      <w:r>
        <w:rPr>
          <w:rFonts w:hint="default" w:ascii="Times New Roman" w:hAnsi="Times New Roman" w:eastAsia="方正仿宋简体" w:cs="Times New Roman"/>
          <w:sz w:val="32"/>
          <w:szCs w:val="32"/>
          <w:highlight w:val="none"/>
        </w:rPr>
        <w:t>和</w:t>
      </w:r>
      <w:r>
        <w:rPr>
          <w:rFonts w:hint="default" w:ascii="Times New Roman" w:hAnsi="Times New Roman" w:eastAsia="方正仿宋简体" w:cs="Times New Roman"/>
          <w:b/>
          <w:bCs/>
          <w:sz w:val="32"/>
          <w:szCs w:val="32"/>
          <w:highlight w:val="none"/>
        </w:rPr>
        <w:t>平台化运营</w:t>
      </w:r>
      <w:r>
        <w:rPr>
          <w:rFonts w:hint="default" w:ascii="Times New Roman" w:hAnsi="Times New Roman" w:eastAsia="方正仿宋简体" w:cs="Times New Roman"/>
          <w:sz w:val="32"/>
          <w:szCs w:val="32"/>
          <w:highlight w:val="none"/>
        </w:rPr>
        <w:t>，将转化为服务国际青年交流的完整生态系统。</w:t>
      </w:r>
    </w:p>
    <w:p w14:paraId="6CDE540C">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3"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b/>
          <w:bCs/>
          <w:sz w:val="32"/>
          <w:szCs w:val="32"/>
          <w:highlight w:val="none"/>
        </w:rPr>
        <w:t>优势放大：</w:t>
      </w:r>
      <w:r>
        <w:rPr>
          <w:rFonts w:hint="default" w:ascii="Times New Roman" w:hAnsi="Times New Roman" w:eastAsia="方正仿宋简体" w:cs="Times New Roman"/>
          <w:sz w:val="32"/>
          <w:szCs w:val="32"/>
          <w:highlight w:val="none"/>
        </w:rPr>
        <w:t>平台型服务园区的竞争力来源于独特的区位和生态。交流中心与周边国际化环境的深度融合，是将</w:t>
      </w:r>
      <w:r>
        <w:rPr>
          <w:rFonts w:hint="default" w:ascii="Times New Roman" w:hAnsi="Times New Roman" w:eastAsia="方正仿宋简体" w:cs="Times New Roman"/>
          <w:b/>
          <w:bCs/>
          <w:sz w:val="32"/>
          <w:szCs w:val="32"/>
          <w:highlight w:val="none"/>
        </w:rPr>
        <w:t>静态区位优势</w:t>
      </w:r>
      <w:r>
        <w:rPr>
          <w:rFonts w:hint="default" w:ascii="Times New Roman" w:hAnsi="Times New Roman" w:eastAsia="方正仿宋简体" w:cs="Times New Roman"/>
          <w:sz w:val="32"/>
          <w:szCs w:val="32"/>
          <w:highlight w:val="none"/>
        </w:rPr>
        <w:t>转化为</w:t>
      </w:r>
      <w:r>
        <w:rPr>
          <w:rFonts w:hint="default" w:ascii="Times New Roman" w:hAnsi="Times New Roman" w:eastAsia="方正仿宋简体" w:cs="Times New Roman"/>
          <w:b/>
          <w:bCs/>
          <w:sz w:val="32"/>
          <w:szCs w:val="32"/>
          <w:highlight w:val="none"/>
        </w:rPr>
        <w:t>动态平台优势</w:t>
      </w:r>
      <w:r>
        <w:rPr>
          <w:rFonts w:hint="default" w:ascii="Times New Roman" w:hAnsi="Times New Roman" w:eastAsia="方正仿宋简体" w:cs="Times New Roman"/>
          <w:sz w:val="32"/>
          <w:szCs w:val="32"/>
          <w:highlight w:val="none"/>
        </w:rPr>
        <w:t>的关键，能形成其他园区无法复制的竞争优势。</w:t>
      </w:r>
      <w:r>
        <w:rPr>
          <w:rFonts w:hint="eastAsia" w:ascii="Times New Roman" w:hAnsi="Times New Roman" w:eastAsia="方正仿宋简体" w:cs="Times New Roman"/>
          <w:sz w:val="32"/>
          <w:szCs w:val="32"/>
          <w:highlight w:val="none"/>
          <w:lang w:val="en-US" w:eastAsia="zh-CN"/>
        </w:rPr>
        <w:t>交流中心园区的地缘</w:t>
      </w:r>
      <w:r>
        <w:rPr>
          <w:rFonts w:hint="default" w:ascii="Times New Roman" w:hAnsi="Times New Roman" w:eastAsia="方正仿宋简体" w:cs="Times New Roman"/>
          <w:sz w:val="32"/>
          <w:szCs w:val="32"/>
          <w:highlight w:val="none"/>
        </w:rPr>
        <w:t>价值不在于围墙之内，而在于我们能否成为亮马河国际风情水岸板块的文化新地标。</w:t>
      </w:r>
    </w:p>
    <w:p w14:paraId="7BC35FB9">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3" w:firstLineChars="200"/>
        <w:textAlignment w:val="auto"/>
        <w:rPr>
          <w:rFonts w:hint="default" w:ascii="Times New Roman" w:hAnsi="Times New Roman" w:eastAsia="方正仿宋简体" w:cs="Times New Roman"/>
          <w:b/>
          <w:bCs/>
          <w:sz w:val="32"/>
          <w:szCs w:val="32"/>
          <w:highlight w:val="none"/>
        </w:rPr>
      </w:pPr>
      <w:r>
        <w:rPr>
          <w:rFonts w:hint="eastAsia" w:ascii="Times New Roman" w:hAnsi="Times New Roman" w:eastAsia="方正仿宋简体" w:cs="Times New Roman"/>
          <w:b/>
          <w:bCs/>
          <w:sz w:val="32"/>
          <w:szCs w:val="32"/>
          <w:highlight w:val="none"/>
          <w:lang w:eastAsia="zh-CN"/>
        </w:rPr>
        <w:t>五、</w:t>
      </w:r>
      <w:r>
        <w:rPr>
          <w:rFonts w:hint="default" w:ascii="Times New Roman" w:hAnsi="Times New Roman" w:eastAsia="方正仿宋简体" w:cs="Times New Roman"/>
          <w:b/>
          <w:bCs/>
          <w:sz w:val="32"/>
          <w:szCs w:val="32"/>
          <w:highlight w:val="none"/>
        </w:rPr>
        <w:t>实施框架设计</w:t>
      </w:r>
    </w:p>
    <w:p w14:paraId="4E185E7A">
      <w:pPr>
        <w:keepNext w:val="0"/>
        <w:keepLines w:val="0"/>
        <w:pageBreakBefore w:val="0"/>
        <w:widowControl w:val="0"/>
        <w:numPr>
          <w:ilvl w:val="0"/>
          <w:numId w:val="4"/>
        </w:numPr>
        <w:kinsoku/>
        <w:wordWrap/>
        <w:overflowPunct/>
        <w:topLinePunct w:val="0"/>
        <w:autoSpaceDE/>
        <w:autoSpaceDN/>
        <w:bidi w:val="0"/>
        <w:adjustRightInd/>
        <w:snapToGrid/>
        <w:spacing w:line="560" w:lineRule="exact"/>
        <w:ind w:left="0" w:leftChars="0" w:firstLine="640" w:firstLineChars="200"/>
        <w:textAlignment w:val="auto"/>
        <w:rPr>
          <w:rFonts w:hint="eastAsia" w:ascii="方正楷体简体" w:hAnsi="方正楷体简体" w:eastAsia="方正楷体简体" w:cs="方正楷体简体"/>
          <w:sz w:val="32"/>
          <w:szCs w:val="32"/>
          <w:highlight w:val="none"/>
        </w:rPr>
      </w:pPr>
      <w:r>
        <w:rPr>
          <w:rFonts w:hint="eastAsia" w:ascii="方正楷体简体" w:hAnsi="方正楷体简体" w:eastAsia="方正楷体简体" w:cs="方正楷体简体"/>
          <w:sz w:val="32"/>
          <w:szCs w:val="32"/>
          <w:highlight w:val="none"/>
        </w:rPr>
        <w:t>功能布局与空间规划：构建</w:t>
      </w:r>
      <w:r>
        <w:rPr>
          <w:rFonts w:hint="eastAsia" w:ascii="方正楷体简体" w:hAnsi="方正楷体简体" w:eastAsia="方正楷体简体" w:cs="方正楷体简体"/>
          <w:sz w:val="32"/>
          <w:szCs w:val="32"/>
          <w:highlight w:val="none"/>
          <w:lang w:eastAsia="zh-CN"/>
        </w:rPr>
        <w:t>“</w:t>
      </w:r>
      <w:r>
        <w:rPr>
          <w:rFonts w:hint="eastAsia" w:ascii="方正楷体简体" w:hAnsi="方正楷体简体" w:eastAsia="方正楷体简体" w:cs="方正楷体简体"/>
          <w:sz w:val="32"/>
          <w:szCs w:val="32"/>
          <w:highlight w:val="none"/>
        </w:rPr>
        <w:t>无边界</w:t>
      </w:r>
      <w:r>
        <w:rPr>
          <w:rFonts w:hint="eastAsia" w:ascii="方正楷体简体" w:hAnsi="方正楷体简体" w:eastAsia="方正楷体简体" w:cs="方正楷体简体"/>
          <w:sz w:val="32"/>
          <w:szCs w:val="32"/>
          <w:highlight w:val="none"/>
          <w:lang w:eastAsia="zh-CN"/>
        </w:rPr>
        <w:t>”</w:t>
      </w:r>
      <w:r>
        <w:rPr>
          <w:rFonts w:hint="eastAsia" w:ascii="方正楷体简体" w:hAnsi="方正楷体简体" w:eastAsia="方正楷体简体" w:cs="方正楷体简体"/>
          <w:sz w:val="32"/>
          <w:szCs w:val="32"/>
          <w:highlight w:val="none"/>
        </w:rPr>
        <w:t>的开放式社区</w:t>
      </w:r>
    </w:p>
    <w:p w14:paraId="4720C1A5">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0"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sz w:val="32"/>
          <w:szCs w:val="32"/>
          <w:highlight w:val="none"/>
        </w:rPr>
        <w:t>基于平台型服务园区的定位，交流中心园区应构建一个与城市肌理深度融合的</w:t>
      </w:r>
      <w:r>
        <w:rPr>
          <w:rFonts w:hint="eastAsia" w:ascii="Times New Roman" w:hAnsi="Times New Roman" w:eastAsia="方正仿宋简体" w:cs="Times New Roman"/>
          <w:b/>
          <w:bCs/>
          <w:sz w:val="32"/>
          <w:szCs w:val="32"/>
          <w:highlight w:val="none"/>
          <w:lang w:eastAsia="zh-CN"/>
        </w:rPr>
        <w:t>“</w:t>
      </w:r>
      <w:r>
        <w:rPr>
          <w:rFonts w:hint="default" w:ascii="Times New Roman" w:hAnsi="Times New Roman" w:eastAsia="方正仿宋简体" w:cs="Times New Roman"/>
          <w:b/>
          <w:bCs/>
          <w:sz w:val="32"/>
          <w:szCs w:val="32"/>
          <w:highlight w:val="none"/>
        </w:rPr>
        <w:t>一核三区</w:t>
      </w:r>
      <w:r>
        <w:rPr>
          <w:rFonts w:hint="eastAsia" w:ascii="Times New Roman" w:hAnsi="Times New Roman" w:eastAsia="方正仿宋简体" w:cs="Times New Roman"/>
          <w:b/>
          <w:bCs/>
          <w:sz w:val="32"/>
          <w:szCs w:val="32"/>
          <w:highlight w:val="none"/>
          <w:lang w:eastAsia="zh-CN"/>
        </w:rPr>
        <w:t>”</w:t>
      </w:r>
      <w:r>
        <w:rPr>
          <w:rFonts w:hint="default" w:ascii="Times New Roman" w:hAnsi="Times New Roman" w:eastAsia="方正仿宋简体" w:cs="Times New Roman"/>
          <w:sz w:val="32"/>
          <w:szCs w:val="32"/>
          <w:highlight w:val="none"/>
        </w:rPr>
        <w:t>功能布局，并重点设计</w:t>
      </w:r>
      <w:r>
        <w:rPr>
          <w:rFonts w:hint="default" w:ascii="Times New Roman" w:hAnsi="Times New Roman" w:eastAsia="方正仿宋简体" w:cs="Times New Roman"/>
          <w:b/>
          <w:bCs/>
          <w:sz w:val="32"/>
          <w:szCs w:val="32"/>
          <w:highlight w:val="none"/>
        </w:rPr>
        <w:t>流量动线。</w:t>
      </w:r>
    </w:p>
    <w:p w14:paraId="6D6A81B2">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3" w:firstLineChars="200"/>
        <w:textAlignment w:val="auto"/>
        <w:rPr>
          <w:rFonts w:hint="default" w:ascii="Times New Roman" w:hAnsi="Times New Roman" w:eastAsia="方正仿宋简体" w:cs="Times New Roman"/>
          <w:b/>
          <w:bCs/>
          <w:sz w:val="32"/>
          <w:szCs w:val="32"/>
          <w:highlight w:val="none"/>
        </w:rPr>
      </w:pPr>
      <w:r>
        <w:rPr>
          <w:rFonts w:hint="default" w:ascii="Times New Roman" w:hAnsi="Times New Roman" w:eastAsia="方正仿宋简体" w:cs="Times New Roman"/>
          <w:b/>
          <w:bCs/>
          <w:sz w:val="32"/>
          <w:szCs w:val="32"/>
          <w:highlight w:val="none"/>
        </w:rPr>
        <w:t>国际交往核心区：</w:t>
      </w:r>
      <w:r>
        <w:rPr>
          <w:rFonts w:hint="default" w:ascii="Times New Roman" w:hAnsi="Times New Roman" w:eastAsia="方正仿宋简体" w:cs="Times New Roman"/>
          <w:sz w:val="32"/>
          <w:szCs w:val="32"/>
          <w:highlight w:val="none"/>
        </w:rPr>
        <w:t>以世界青年发展论坛永久会址为核心，承担国际会议、展览、高端对话等核心功能，打造园区的</w:t>
      </w:r>
      <w:r>
        <w:rPr>
          <w:rFonts w:hint="default" w:ascii="Times New Roman" w:hAnsi="Times New Roman" w:eastAsia="方正仿宋简体" w:cs="Times New Roman"/>
          <w:b/>
          <w:bCs/>
          <w:sz w:val="32"/>
          <w:szCs w:val="32"/>
          <w:highlight w:val="none"/>
        </w:rPr>
        <w:t>能量极核。</w:t>
      </w:r>
    </w:p>
    <w:p w14:paraId="1A0A9A1F">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3" w:firstLineChars="200"/>
        <w:textAlignment w:val="auto"/>
        <w:rPr>
          <w:rFonts w:hint="eastAsia" w:ascii="Times New Roman" w:hAnsi="Times New Roman" w:eastAsia="方正仿宋简体" w:cs="Times New Roman"/>
          <w:sz w:val="32"/>
          <w:szCs w:val="32"/>
          <w:highlight w:val="none"/>
        </w:rPr>
      </w:pPr>
      <w:r>
        <w:rPr>
          <w:rFonts w:hint="default" w:ascii="Times New Roman" w:hAnsi="Times New Roman" w:eastAsia="方正仿宋简体" w:cs="Times New Roman"/>
          <w:b/>
          <w:bCs/>
          <w:sz w:val="32"/>
          <w:szCs w:val="32"/>
          <w:highlight w:val="none"/>
        </w:rPr>
        <w:t>文化体验区：</w:t>
      </w:r>
      <w:r>
        <w:rPr>
          <w:rFonts w:hint="default" w:ascii="Times New Roman" w:hAnsi="Times New Roman" w:eastAsia="方正仿宋简体" w:cs="Times New Roman"/>
          <w:sz w:val="32"/>
          <w:szCs w:val="32"/>
          <w:highlight w:val="none"/>
        </w:rPr>
        <w:t>以剧院为核心载体，整合院落空间，打造国际文化展示中心、</w:t>
      </w:r>
      <w:r>
        <w:rPr>
          <w:rFonts w:hint="eastAsia" w:ascii="Times New Roman" w:hAnsi="Times New Roman" w:eastAsia="方正仿宋简体" w:cs="Times New Roman"/>
          <w:sz w:val="32"/>
          <w:szCs w:val="32"/>
          <w:highlight w:val="none"/>
          <w:lang w:val="en-US" w:eastAsia="zh-CN"/>
        </w:rPr>
        <w:t>国际元素市集常驻地等</w:t>
      </w:r>
      <w:r>
        <w:rPr>
          <w:rFonts w:hint="default" w:ascii="Times New Roman" w:hAnsi="Times New Roman" w:eastAsia="方正仿宋简体" w:cs="Times New Roman"/>
          <w:sz w:val="32"/>
          <w:szCs w:val="32"/>
          <w:highlight w:val="none"/>
        </w:rPr>
        <w:t>。此区域是园区的活力板块，通过精心设计的步行友好通道，将外部消费人流从蓝色港湾</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亮马河岸自然地引入园区核心。</w:t>
      </w:r>
      <w:r>
        <w:rPr>
          <w:rFonts w:hint="default" w:ascii="Times New Roman" w:hAnsi="Times New Roman" w:eastAsia="方正仿宋简体" w:cs="Times New Roman"/>
          <w:b/>
          <w:bCs/>
          <w:sz w:val="32"/>
          <w:szCs w:val="32"/>
          <w:highlight w:val="none"/>
        </w:rPr>
        <w:t>核心抓手在于文化空间的创新运营</w:t>
      </w:r>
      <w:r>
        <w:rPr>
          <w:rFonts w:hint="eastAsia" w:ascii="Times New Roman" w:hAnsi="Times New Roman" w:eastAsia="方正仿宋简体" w:cs="Times New Roman"/>
          <w:b/>
          <w:bCs/>
          <w:sz w:val="32"/>
          <w:szCs w:val="32"/>
          <w:highlight w:val="none"/>
          <w:lang w:eastAsia="zh-CN"/>
        </w:rPr>
        <w:t>，</w:t>
      </w:r>
      <w:r>
        <w:rPr>
          <w:rFonts w:hint="eastAsia" w:ascii="Times New Roman" w:hAnsi="Times New Roman" w:eastAsia="方正仿宋简体" w:cs="Times New Roman"/>
          <w:sz w:val="32"/>
          <w:szCs w:val="32"/>
          <w:highlight w:val="none"/>
          <w:lang w:eastAsia="zh-CN"/>
        </w:rPr>
        <w:t>如：</w:t>
      </w:r>
    </w:p>
    <w:p w14:paraId="792E074F">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3"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b/>
          <w:bCs/>
          <w:sz w:val="32"/>
          <w:szCs w:val="32"/>
          <w:highlight w:val="none"/>
        </w:rPr>
        <w:t>打造</w:t>
      </w:r>
      <w:r>
        <w:rPr>
          <w:rFonts w:hint="eastAsia" w:ascii="Times New Roman" w:hAnsi="Times New Roman" w:eastAsia="方正仿宋简体" w:cs="Times New Roman"/>
          <w:b/>
          <w:bCs/>
          <w:sz w:val="32"/>
          <w:szCs w:val="32"/>
          <w:highlight w:val="none"/>
          <w:lang w:eastAsia="zh-CN"/>
        </w:rPr>
        <w:t>“</w:t>
      </w:r>
      <w:r>
        <w:rPr>
          <w:rFonts w:hint="default" w:ascii="Times New Roman" w:hAnsi="Times New Roman" w:eastAsia="方正仿宋简体" w:cs="Times New Roman"/>
          <w:b/>
          <w:bCs/>
          <w:sz w:val="32"/>
          <w:szCs w:val="32"/>
          <w:highlight w:val="none"/>
        </w:rPr>
        <w:t>国际化艺术舞台</w:t>
      </w:r>
      <w:r>
        <w:rPr>
          <w:rFonts w:hint="eastAsia" w:ascii="Times New Roman" w:hAnsi="Times New Roman" w:eastAsia="方正仿宋简体" w:cs="Times New Roman"/>
          <w:b/>
          <w:bCs/>
          <w:sz w:val="32"/>
          <w:szCs w:val="32"/>
          <w:highlight w:val="none"/>
          <w:lang w:eastAsia="zh-CN"/>
        </w:rPr>
        <w:t>”</w:t>
      </w:r>
      <w:r>
        <w:rPr>
          <w:rFonts w:hint="default" w:ascii="Times New Roman" w:hAnsi="Times New Roman" w:eastAsia="方正仿宋简体" w:cs="Times New Roman"/>
          <w:sz w:val="32"/>
          <w:szCs w:val="32"/>
          <w:highlight w:val="none"/>
        </w:rPr>
        <w:t>：利用论坛资源，打造常设性的</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世界青年戏剧节</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全球青年音乐季</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，让园区剧院成为北京国际青年艺术的重要展演平台</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b/>
          <w:bCs/>
          <w:sz w:val="32"/>
          <w:szCs w:val="32"/>
          <w:highlight w:val="none"/>
        </w:rPr>
        <w:t>构建</w:t>
      </w:r>
      <w:r>
        <w:rPr>
          <w:rFonts w:hint="eastAsia" w:ascii="Times New Roman" w:hAnsi="Times New Roman" w:eastAsia="方正仿宋简体" w:cs="Times New Roman"/>
          <w:b/>
          <w:bCs/>
          <w:sz w:val="32"/>
          <w:szCs w:val="32"/>
          <w:highlight w:val="none"/>
          <w:lang w:eastAsia="zh-CN"/>
        </w:rPr>
        <w:t>“</w:t>
      </w:r>
      <w:r>
        <w:rPr>
          <w:rFonts w:hint="default" w:ascii="Times New Roman" w:hAnsi="Times New Roman" w:eastAsia="方正仿宋简体" w:cs="Times New Roman"/>
          <w:b/>
          <w:bCs/>
          <w:sz w:val="32"/>
          <w:szCs w:val="32"/>
          <w:highlight w:val="none"/>
        </w:rPr>
        <w:t>文化创新工坊</w:t>
      </w:r>
      <w:r>
        <w:rPr>
          <w:rFonts w:hint="eastAsia" w:ascii="Times New Roman" w:hAnsi="Times New Roman" w:eastAsia="方正仿宋简体" w:cs="Times New Roman"/>
          <w:b/>
          <w:bCs/>
          <w:sz w:val="32"/>
          <w:szCs w:val="32"/>
          <w:highlight w:val="none"/>
          <w:lang w:eastAsia="zh-CN"/>
        </w:rPr>
        <w:t>”</w:t>
      </w:r>
      <w:r>
        <w:rPr>
          <w:rFonts w:hint="default" w:ascii="Times New Roman" w:hAnsi="Times New Roman" w:eastAsia="方正仿宋简体" w:cs="Times New Roman"/>
          <w:sz w:val="32"/>
          <w:szCs w:val="32"/>
          <w:highlight w:val="none"/>
        </w:rPr>
        <w:t>：邀请全球青年艺术家入驻，围绕中国文化、零碳理念等主题，在剧院及院落空间共同创作并展示</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b/>
          <w:bCs/>
          <w:sz w:val="32"/>
          <w:szCs w:val="32"/>
          <w:highlight w:val="none"/>
        </w:rPr>
        <w:t>设计</w:t>
      </w:r>
      <w:r>
        <w:rPr>
          <w:rFonts w:hint="eastAsia" w:ascii="Times New Roman" w:hAnsi="Times New Roman" w:eastAsia="方正仿宋简体" w:cs="Times New Roman"/>
          <w:b/>
          <w:bCs/>
          <w:sz w:val="32"/>
          <w:szCs w:val="32"/>
          <w:highlight w:val="none"/>
          <w:lang w:eastAsia="zh-CN"/>
        </w:rPr>
        <w:t>“</w:t>
      </w:r>
      <w:r>
        <w:rPr>
          <w:rFonts w:hint="default" w:ascii="Times New Roman" w:hAnsi="Times New Roman" w:eastAsia="方正仿宋简体" w:cs="Times New Roman"/>
          <w:b/>
          <w:bCs/>
          <w:sz w:val="32"/>
          <w:szCs w:val="32"/>
          <w:highlight w:val="none"/>
        </w:rPr>
        <w:t>文旅融合动线</w:t>
      </w:r>
      <w:r>
        <w:rPr>
          <w:rFonts w:hint="eastAsia" w:ascii="Times New Roman" w:hAnsi="Times New Roman" w:eastAsia="方正仿宋简体" w:cs="Times New Roman"/>
          <w:b/>
          <w:bCs/>
          <w:sz w:val="32"/>
          <w:szCs w:val="32"/>
          <w:highlight w:val="none"/>
          <w:lang w:eastAsia="zh-CN"/>
        </w:rPr>
        <w:t>”</w:t>
      </w:r>
      <w:r>
        <w:rPr>
          <w:rFonts w:hint="default" w:ascii="Times New Roman" w:hAnsi="Times New Roman" w:eastAsia="方正仿宋简体" w:cs="Times New Roman"/>
          <w:sz w:val="32"/>
          <w:szCs w:val="32"/>
          <w:highlight w:val="none"/>
        </w:rPr>
        <w:t>：将艺术活动从剧院内向公共空间延伸，创造</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室内专业化，室外大众化</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的多层次文化体验。</w:t>
      </w:r>
    </w:p>
    <w:p w14:paraId="67373301">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3"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b/>
          <w:bCs/>
          <w:sz w:val="32"/>
          <w:szCs w:val="32"/>
          <w:highlight w:val="none"/>
        </w:rPr>
        <w:t>创新服务区：</w:t>
      </w:r>
      <w:r>
        <w:rPr>
          <w:rFonts w:hint="default" w:ascii="Times New Roman" w:hAnsi="Times New Roman" w:eastAsia="方正仿宋简体" w:cs="Times New Roman"/>
          <w:sz w:val="32"/>
          <w:szCs w:val="32"/>
          <w:highlight w:val="none"/>
        </w:rPr>
        <w:t>利用写字楼空间，建设国际青年创新工场、</w:t>
      </w:r>
      <w:r>
        <w:rPr>
          <w:rFonts w:hint="eastAsia" w:ascii="Times New Roman" w:hAnsi="Times New Roman" w:eastAsia="方正仿宋简体" w:cs="Times New Roman"/>
          <w:sz w:val="32"/>
          <w:szCs w:val="32"/>
          <w:highlight w:val="none"/>
          <w:lang w:val="en-US" w:eastAsia="zh-CN"/>
        </w:rPr>
        <w:t>挂牌中国青年</w:t>
      </w:r>
      <w:r>
        <w:rPr>
          <w:rFonts w:hint="default" w:ascii="Times New Roman" w:hAnsi="Times New Roman" w:eastAsia="方正仿宋简体" w:cs="Times New Roman"/>
          <w:sz w:val="32"/>
          <w:szCs w:val="32"/>
          <w:highlight w:val="none"/>
        </w:rPr>
        <w:t>全球</w:t>
      </w:r>
      <w:r>
        <w:rPr>
          <w:rFonts w:hint="eastAsia" w:ascii="Times New Roman" w:hAnsi="Times New Roman" w:eastAsia="方正仿宋简体" w:cs="Times New Roman"/>
          <w:sz w:val="32"/>
          <w:szCs w:val="32"/>
          <w:highlight w:val="none"/>
          <w:lang w:val="en-US" w:eastAsia="zh-CN"/>
        </w:rPr>
        <w:t>胜任力</w:t>
      </w:r>
      <w:r>
        <w:rPr>
          <w:rFonts w:hint="default" w:ascii="Times New Roman" w:hAnsi="Times New Roman" w:eastAsia="方正仿宋简体" w:cs="Times New Roman"/>
          <w:sz w:val="32"/>
          <w:szCs w:val="32"/>
          <w:highlight w:val="none"/>
        </w:rPr>
        <w:t>培训中心</w:t>
      </w:r>
      <w:r>
        <w:rPr>
          <w:rFonts w:hint="eastAsia" w:ascii="Times New Roman" w:hAnsi="Times New Roman" w:eastAsia="方正仿宋简体" w:cs="Times New Roman"/>
          <w:sz w:val="32"/>
          <w:szCs w:val="32"/>
          <w:highlight w:val="none"/>
          <w:lang w:eastAsia="zh-CN"/>
        </w:rPr>
        <w:t>、青年企业家全球化布局研学基地</w:t>
      </w:r>
      <w:r>
        <w:rPr>
          <w:rFonts w:hint="default" w:ascii="Times New Roman" w:hAnsi="Times New Roman" w:eastAsia="方正仿宋简体" w:cs="Times New Roman"/>
          <w:sz w:val="32"/>
          <w:szCs w:val="32"/>
          <w:highlight w:val="none"/>
        </w:rPr>
        <w:t>等，形成园区的</w:t>
      </w:r>
      <w:r>
        <w:rPr>
          <w:rFonts w:hint="default" w:ascii="Times New Roman" w:hAnsi="Times New Roman" w:eastAsia="方正仿宋简体" w:cs="Times New Roman"/>
          <w:b/>
          <w:bCs/>
          <w:sz w:val="32"/>
          <w:szCs w:val="32"/>
          <w:highlight w:val="none"/>
        </w:rPr>
        <w:t>赋能板块</w:t>
      </w:r>
      <w:r>
        <w:rPr>
          <w:rFonts w:hint="default" w:ascii="Times New Roman" w:hAnsi="Times New Roman" w:eastAsia="方正仿宋简体" w:cs="Times New Roman"/>
          <w:sz w:val="32"/>
          <w:szCs w:val="32"/>
          <w:highlight w:val="none"/>
        </w:rPr>
        <w:t>。</w:t>
      </w:r>
    </w:p>
    <w:p w14:paraId="4193370D">
      <w:pPr>
        <w:keepNext w:val="0"/>
        <w:keepLines w:val="0"/>
        <w:pageBreakBefore w:val="0"/>
        <w:widowControl w:val="0"/>
        <w:numPr>
          <w:ilvl w:val="0"/>
          <w:numId w:val="4"/>
        </w:numPr>
        <w:kinsoku/>
        <w:wordWrap/>
        <w:overflowPunct/>
        <w:topLinePunct w:val="0"/>
        <w:autoSpaceDE/>
        <w:autoSpaceDN/>
        <w:bidi w:val="0"/>
        <w:adjustRightInd/>
        <w:snapToGrid/>
        <w:spacing w:line="560" w:lineRule="exact"/>
        <w:ind w:leftChars="0" w:firstLine="640" w:firstLineChars="200"/>
        <w:textAlignment w:val="auto"/>
        <w:rPr>
          <w:rFonts w:hint="eastAsia" w:ascii="方正楷体简体" w:hAnsi="方正楷体简体" w:eastAsia="方正楷体简体" w:cs="方正楷体简体"/>
          <w:b w:val="0"/>
          <w:bCs w:val="0"/>
          <w:sz w:val="32"/>
          <w:szCs w:val="32"/>
          <w:highlight w:val="none"/>
        </w:rPr>
      </w:pPr>
      <w:r>
        <w:rPr>
          <w:rFonts w:hint="eastAsia" w:ascii="方正楷体简体" w:hAnsi="方正楷体简体" w:eastAsia="方正楷体简体" w:cs="方正楷体简体"/>
          <w:b w:val="0"/>
          <w:bCs w:val="0"/>
          <w:sz w:val="32"/>
          <w:szCs w:val="32"/>
          <w:highlight w:val="none"/>
        </w:rPr>
        <w:t>合作伙伴与生态构建</w:t>
      </w:r>
    </w:p>
    <w:p w14:paraId="3AB5DED0">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0"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sz w:val="32"/>
          <w:szCs w:val="32"/>
          <w:highlight w:val="none"/>
        </w:rPr>
        <w:t>平台型服务园区的核心竞争力</w:t>
      </w:r>
      <w:r>
        <w:rPr>
          <w:rFonts w:hint="eastAsia" w:ascii="Times New Roman" w:hAnsi="Times New Roman" w:eastAsia="方正仿宋简体" w:cs="Times New Roman"/>
          <w:sz w:val="32"/>
          <w:szCs w:val="32"/>
          <w:highlight w:val="none"/>
          <w:lang w:eastAsia="zh-CN"/>
        </w:rPr>
        <w:t>来自</w:t>
      </w:r>
      <w:r>
        <w:rPr>
          <w:rFonts w:hint="default" w:ascii="Times New Roman" w:hAnsi="Times New Roman" w:eastAsia="方正仿宋简体" w:cs="Times New Roman"/>
          <w:sz w:val="32"/>
          <w:szCs w:val="32"/>
          <w:highlight w:val="none"/>
        </w:rPr>
        <w:t>其构建的生态网络。</w:t>
      </w:r>
      <w:r>
        <w:rPr>
          <w:rFonts w:hint="eastAsia" w:ascii="Times New Roman" w:hAnsi="Times New Roman" w:eastAsia="方正仿宋简体" w:cs="Times New Roman"/>
          <w:sz w:val="32"/>
          <w:szCs w:val="32"/>
          <w:highlight w:val="none"/>
          <w:lang w:val="en-US" w:eastAsia="zh-CN"/>
        </w:rPr>
        <w:t>建议</w:t>
      </w:r>
      <w:r>
        <w:rPr>
          <w:rFonts w:hint="default" w:ascii="Times New Roman" w:hAnsi="Times New Roman" w:eastAsia="方正仿宋简体" w:cs="Times New Roman"/>
          <w:sz w:val="32"/>
          <w:szCs w:val="32"/>
          <w:highlight w:val="none"/>
        </w:rPr>
        <w:t>围绕</w:t>
      </w:r>
      <w:r>
        <w:rPr>
          <w:rFonts w:hint="eastAsia" w:ascii="Times New Roman" w:hAnsi="Times New Roman" w:eastAsia="方正仿宋简体" w:cs="Times New Roman"/>
          <w:sz w:val="32"/>
          <w:szCs w:val="32"/>
          <w:highlight w:val="none"/>
          <w:lang w:val="en-US" w:eastAsia="zh-CN"/>
        </w:rPr>
        <w:t>交流中心“</w:t>
      </w:r>
      <w:r>
        <w:rPr>
          <w:rFonts w:hint="eastAsia" w:ascii="Times New Roman" w:hAnsi="Times New Roman" w:eastAsia="方正仿宋简体" w:cs="Times New Roman"/>
          <w:sz w:val="32"/>
          <w:szCs w:val="32"/>
          <w:highlight w:val="none"/>
        </w:rPr>
        <w:t>青年外事工作主阵地、各国青年来华交流打卡地、国际青年人才集聚地</w:t>
      </w:r>
      <w:r>
        <w:rPr>
          <w:rFonts w:hint="eastAsia" w:ascii="Times New Roman" w:hAnsi="Times New Roman" w:eastAsia="方正仿宋简体" w:cs="Times New Roman"/>
          <w:sz w:val="32"/>
          <w:szCs w:val="32"/>
          <w:highlight w:val="none"/>
          <w:lang w:val="en-US" w:eastAsia="zh-CN"/>
        </w:rPr>
        <w:t>”</w:t>
      </w:r>
      <w:r>
        <w:rPr>
          <w:rFonts w:hint="default" w:ascii="Times New Roman" w:hAnsi="Times New Roman" w:eastAsia="方正仿宋简体" w:cs="Times New Roman"/>
          <w:sz w:val="32"/>
          <w:szCs w:val="32"/>
          <w:highlight w:val="none"/>
        </w:rPr>
        <w:t>定位，构建一个多层次、国际化的合作伙伴体系：</w:t>
      </w:r>
    </w:p>
    <w:p w14:paraId="6C74214F">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3" w:firstLineChars="200"/>
        <w:textAlignment w:val="auto"/>
        <w:rPr>
          <w:rFonts w:hint="eastAsia" w:ascii="Times New Roman" w:hAnsi="Times New Roman" w:eastAsia="方正仿宋简体" w:cs="Times New Roman"/>
          <w:sz w:val="32"/>
          <w:szCs w:val="32"/>
          <w:highlight w:val="none"/>
          <w:lang w:eastAsia="zh-CN"/>
        </w:rPr>
      </w:pPr>
      <w:r>
        <w:rPr>
          <w:rFonts w:hint="default" w:ascii="Times New Roman" w:hAnsi="Times New Roman" w:eastAsia="方正仿宋简体" w:cs="Times New Roman"/>
          <w:b/>
          <w:bCs/>
          <w:sz w:val="32"/>
          <w:szCs w:val="32"/>
          <w:highlight w:val="none"/>
        </w:rPr>
        <w:t>战略指导伙伴：</w:t>
      </w:r>
      <w:r>
        <w:rPr>
          <w:rFonts w:hint="default" w:ascii="Times New Roman" w:hAnsi="Times New Roman" w:eastAsia="方正仿宋简体" w:cs="Times New Roman"/>
          <w:sz w:val="32"/>
          <w:szCs w:val="32"/>
          <w:highlight w:val="none"/>
        </w:rPr>
        <w:t>加强与共青团中央</w:t>
      </w:r>
      <w:r>
        <w:rPr>
          <w:rFonts w:hint="eastAsia" w:ascii="Times New Roman" w:hAnsi="Times New Roman" w:eastAsia="方正仿宋简体" w:cs="Times New Roman"/>
          <w:sz w:val="32"/>
          <w:szCs w:val="32"/>
          <w:highlight w:val="none"/>
          <w:lang w:eastAsia="zh-CN"/>
        </w:rPr>
        <w:t>、外交部</w:t>
      </w:r>
      <w:r>
        <w:rPr>
          <w:rFonts w:hint="default" w:ascii="Times New Roman" w:hAnsi="Times New Roman" w:eastAsia="方正仿宋简体" w:cs="Times New Roman"/>
          <w:sz w:val="32"/>
          <w:szCs w:val="32"/>
          <w:highlight w:val="none"/>
        </w:rPr>
        <w:t>等中央部委的</w:t>
      </w:r>
      <w:r>
        <w:rPr>
          <w:rFonts w:hint="eastAsia" w:ascii="Times New Roman" w:hAnsi="Times New Roman" w:eastAsia="方正仿宋简体" w:cs="Times New Roman"/>
          <w:sz w:val="32"/>
          <w:szCs w:val="32"/>
          <w:highlight w:val="none"/>
          <w:lang w:val="en-US" w:eastAsia="zh-CN"/>
        </w:rPr>
        <w:t>请示汇报，获取政策指导和倾斜</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朝阳区</w:t>
      </w:r>
      <w:r>
        <w:rPr>
          <w:rFonts w:hint="eastAsia" w:ascii="Times New Roman" w:hAnsi="Times New Roman" w:eastAsia="方正仿宋简体" w:cs="Times New Roman"/>
          <w:sz w:val="32"/>
          <w:szCs w:val="32"/>
          <w:highlight w:val="none"/>
          <w:lang w:val="en-US" w:eastAsia="zh-CN"/>
        </w:rPr>
        <w:t>特别是其</w:t>
      </w:r>
      <w:r>
        <w:rPr>
          <w:rFonts w:hint="default" w:ascii="Times New Roman" w:hAnsi="Times New Roman" w:eastAsia="方正仿宋简体" w:cs="Times New Roman"/>
          <w:sz w:val="32"/>
          <w:szCs w:val="32"/>
          <w:highlight w:val="none"/>
        </w:rPr>
        <w:t>文化和旅游局</w:t>
      </w:r>
      <w:r>
        <w:rPr>
          <w:rFonts w:hint="eastAsia" w:ascii="Times New Roman" w:hAnsi="Times New Roman" w:eastAsia="方正仿宋简体" w:cs="Times New Roman"/>
          <w:sz w:val="32"/>
          <w:szCs w:val="32"/>
          <w:highlight w:val="none"/>
          <w:lang w:eastAsia="zh-CN"/>
        </w:rPr>
        <w:t>、</w:t>
      </w:r>
      <w:r>
        <w:rPr>
          <w:rFonts w:hint="eastAsia" w:ascii="Times New Roman" w:hAnsi="Times New Roman" w:eastAsia="方正仿宋简体" w:cs="Times New Roman"/>
          <w:sz w:val="32"/>
          <w:szCs w:val="32"/>
          <w:highlight w:val="none"/>
          <w:lang w:val="en-US" w:eastAsia="zh-CN"/>
        </w:rPr>
        <w:t>麦子店街道</w:t>
      </w:r>
      <w:r>
        <w:rPr>
          <w:rFonts w:hint="default" w:ascii="Times New Roman" w:hAnsi="Times New Roman" w:eastAsia="方正仿宋简体" w:cs="Times New Roman"/>
          <w:sz w:val="32"/>
          <w:szCs w:val="32"/>
          <w:highlight w:val="none"/>
        </w:rPr>
        <w:t>作为核心政府合作伙伴，在政策</w:t>
      </w:r>
      <w:r>
        <w:rPr>
          <w:rFonts w:hint="eastAsia" w:ascii="Times New Roman" w:hAnsi="Times New Roman" w:eastAsia="方正仿宋简体" w:cs="Times New Roman"/>
          <w:sz w:val="32"/>
          <w:szCs w:val="32"/>
          <w:highlight w:val="none"/>
          <w:lang w:eastAsia="zh-CN"/>
        </w:rPr>
        <w:t>咨询</w:t>
      </w:r>
      <w:r>
        <w:rPr>
          <w:rFonts w:hint="default" w:ascii="Times New Roman" w:hAnsi="Times New Roman" w:eastAsia="方正仿宋简体" w:cs="Times New Roman"/>
          <w:sz w:val="32"/>
          <w:szCs w:val="32"/>
          <w:highlight w:val="none"/>
        </w:rPr>
        <w:t>、资源对接、活动联动方面提供支持</w:t>
      </w:r>
      <w:r>
        <w:rPr>
          <w:rFonts w:hint="eastAsia" w:ascii="Times New Roman" w:hAnsi="Times New Roman" w:eastAsia="方正仿宋简体" w:cs="Times New Roman"/>
          <w:sz w:val="32"/>
          <w:szCs w:val="32"/>
          <w:highlight w:val="none"/>
          <w:lang w:eastAsia="zh-CN"/>
        </w:rPr>
        <w:t>。</w:t>
      </w:r>
    </w:p>
    <w:p w14:paraId="7A539ED0">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3"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b/>
          <w:bCs/>
          <w:sz w:val="32"/>
          <w:szCs w:val="32"/>
          <w:highlight w:val="none"/>
        </w:rPr>
        <w:t>内容创作伙伴：</w:t>
      </w:r>
      <w:r>
        <w:rPr>
          <w:rFonts w:hint="default" w:ascii="Times New Roman" w:hAnsi="Times New Roman" w:eastAsia="方正仿宋简体" w:cs="Times New Roman"/>
          <w:sz w:val="32"/>
          <w:szCs w:val="32"/>
          <w:highlight w:val="none"/>
        </w:rPr>
        <w:t>与国际知名艺术节组委会（如爱丁堡边缘艺术节）、权威艺术机构（如乌镇戏剧节组委会）、顶尖艺术院校合作，提升内容品质；</w:t>
      </w:r>
      <w:r>
        <w:rPr>
          <w:rFonts w:hint="eastAsia" w:ascii="Times New Roman" w:hAnsi="Times New Roman" w:eastAsia="方正仿宋简体" w:cs="Times New Roman"/>
          <w:sz w:val="32"/>
          <w:szCs w:val="32"/>
          <w:highlight w:val="none"/>
          <w:lang w:val="en-US" w:eastAsia="zh-CN"/>
        </w:rPr>
        <w:t>用好现有的潮流文化季</w:t>
      </w:r>
      <w:r>
        <w:rPr>
          <w:rFonts w:hint="default" w:ascii="Times New Roman" w:hAnsi="Times New Roman" w:eastAsia="方正仿宋简体" w:cs="Times New Roman"/>
          <w:sz w:val="32"/>
          <w:szCs w:val="32"/>
          <w:highlight w:val="none"/>
        </w:rPr>
        <w:t>IP</w:t>
      </w:r>
      <w:r>
        <w:rPr>
          <w:rFonts w:hint="eastAsia" w:ascii="Times New Roman" w:hAnsi="Times New Roman" w:eastAsia="方正仿宋简体" w:cs="Times New Roman"/>
          <w:sz w:val="32"/>
          <w:szCs w:val="32"/>
          <w:highlight w:val="none"/>
          <w:lang w:eastAsia="zh-CN"/>
        </w:rPr>
        <w:t>，</w:t>
      </w:r>
      <w:r>
        <w:rPr>
          <w:rFonts w:hint="eastAsia" w:ascii="Times New Roman" w:hAnsi="Times New Roman" w:eastAsia="方正仿宋简体" w:cs="Times New Roman"/>
          <w:sz w:val="32"/>
          <w:szCs w:val="32"/>
          <w:highlight w:val="none"/>
          <w:lang w:val="en-US" w:eastAsia="zh-CN"/>
        </w:rPr>
        <w:t>共创文化内容</w:t>
      </w:r>
      <w:r>
        <w:rPr>
          <w:rFonts w:hint="default" w:ascii="Times New Roman" w:hAnsi="Times New Roman" w:eastAsia="方正仿宋简体" w:cs="Times New Roman"/>
          <w:sz w:val="32"/>
          <w:szCs w:val="32"/>
          <w:highlight w:val="none"/>
        </w:rPr>
        <w:t>。</w:t>
      </w:r>
    </w:p>
    <w:p w14:paraId="4648560A">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3" w:firstLineChars="200"/>
        <w:textAlignment w:val="auto"/>
        <w:rPr>
          <w:rFonts w:hint="eastAsia" w:ascii="Times New Roman" w:hAnsi="Times New Roman" w:eastAsia="方正仿宋简体" w:cs="Times New Roman"/>
          <w:sz w:val="32"/>
          <w:szCs w:val="32"/>
          <w:highlight w:val="none"/>
        </w:rPr>
      </w:pPr>
      <w:r>
        <w:rPr>
          <w:rFonts w:hint="default" w:ascii="Times New Roman" w:hAnsi="Times New Roman" w:eastAsia="方正仿宋简体" w:cs="Times New Roman"/>
          <w:b/>
          <w:bCs/>
          <w:sz w:val="32"/>
          <w:szCs w:val="32"/>
          <w:highlight w:val="none"/>
        </w:rPr>
        <w:t>平台运营伙伴：</w:t>
      </w:r>
      <w:r>
        <w:rPr>
          <w:rFonts w:hint="eastAsia" w:ascii="Times New Roman" w:hAnsi="Times New Roman" w:eastAsia="方正仿宋简体" w:cs="Times New Roman"/>
          <w:sz w:val="32"/>
          <w:szCs w:val="32"/>
          <w:highlight w:val="none"/>
          <w:lang w:val="en-US" w:eastAsia="zh-CN"/>
        </w:rPr>
        <w:t>以园区运营咨询公司为主体，</w:t>
      </w:r>
      <w:r>
        <w:rPr>
          <w:rFonts w:hint="eastAsia" w:ascii="Times New Roman" w:hAnsi="Times New Roman" w:eastAsia="方正仿宋简体" w:cs="Times New Roman"/>
          <w:sz w:val="32"/>
          <w:szCs w:val="32"/>
          <w:highlight w:val="none"/>
        </w:rPr>
        <w:t>负责整体战略规划与资源调配</w:t>
      </w:r>
      <w:r>
        <w:rPr>
          <w:rFonts w:hint="eastAsia" w:ascii="Times New Roman" w:hAnsi="Times New Roman" w:eastAsia="方正仿宋简体" w:cs="Times New Roman"/>
          <w:sz w:val="32"/>
          <w:szCs w:val="32"/>
          <w:highlight w:val="none"/>
          <w:lang w:eastAsia="zh-CN"/>
        </w:rPr>
        <w:t>，同时</w:t>
      </w:r>
      <w:r>
        <w:rPr>
          <w:rFonts w:hint="eastAsia" w:ascii="Times New Roman" w:hAnsi="Times New Roman" w:eastAsia="方正仿宋简体" w:cs="Times New Roman"/>
          <w:sz w:val="32"/>
          <w:szCs w:val="32"/>
          <w:highlight w:val="none"/>
        </w:rPr>
        <w:t>联合精品市集策划公司、国际性主题展览</w:t>
      </w:r>
      <w:r>
        <w:rPr>
          <w:rFonts w:hint="eastAsia" w:ascii="Times New Roman" w:hAnsi="Times New Roman" w:eastAsia="方正仿宋简体" w:cs="Times New Roman"/>
          <w:sz w:val="32"/>
          <w:szCs w:val="32"/>
          <w:highlight w:val="none"/>
          <w:lang w:eastAsia="zh-CN"/>
        </w:rPr>
        <w:t>等</w:t>
      </w:r>
      <w:r>
        <w:rPr>
          <w:rFonts w:hint="eastAsia" w:ascii="Times New Roman" w:hAnsi="Times New Roman" w:eastAsia="方正仿宋简体" w:cs="Times New Roman"/>
          <w:sz w:val="32"/>
          <w:szCs w:val="32"/>
          <w:highlight w:val="none"/>
        </w:rPr>
        <w:t>运营机构，共同负责空间活化、日常运营与具体项目执行。</w:t>
      </w:r>
    </w:p>
    <w:p w14:paraId="06ED53C8">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3"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b/>
          <w:bCs/>
          <w:sz w:val="32"/>
          <w:szCs w:val="32"/>
          <w:highlight w:val="none"/>
        </w:rPr>
        <w:t>市场推广伙伴：</w:t>
      </w:r>
      <w:r>
        <w:rPr>
          <w:rFonts w:hint="default" w:ascii="Times New Roman" w:hAnsi="Times New Roman" w:eastAsia="方正仿宋简体" w:cs="Times New Roman"/>
          <w:sz w:val="32"/>
          <w:szCs w:val="32"/>
          <w:highlight w:val="none"/>
        </w:rPr>
        <w:t>与蓝色港湾</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亮马河航运公司等商业体建立客源共享机制；</w:t>
      </w:r>
      <w:r>
        <w:rPr>
          <w:rFonts w:hint="eastAsia" w:ascii="Times New Roman" w:hAnsi="Times New Roman" w:eastAsia="方正仿宋简体" w:cs="Times New Roman"/>
          <w:sz w:val="32"/>
          <w:szCs w:val="32"/>
          <w:highlight w:val="none"/>
          <w:lang w:eastAsia="zh-CN"/>
        </w:rPr>
        <w:t>与体育</w:t>
      </w:r>
      <w:r>
        <w:rPr>
          <w:rFonts w:hint="eastAsia" w:ascii="Times New Roman" w:hAnsi="Times New Roman" w:eastAsia="方正仿宋简体" w:cs="Times New Roman"/>
          <w:sz w:val="32"/>
          <w:szCs w:val="32"/>
          <w:highlight w:val="none"/>
          <w:lang w:val="en-US" w:eastAsia="zh-CN"/>
        </w:rPr>
        <w:t>赛事运营</w:t>
      </w:r>
      <w:r>
        <w:rPr>
          <w:rFonts w:hint="eastAsia" w:ascii="Times New Roman" w:hAnsi="Times New Roman" w:eastAsia="方正仿宋简体" w:cs="Times New Roman"/>
          <w:sz w:val="32"/>
          <w:szCs w:val="32"/>
          <w:highlight w:val="none"/>
          <w:lang w:eastAsia="zh-CN"/>
        </w:rPr>
        <w:t>机构共同打造“国际</w:t>
      </w:r>
      <w:r>
        <w:rPr>
          <w:rFonts w:hint="eastAsia" w:ascii="Times New Roman" w:hAnsi="Times New Roman" w:eastAsia="方正仿宋简体" w:cs="Times New Roman"/>
          <w:sz w:val="32"/>
          <w:szCs w:val="32"/>
          <w:highlight w:val="none"/>
          <w:lang w:val="en-US" w:eastAsia="zh-CN"/>
        </w:rPr>
        <w:t>球类友谊联</w:t>
      </w:r>
      <w:r>
        <w:rPr>
          <w:rFonts w:hint="eastAsia" w:ascii="Times New Roman" w:hAnsi="Times New Roman" w:eastAsia="方正仿宋简体" w:cs="Times New Roman"/>
          <w:sz w:val="32"/>
          <w:szCs w:val="32"/>
          <w:highlight w:val="none"/>
          <w:lang w:eastAsia="zh-CN"/>
        </w:rPr>
        <w:t>赛”；</w:t>
      </w:r>
      <w:r>
        <w:rPr>
          <w:rFonts w:hint="default" w:ascii="Times New Roman" w:hAnsi="Times New Roman" w:eastAsia="方正仿宋简体" w:cs="Times New Roman"/>
          <w:sz w:val="32"/>
          <w:szCs w:val="32"/>
          <w:highlight w:val="none"/>
        </w:rPr>
        <w:t>对接优质媒体资源，扩大品牌影响力。</w:t>
      </w:r>
    </w:p>
    <w:p w14:paraId="375CEEE8">
      <w:pPr>
        <w:keepNext w:val="0"/>
        <w:keepLines w:val="0"/>
        <w:pageBreakBefore w:val="0"/>
        <w:widowControl w:val="0"/>
        <w:numPr>
          <w:ilvl w:val="0"/>
          <w:numId w:val="4"/>
        </w:numPr>
        <w:kinsoku/>
        <w:wordWrap/>
        <w:overflowPunct/>
        <w:topLinePunct w:val="0"/>
        <w:autoSpaceDE/>
        <w:autoSpaceDN/>
        <w:bidi w:val="0"/>
        <w:adjustRightInd/>
        <w:snapToGrid/>
        <w:spacing w:line="560" w:lineRule="exact"/>
        <w:ind w:leftChars="0" w:firstLine="640" w:firstLineChars="200"/>
        <w:textAlignment w:val="auto"/>
        <w:rPr>
          <w:rFonts w:hint="default" w:ascii="方正楷体简体" w:hAnsi="方正楷体简体" w:eastAsia="方正楷体简体" w:cs="方正楷体简体"/>
          <w:sz w:val="32"/>
          <w:szCs w:val="32"/>
          <w:highlight w:val="none"/>
        </w:rPr>
      </w:pPr>
      <w:r>
        <w:rPr>
          <w:rFonts w:hint="default" w:ascii="方正楷体简体" w:hAnsi="方正楷体简体" w:eastAsia="方正楷体简体" w:cs="方正楷体简体"/>
          <w:sz w:val="32"/>
          <w:szCs w:val="32"/>
          <w:highlight w:val="none"/>
        </w:rPr>
        <w:t>资金来源与资金结构</w:t>
      </w:r>
    </w:p>
    <w:p w14:paraId="32D89B92">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0"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sz w:val="32"/>
          <w:szCs w:val="32"/>
          <w:highlight w:val="none"/>
        </w:rPr>
        <w:t>平台型服务园区的建设需要构建一个多元化、全周期的资金支持体系：</w:t>
      </w:r>
    </w:p>
    <w:p w14:paraId="0092E95F">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3" w:firstLineChars="200"/>
        <w:textAlignment w:val="auto"/>
        <w:rPr>
          <w:rFonts w:hint="eastAsia" w:ascii="Times New Roman" w:hAnsi="Times New Roman" w:eastAsia="方正仿宋简体" w:cs="Times New Roman"/>
          <w:sz w:val="32"/>
          <w:szCs w:val="32"/>
          <w:highlight w:val="none"/>
        </w:rPr>
      </w:pPr>
      <w:r>
        <w:rPr>
          <w:rFonts w:hint="default" w:ascii="Times New Roman" w:hAnsi="Times New Roman" w:eastAsia="方正仿宋简体" w:cs="Times New Roman"/>
          <w:b/>
          <w:bCs/>
          <w:sz w:val="32"/>
          <w:szCs w:val="32"/>
          <w:highlight w:val="none"/>
        </w:rPr>
        <w:t>第一阶段：功能建设期</w:t>
      </w:r>
      <w:r>
        <w:rPr>
          <w:rFonts w:hint="eastAsia" w:ascii="Times New Roman" w:hAnsi="Times New Roman" w:eastAsia="方正仿宋简体" w:cs="Times New Roman"/>
          <w:sz w:val="32"/>
          <w:szCs w:val="32"/>
          <w:highlight w:val="none"/>
          <w:lang w:eastAsia="zh-CN"/>
        </w:rPr>
        <w:t>。</w:t>
      </w:r>
      <w:r>
        <w:rPr>
          <w:rFonts w:hint="eastAsia" w:ascii="Times New Roman" w:hAnsi="Times New Roman" w:eastAsia="方正仿宋简体" w:cs="Times New Roman"/>
          <w:sz w:val="32"/>
          <w:szCs w:val="32"/>
          <w:highlight w:val="none"/>
          <w:lang w:val="en-US" w:eastAsia="zh-CN"/>
        </w:rPr>
        <w:t>继续与团中央权益部沟通，以“世界青年发展论坛永久基地”名义申请专项建设资金，关注并</w:t>
      </w:r>
      <w:r>
        <w:rPr>
          <w:rFonts w:hint="default" w:ascii="Times New Roman" w:hAnsi="Times New Roman" w:eastAsia="方正仿宋简体" w:cs="Times New Roman"/>
          <w:sz w:val="32"/>
          <w:szCs w:val="32"/>
          <w:highlight w:val="none"/>
        </w:rPr>
        <w:t>申请北京市</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两区</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建设、国际消费中心城市建设、文化创意产业等专项补贴</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交流中心投入资本金，用于核心功能区改造</w:t>
      </w:r>
      <w:r>
        <w:rPr>
          <w:rFonts w:hint="eastAsia" w:ascii="Times New Roman" w:hAnsi="Times New Roman" w:eastAsia="方正仿宋简体" w:cs="Times New Roman"/>
          <w:sz w:val="32"/>
          <w:szCs w:val="32"/>
          <w:highlight w:val="none"/>
          <w:lang w:eastAsia="zh-CN"/>
        </w:rPr>
        <w:t>。</w:t>
      </w:r>
    </w:p>
    <w:p w14:paraId="4FAB69E0">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3"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b/>
          <w:bCs/>
          <w:sz w:val="32"/>
          <w:szCs w:val="32"/>
          <w:highlight w:val="none"/>
        </w:rPr>
        <w:t>第二阶段：运营培育期</w:t>
      </w:r>
      <w:r>
        <w:rPr>
          <w:rFonts w:hint="eastAsia" w:ascii="Times New Roman" w:hAnsi="Times New Roman" w:eastAsia="方正仿宋简体" w:cs="Times New Roman"/>
          <w:b/>
          <w:bCs/>
          <w:sz w:val="32"/>
          <w:szCs w:val="32"/>
          <w:highlight w:val="none"/>
          <w:lang w:eastAsia="zh-CN"/>
        </w:rPr>
        <w:t>。</w:t>
      </w:r>
      <w:r>
        <w:rPr>
          <w:rFonts w:hint="default" w:ascii="Times New Roman" w:hAnsi="Times New Roman" w:eastAsia="方正仿宋简体" w:cs="Times New Roman"/>
          <w:b/>
          <w:bCs/>
          <w:sz w:val="32"/>
          <w:szCs w:val="32"/>
          <w:highlight w:val="none"/>
        </w:rPr>
        <w:t>运营收入再投资：</w:t>
      </w:r>
      <w:r>
        <w:rPr>
          <w:rFonts w:hint="default" w:ascii="Times New Roman" w:hAnsi="Times New Roman" w:eastAsia="方正仿宋简体" w:cs="Times New Roman"/>
          <w:sz w:val="32"/>
          <w:szCs w:val="32"/>
          <w:highlight w:val="none"/>
        </w:rPr>
        <w:t>场地租赁、活动收入等用于日常运营和小型提升</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b/>
          <w:bCs/>
          <w:sz w:val="32"/>
          <w:szCs w:val="32"/>
          <w:highlight w:val="none"/>
        </w:rPr>
        <w:t>产业基金支持：</w:t>
      </w:r>
      <w:r>
        <w:rPr>
          <w:rFonts w:hint="default" w:ascii="Times New Roman" w:hAnsi="Times New Roman" w:eastAsia="方正仿宋简体" w:cs="Times New Roman"/>
          <w:sz w:val="32"/>
          <w:szCs w:val="32"/>
          <w:highlight w:val="none"/>
        </w:rPr>
        <w:t>联合市区文化产业引导基金，设立专项子基金</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b/>
          <w:bCs/>
          <w:sz w:val="32"/>
          <w:szCs w:val="32"/>
          <w:highlight w:val="none"/>
        </w:rPr>
        <w:t>政策性融资：</w:t>
      </w:r>
      <w:r>
        <w:rPr>
          <w:rFonts w:hint="default" w:ascii="Times New Roman" w:hAnsi="Times New Roman" w:eastAsia="方正仿宋简体" w:cs="Times New Roman"/>
          <w:sz w:val="32"/>
          <w:szCs w:val="32"/>
          <w:highlight w:val="none"/>
        </w:rPr>
        <w:t>利用项目社会效益属性，申请文旅项目贴息贷款</w:t>
      </w:r>
    </w:p>
    <w:p w14:paraId="30D9694C">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3" w:firstLineChars="200"/>
        <w:textAlignment w:val="auto"/>
        <w:rPr>
          <w:rFonts w:hint="eastAsia" w:ascii="Times New Roman" w:hAnsi="Times New Roman" w:eastAsia="方正仿宋简体" w:cs="Times New Roman"/>
          <w:sz w:val="32"/>
          <w:szCs w:val="32"/>
          <w:highlight w:val="none"/>
          <w:lang w:eastAsia="zh-CN"/>
        </w:rPr>
      </w:pPr>
      <w:r>
        <w:rPr>
          <w:rFonts w:hint="default" w:ascii="Times New Roman" w:hAnsi="Times New Roman" w:eastAsia="方正仿宋简体" w:cs="Times New Roman"/>
          <w:b/>
          <w:bCs/>
          <w:sz w:val="32"/>
          <w:szCs w:val="32"/>
          <w:highlight w:val="none"/>
        </w:rPr>
        <w:t>第三阶段：价值释放期</w:t>
      </w:r>
      <w:r>
        <w:rPr>
          <w:rFonts w:hint="eastAsia" w:ascii="Times New Roman" w:hAnsi="Times New Roman" w:eastAsia="方正仿宋简体" w:cs="Times New Roman"/>
          <w:b/>
          <w:bCs/>
          <w:sz w:val="32"/>
          <w:szCs w:val="32"/>
          <w:highlight w:val="none"/>
          <w:lang w:eastAsia="zh-CN"/>
        </w:rPr>
        <w:t>。</w:t>
      </w:r>
      <w:r>
        <w:rPr>
          <w:rFonts w:hint="default" w:ascii="Times New Roman" w:hAnsi="Times New Roman" w:eastAsia="方正仿宋简体" w:cs="Times New Roman"/>
          <w:b/>
          <w:bCs/>
          <w:sz w:val="32"/>
          <w:szCs w:val="32"/>
          <w:highlight w:val="none"/>
        </w:rPr>
        <w:t>市场化融资：</w:t>
      </w:r>
      <w:r>
        <w:rPr>
          <w:rFonts w:hint="default" w:ascii="Times New Roman" w:hAnsi="Times New Roman" w:eastAsia="方正仿宋简体" w:cs="Times New Roman"/>
          <w:sz w:val="32"/>
          <w:szCs w:val="32"/>
          <w:highlight w:val="none"/>
        </w:rPr>
        <w:t>引入专业运营机构股权投资</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b/>
          <w:bCs/>
          <w:sz w:val="32"/>
          <w:szCs w:val="32"/>
          <w:highlight w:val="none"/>
        </w:rPr>
        <w:t>资产证券化：</w:t>
      </w:r>
      <w:r>
        <w:rPr>
          <w:rFonts w:hint="default" w:ascii="Times New Roman" w:hAnsi="Times New Roman" w:eastAsia="方正仿宋简体" w:cs="Times New Roman"/>
          <w:sz w:val="32"/>
          <w:szCs w:val="32"/>
          <w:highlight w:val="none"/>
        </w:rPr>
        <w:t>待运营稳定后，探索</w:t>
      </w:r>
      <w:r>
        <w:rPr>
          <w:rFonts w:hint="eastAsia" w:ascii="Times New Roman" w:hAnsi="Times New Roman" w:eastAsia="方正仿宋简体" w:cs="Times New Roman"/>
          <w:sz w:val="32"/>
          <w:szCs w:val="32"/>
          <w:highlight w:val="none"/>
          <w:lang w:eastAsia="zh-CN"/>
        </w:rPr>
        <w:t>通过</w:t>
      </w:r>
      <w:r>
        <w:rPr>
          <w:rFonts w:hint="eastAsia" w:ascii="Times New Roman" w:hAnsi="Times New Roman" w:eastAsia="方正仿宋简体" w:cs="Times New Roman"/>
          <w:b/>
          <w:bCs/>
          <w:sz w:val="32"/>
          <w:szCs w:val="32"/>
          <w:highlight w:val="none"/>
        </w:rPr>
        <w:t>商业房地产抵押贷款支持证券</w:t>
      </w:r>
      <w:r>
        <w:rPr>
          <w:rFonts w:hint="eastAsia" w:ascii="Times New Roman" w:hAnsi="Times New Roman" w:eastAsia="方正仿宋简体" w:cs="Times New Roman"/>
          <w:sz w:val="32"/>
          <w:szCs w:val="32"/>
          <w:highlight w:val="none"/>
          <w:lang w:eastAsia="zh-CN"/>
        </w:rPr>
        <w:t>（</w:t>
      </w:r>
      <w:r>
        <w:rPr>
          <w:rFonts w:hint="eastAsia" w:ascii="Times New Roman" w:hAnsi="Times New Roman" w:eastAsia="方正仿宋简体" w:cs="Times New Roman"/>
          <w:sz w:val="32"/>
          <w:szCs w:val="32"/>
          <w:highlight w:val="none"/>
        </w:rPr>
        <w:t>将园区房产作为抵押物，向银行申请一笔抵押贷款，然后将这笔贷款的债权打包成证券出售给投资者</w:t>
      </w:r>
      <w:r>
        <w:rPr>
          <w:rFonts w:hint="eastAsia" w:ascii="Times New Roman" w:hAnsi="Times New Roman" w:eastAsia="方正仿宋简体" w:cs="Times New Roman"/>
          <w:sz w:val="32"/>
          <w:szCs w:val="32"/>
          <w:highlight w:val="none"/>
          <w:lang w:eastAsia="zh-CN"/>
        </w:rPr>
        <w:t>）、</w:t>
      </w:r>
      <w:r>
        <w:rPr>
          <w:rFonts w:hint="eastAsia" w:ascii="Times New Roman" w:hAnsi="Times New Roman" w:eastAsia="方正仿宋简体" w:cs="Times New Roman"/>
          <w:b/>
          <w:bCs/>
          <w:sz w:val="32"/>
          <w:szCs w:val="32"/>
          <w:highlight w:val="none"/>
        </w:rPr>
        <w:t>资产支持专项计划</w:t>
      </w:r>
      <w:r>
        <w:rPr>
          <w:rFonts w:hint="eastAsia" w:ascii="Times New Roman" w:hAnsi="Times New Roman" w:eastAsia="方正仿宋简体" w:cs="Times New Roman"/>
          <w:sz w:val="32"/>
          <w:szCs w:val="32"/>
          <w:highlight w:val="none"/>
          <w:lang w:eastAsia="zh-CN"/>
        </w:rPr>
        <w:t>（</w:t>
      </w:r>
      <w:r>
        <w:rPr>
          <w:rFonts w:hint="eastAsia" w:ascii="Times New Roman" w:hAnsi="Times New Roman" w:eastAsia="方正仿宋简体" w:cs="Times New Roman"/>
          <w:sz w:val="32"/>
          <w:szCs w:val="32"/>
          <w:highlight w:val="none"/>
        </w:rPr>
        <w:t>将园区未来稳定的、可预测的收入</w:t>
      </w:r>
      <w:r>
        <w:rPr>
          <w:rFonts w:hint="eastAsia" w:ascii="Times New Roman" w:hAnsi="Times New Roman" w:eastAsia="方正仿宋简体" w:cs="Times New Roman"/>
          <w:sz w:val="32"/>
          <w:szCs w:val="32"/>
          <w:highlight w:val="none"/>
          <w:lang w:val="en-US" w:eastAsia="zh-CN"/>
        </w:rPr>
        <w:t xml:space="preserve"> ，</w:t>
      </w:r>
      <w:r>
        <w:rPr>
          <w:rFonts w:hint="eastAsia" w:ascii="Times New Roman" w:hAnsi="Times New Roman" w:eastAsia="方正仿宋简体" w:cs="Times New Roman"/>
          <w:sz w:val="32"/>
          <w:szCs w:val="32"/>
          <w:highlight w:val="none"/>
        </w:rPr>
        <w:t>如租金、门票、场地租赁费、物业费等的“收益权”作为基础资产进行融资</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等途径盘活存量资产</w:t>
      </w:r>
      <w:r>
        <w:rPr>
          <w:rFonts w:hint="eastAsia" w:ascii="Times New Roman" w:hAnsi="Times New Roman" w:eastAsia="方正仿宋简体" w:cs="Times New Roman"/>
          <w:sz w:val="32"/>
          <w:szCs w:val="32"/>
          <w:highlight w:val="none"/>
          <w:lang w:eastAsia="zh-CN"/>
        </w:rPr>
        <w:t>。</w:t>
      </w:r>
    </w:p>
    <w:p w14:paraId="6A2A9690">
      <w:pPr>
        <w:keepNext w:val="0"/>
        <w:keepLines w:val="0"/>
        <w:pageBreakBefore w:val="0"/>
        <w:widowControl w:val="0"/>
        <w:numPr>
          <w:ilvl w:val="0"/>
          <w:numId w:val="4"/>
        </w:numPr>
        <w:kinsoku/>
        <w:wordWrap/>
        <w:overflowPunct/>
        <w:topLinePunct w:val="0"/>
        <w:autoSpaceDE/>
        <w:autoSpaceDN/>
        <w:bidi w:val="0"/>
        <w:adjustRightInd/>
        <w:snapToGrid/>
        <w:spacing w:line="560" w:lineRule="exact"/>
        <w:ind w:leftChars="0" w:firstLine="640" w:firstLineChars="200"/>
        <w:textAlignment w:val="auto"/>
        <w:rPr>
          <w:rFonts w:hint="eastAsia" w:ascii="方正楷体简体" w:hAnsi="方正楷体简体" w:eastAsia="方正楷体简体" w:cs="方正楷体简体"/>
          <w:sz w:val="32"/>
          <w:szCs w:val="32"/>
          <w:highlight w:val="none"/>
        </w:rPr>
      </w:pPr>
      <w:r>
        <w:rPr>
          <w:rFonts w:hint="eastAsia" w:ascii="方正楷体简体" w:hAnsi="方正楷体简体" w:eastAsia="方正楷体简体" w:cs="方正楷体简体"/>
          <w:sz w:val="32"/>
          <w:szCs w:val="32"/>
          <w:highlight w:val="none"/>
        </w:rPr>
        <w:t>盈利模式与价值捕获</w:t>
      </w:r>
    </w:p>
    <w:p w14:paraId="044DAE3D">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0"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sz w:val="32"/>
          <w:szCs w:val="32"/>
          <w:highlight w:val="none"/>
        </w:rPr>
        <w:t>构建多层次、可持续的价值捕获机制，重点突出可操作性：</w:t>
      </w:r>
    </w:p>
    <w:p w14:paraId="6385A621">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3" w:firstLineChars="200"/>
        <w:textAlignment w:val="auto"/>
        <w:rPr>
          <w:rFonts w:hint="eastAsia" w:ascii="Times New Roman" w:hAnsi="Times New Roman" w:eastAsia="方正仿宋简体" w:cs="Times New Roman"/>
          <w:sz w:val="32"/>
          <w:szCs w:val="32"/>
          <w:highlight w:val="none"/>
        </w:rPr>
      </w:pPr>
      <w:r>
        <w:rPr>
          <w:rFonts w:hint="default" w:ascii="Times New Roman" w:hAnsi="Times New Roman" w:eastAsia="方正仿宋简体" w:cs="Times New Roman"/>
          <w:b/>
          <w:bCs/>
          <w:sz w:val="32"/>
          <w:szCs w:val="32"/>
          <w:highlight w:val="none"/>
        </w:rPr>
        <w:t>基础收入层（保障运营）</w:t>
      </w:r>
      <w:r>
        <w:rPr>
          <w:rFonts w:hint="eastAsia" w:ascii="Times New Roman" w:hAnsi="Times New Roman" w:eastAsia="方正仿宋简体" w:cs="Times New Roman"/>
          <w:sz w:val="32"/>
          <w:szCs w:val="32"/>
          <w:highlight w:val="none"/>
          <w:lang w:eastAsia="zh-CN"/>
        </w:rPr>
        <w:t>主要包括：</w:t>
      </w:r>
      <w:r>
        <w:rPr>
          <w:rFonts w:hint="default" w:ascii="Times New Roman" w:hAnsi="Times New Roman" w:eastAsia="方正仿宋简体" w:cs="Times New Roman"/>
          <w:b/>
          <w:bCs/>
          <w:sz w:val="32"/>
          <w:szCs w:val="32"/>
          <w:highlight w:val="none"/>
        </w:rPr>
        <w:t>办公空间租赁：</w:t>
      </w:r>
      <w:r>
        <w:rPr>
          <w:rFonts w:hint="default" w:ascii="Times New Roman" w:hAnsi="Times New Roman" w:eastAsia="方正仿宋简体" w:cs="Times New Roman"/>
          <w:sz w:val="32"/>
          <w:szCs w:val="32"/>
          <w:highlight w:val="none"/>
        </w:rPr>
        <w:t>为相关机构提供定制化办公空间</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b/>
          <w:bCs/>
          <w:sz w:val="32"/>
          <w:szCs w:val="32"/>
          <w:highlight w:val="none"/>
        </w:rPr>
        <w:t>会议场地出租：</w:t>
      </w:r>
      <w:r>
        <w:rPr>
          <w:rFonts w:hint="default" w:ascii="Times New Roman" w:hAnsi="Times New Roman" w:eastAsia="方正仿宋简体" w:cs="Times New Roman"/>
          <w:sz w:val="32"/>
          <w:szCs w:val="32"/>
          <w:highlight w:val="none"/>
        </w:rPr>
        <w:t>利用场馆承接国际会议、</w:t>
      </w:r>
      <w:r>
        <w:rPr>
          <w:rFonts w:hint="eastAsia" w:ascii="Times New Roman" w:hAnsi="Times New Roman" w:eastAsia="方正仿宋简体" w:cs="Times New Roman"/>
          <w:sz w:val="32"/>
          <w:szCs w:val="32"/>
          <w:highlight w:val="none"/>
          <w:lang w:val="en-US" w:eastAsia="zh-CN"/>
        </w:rPr>
        <w:t>培训、</w:t>
      </w:r>
      <w:r>
        <w:rPr>
          <w:rFonts w:hint="default" w:ascii="Times New Roman" w:hAnsi="Times New Roman" w:eastAsia="方正仿宋简体" w:cs="Times New Roman"/>
          <w:sz w:val="32"/>
          <w:szCs w:val="32"/>
          <w:highlight w:val="none"/>
        </w:rPr>
        <w:t>品牌活动</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b/>
          <w:bCs/>
          <w:sz w:val="32"/>
          <w:szCs w:val="32"/>
          <w:highlight w:val="none"/>
        </w:rPr>
        <w:t>配套服务收入：</w:t>
      </w:r>
      <w:r>
        <w:rPr>
          <w:rFonts w:hint="default" w:ascii="Times New Roman" w:hAnsi="Times New Roman" w:eastAsia="方正仿宋简体" w:cs="Times New Roman"/>
          <w:sz w:val="32"/>
          <w:szCs w:val="32"/>
          <w:highlight w:val="none"/>
        </w:rPr>
        <w:t>饭店、游泳馆等设施的定向服务</w:t>
      </w:r>
      <w:r>
        <w:rPr>
          <w:rFonts w:hint="eastAsia" w:ascii="Times New Roman" w:hAnsi="Times New Roman" w:eastAsia="方正仿宋简体" w:cs="Times New Roman"/>
          <w:sz w:val="32"/>
          <w:szCs w:val="32"/>
          <w:highlight w:val="none"/>
          <w:lang w:eastAsia="zh-CN"/>
        </w:rPr>
        <w:t>。</w:t>
      </w:r>
    </w:p>
    <w:p w14:paraId="11264B10">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3" w:firstLineChars="200"/>
        <w:textAlignment w:val="auto"/>
        <w:rPr>
          <w:rFonts w:hint="eastAsia" w:ascii="Times New Roman" w:hAnsi="Times New Roman" w:eastAsia="方正仿宋简体" w:cs="Times New Roman"/>
          <w:sz w:val="32"/>
          <w:szCs w:val="32"/>
          <w:highlight w:val="none"/>
        </w:rPr>
      </w:pPr>
      <w:r>
        <w:rPr>
          <w:rFonts w:hint="default" w:ascii="Times New Roman" w:hAnsi="Times New Roman" w:eastAsia="方正仿宋简体" w:cs="Times New Roman"/>
          <w:b/>
          <w:bCs/>
          <w:sz w:val="32"/>
          <w:szCs w:val="32"/>
          <w:highlight w:val="none"/>
        </w:rPr>
        <w:t>运营收入层（创造现金流）</w:t>
      </w:r>
      <w:r>
        <w:rPr>
          <w:rFonts w:hint="eastAsia" w:ascii="Times New Roman" w:hAnsi="Times New Roman" w:eastAsia="方正仿宋简体" w:cs="Times New Roman"/>
          <w:sz w:val="32"/>
          <w:szCs w:val="32"/>
          <w:highlight w:val="none"/>
          <w:lang w:eastAsia="zh-CN"/>
        </w:rPr>
        <w:t>主要包括：</w:t>
      </w:r>
      <w:r>
        <w:rPr>
          <w:rFonts w:hint="default" w:ascii="Times New Roman" w:hAnsi="Times New Roman" w:eastAsia="方正仿宋简体" w:cs="Times New Roman"/>
          <w:b/>
          <w:bCs/>
          <w:sz w:val="32"/>
          <w:szCs w:val="32"/>
          <w:highlight w:val="none"/>
        </w:rPr>
        <w:t>文化艺术活动票务：</w:t>
      </w:r>
      <w:r>
        <w:rPr>
          <w:rFonts w:hint="default" w:ascii="Times New Roman" w:hAnsi="Times New Roman" w:eastAsia="方正仿宋简体" w:cs="Times New Roman"/>
          <w:sz w:val="32"/>
          <w:szCs w:val="32"/>
          <w:highlight w:val="none"/>
        </w:rPr>
        <w:t>剧院演出、展览的门票收入</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b/>
          <w:bCs/>
          <w:sz w:val="32"/>
          <w:szCs w:val="32"/>
          <w:highlight w:val="none"/>
        </w:rPr>
        <w:t>会员服务费：</w:t>
      </w:r>
      <w:r>
        <w:rPr>
          <w:rFonts w:hint="default" w:ascii="Times New Roman" w:hAnsi="Times New Roman" w:eastAsia="方正仿宋简体" w:cs="Times New Roman"/>
          <w:sz w:val="32"/>
          <w:szCs w:val="32"/>
          <w:highlight w:val="none"/>
        </w:rPr>
        <w:t>国际青年社区会员体系收费</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场地联合运营：与优质品牌合作运营特定空间</w:t>
      </w:r>
      <w:r>
        <w:rPr>
          <w:rFonts w:hint="eastAsia" w:ascii="Times New Roman" w:hAnsi="Times New Roman" w:eastAsia="方正仿宋简体" w:cs="Times New Roman"/>
          <w:sz w:val="32"/>
          <w:szCs w:val="32"/>
          <w:highlight w:val="none"/>
          <w:lang w:eastAsia="zh-CN"/>
        </w:rPr>
        <w:t>。</w:t>
      </w:r>
    </w:p>
    <w:p w14:paraId="59369FB6">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3"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b/>
          <w:bCs/>
          <w:sz w:val="32"/>
          <w:szCs w:val="32"/>
          <w:highlight w:val="none"/>
        </w:rPr>
        <w:t>价值收益层（分享增长红利）</w:t>
      </w:r>
      <w:r>
        <w:rPr>
          <w:rFonts w:hint="eastAsia" w:ascii="Times New Roman" w:hAnsi="Times New Roman" w:eastAsia="方正仿宋简体" w:cs="Times New Roman"/>
          <w:sz w:val="32"/>
          <w:szCs w:val="32"/>
          <w:highlight w:val="none"/>
          <w:lang w:eastAsia="zh-CN"/>
        </w:rPr>
        <w:t>主要包括：</w:t>
      </w:r>
      <w:r>
        <w:rPr>
          <w:rFonts w:hint="default" w:ascii="Times New Roman" w:hAnsi="Times New Roman" w:eastAsia="方正仿宋简体" w:cs="Times New Roman"/>
          <w:b/>
          <w:bCs/>
          <w:sz w:val="32"/>
          <w:szCs w:val="32"/>
          <w:highlight w:val="none"/>
        </w:rPr>
        <w:t>内容IP收益：</w:t>
      </w:r>
      <w:r>
        <w:rPr>
          <w:rFonts w:hint="default" w:ascii="Times New Roman" w:hAnsi="Times New Roman" w:eastAsia="方正仿宋简体" w:cs="Times New Roman"/>
          <w:sz w:val="32"/>
          <w:szCs w:val="32"/>
          <w:highlight w:val="none"/>
        </w:rPr>
        <w:t>优质原创内容的版权收入和衍生开发</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b/>
          <w:bCs/>
          <w:sz w:val="32"/>
          <w:szCs w:val="32"/>
          <w:highlight w:val="none"/>
        </w:rPr>
        <w:t>孵化投资收益：</w:t>
      </w:r>
      <w:r>
        <w:rPr>
          <w:rFonts w:hint="default" w:ascii="Times New Roman" w:hAnsi="Times New Roman" w:eastAsia="方正仿宋简体" w:cs="Times New Roman"/>
          <w:sz w:val="32"/>
          <w:szCs w:val="32"/>
          <w:highlight w:val="none"/>
        </w:rPr>
        <w:t>对园区内成长性项目进行股权投资</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b/>
          <w:bCs/>
          <w:sz w:val="32"/>
          <w:szCs w:val="32"/>
          <w:highlight w:val="none"/>
        </w:rPr>
        <w:t>品牌价值输出：</w:t>
      </w:r>
      <w:r>
        <w:rPr>
          <w:rFonts w:hint="default" w:ascii="Times New Roman" w:hAnsi="Times New Roman" w:eastAsia="方正仿宋简体" w:cs="Times New Roman"/>
          <w:sz w:val="32"/>
          <w:szCs w:val="32"/>
          <w:highlight w:val="none"/>
        </w:rPr>
        <w:t>成熟后的管理模式和品牌授权</w:t>
      </w:r>
    </w:p>
    <w:p w14:paraId="517A1C08">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3"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b/>
          <w:bCs/>
          <w:sz w:val="32"/>
          <w:szCs w:val="32"/>
          <w:highlight w:val="none"/>
        </w:rPr>
        <w:t>具体实施路径：</w:t>
      </w:r>
      <w:r>
        <w:rPr>
          <w:rFonts w:hint="default" w:ascii="Times New Roman" w:hAnsi="Times New Roman" w:eastAsia="方正仿宋简体" w:cs="Times New Roman"/>
          <w:sz w:val="32"/>
          <w:szCs w:val="32"/>
          <w:highlight w:val="none"/>
        </w:rPr>
        <w:t>首年</w:t>
      </w:r>
      <w:r>
        <w:rPr>
          <w:rFonts w:hint="eastAsia" w:ascii="Times New Roman" w:hAnsi="Times New Roman" w:eastAsia="方正仿宋简体" w:cs="Times New Roman"/>
          <w:sz w:val="32"/>
          <w:szCs w:val="32"/>
          <w:highlight w:val="none"/>
          <w:lang w:val="en-US" w:eastAsia="zh-CN"/>
        </w:rPr>
        <w:t>运用闲置院落空间，</w:t>
      </w:r>
      <w:r>
        <w:rPr>
          <w:rFonts w:hint="default" w:ascii="Times New Roman" w:hAnsi="Times New Roman" w:eastAsia="方正仿宋简体" w:cs="Times New Roman"/>
          <w:sz w:val="32"/>
          <w:szCs w:val="32"/>
          <w:highlight w:val="none"/>
        </w:rPr>
        <w:t>重点打造1-2个标志性品牌活动，</w:t>
      </w:r>
      <w:r>
        <w:rPr>
          <w:rFonts w:hint="eastAsia" w:ascii="Times New Roman" w:hAnsi="Times New Roman" w:eastAsia="方正仿宋简体" w:cs="Times New Roman"/>
          <w:sz w:val="32"/>
          <w:szCs w:val="32"/>
          <w:highlight w:val="none"/>
          <w:lang w:val="en-US" w:eastAsia="zh-CN"/>
        </w:rPr>
        <w:t>完成BC栋出租获取现金流增量，</w:t>
      </w:r>
      <w:r>
        <w:rPr>
          <w:rFonts w:hint="default" w:ascii="Times New Roman" w:hAnsi="Times New Roman" w:eastAsia="方正仿宋简体" w:cs="Times New Roman"/>
          <w:sz w:val="32"/>
          <w:szCs w:val="32"/>
          <w:highlight w:val="none"/>
        </w:rPr>
        <w:t>建立会员体系基础；2-3年内</w:t>
      </w:r>
      <w:r>
        <w:rPr>
          <w:rFonts w:hint="eastAsia" w:ascii="Times New Roman" w:hAnsi="Times New Roman" w:eastAsia="方正仿宋简体" w:cs="Times New Roman"/>
          <w:sz w:val="32"/>
          <w:szCs w:val="32"/>
          <w:highlight w:val="none"/>
          <w:lang w:val="en-US" w:eastAsia="zh-CN"/>
        </w:rPr>
        <w:t>完成基础功能改造，</w:t>
      </w:r>
      <w:r>
        <w:rPr>
          <w:rFonts w:hint="default" w:ascii="Times New Roman" w:hAnsi="Times New Roman" w:eastAsia="方正仿宋简体" w:cs="Times New Roman"/>
          <w:sz w:val="32"/>
          <w:szCs w:val="32"/>
          <w:highlight w:val="none"/>
        </w:rPr>
        <w:t>形成3-5个可持续盈利的内容IP；4-5年培育出具有投资价值的孵化项目。</w:t>
      </w:r>
    </w:p>
    <w:p w14:paraId="165A5BD7">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0" w:firstLineChars="200"/>
        <w:textAlignment w:val="auto"/>
        <w:rPr>
          <w:rFonts w:hint="eastAsia" w:ascii="方正黑体简体" w:hAnsi="方正黑体简体" w:eastAsia="方正黑体简体" w:cs="方正黑体简体"/>
          <w:b w:val="0"/>
          <w:bCs w:val="0"/>
          <w:sz w:val="32"/>
          <w:szCs w:val="32"/>
          <w:highlight w:val="none"/>
        </w:rPr>
      </w:pPr>
      <w:r>
        <w:rPr>
          <w:rFonts w:hint="eastAsia" w:ascii="方正黑体简体" w:hAnsi="方正黑体简体" w:eastAsia="方正黑体简体" w:cs="方正黑体简体"/>
          <w:b w:val="0"/>
          <w:bCs w:val="0"/>
          <w:sz w:val="32"/>
          <w:szCs w:val="32"/>
          <w:highlight w:val="none"/>
          <w:lang w:eastAsia="zh-CN"/>
        </w:rPr>
        <w:t>六、</w:t>
      </w:r>
      <w:r>
        <w:rPr>
          <w:rFonts w:hint="eastAsia" w:ascii="方正黑体简体" w:hAnsi="方正黑体简体" w:eastAsia="方正黑体简体" w:cs="方正黑体简体"/>
          <w:b w:val="0"/>
          <w:bCs w:val="0"/>
          <w:sz w:val="32"/>
          <w:szCs w:val="32"/>
          <w:highlight w:val="none"/>
        </w:rPr>
        <w:t>结论与展望</w:t>
      </w:r>
    </w:p>
    <w:p w14:paraId="3A2E5D5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0"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sz w:val="32"/>
          <w:szCs w:val="32"/>
          <w:highlight w:val="none"/>
        </w:rPr>
        <w:t>交流中心园区化发展，是一次从</w:t>
      </w:r>
      <w:r>
        <w:rPr>
          <w:rFonts w:hint="eastAsia" w:ascii="Times New Roman" w:hAnsi="Times New Roman" w:eastAsia="方正仿宋简体" w:cs="Times New Roman"/>
          <w:b/>
          <w:bCs/>
          <w:sz w:val="32"/>
          <w:szCs w:val="32"/>
          <w:highlight w:val="none"/>
          <w:lang w:eastAsia="zh-CN"/>
        </w:rPr>
        <w:t>“</w:t>
      </w:r>
      <w:r>
        <w:rPr>
          <w:rFonts w:hint="default" w:ascii="Times New Roman" w:hAnsi="Times New Roman" w:eastAsia="方正仿宋简体" w:cs="Times New Roman"/>
          <w:b/>
          <w:bCs/>
          <w:sz w:val="32"/>
          <w:szCs w:val="32"/>
          <w:highlight w:val="none"/>
        </w:rPr>
        <w:t>建园区</w:t>
      </w:r>
      <w:r>
        <w:rPr>
          <w:rFonts w:hint="eastAsia" w:ascii="Times New Roman" w:hAnsi="Times New Roman" w:eastAsia="方正仿宋简体" w:cs="Times New Roman"/>
          <w:b/>
          <w:bCs/>
          <w:sz w:val="32"/>
          <w:szCs w:val="32"/>
          <w:highlight w:val="none"/>
          <w:lang w:eastAsia="zh-CN"/>
        </w:rPr>
        <w:t>”</w:t>
      </w:r>
      <w:r>
        <w:rPr>
          <w:rFonts w:hint="default" w:ascii="Times New Roman" w:hAnsi="Times New Roman" w:eastAsia="方正仿宋简体" w:cs="Times New Roman"/>
          <w:sz w:val="32"/>
          <w:szCs w:val="32"/>
          <w:highlight w:val="none"/>
        </w:rPr>
        <w:t>到</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b/>
          <w:bCs/>
          <w:sz w:val="32"/>
          <w:szCs w:val="32"/>
          <w:highlight w:val="none"/>
        </w:rPr>
        <w:t>建平台</w:t>
      </w:r>
      <w:r>
        <w:rPr>
          <w:rFonts w:hint="eastAsia" w:ascii="Times New Roman" w:hAnsi="Times New Roman" w:eastAsia="方正仿宋简体" w:cs="Times New Roman"/>
          <w:b/>
          <w:bCs/>
          <w:sz w:val="32"/>
          <w:szCs w:val="32"/>
          <w:highlight w:val="none"/>
          <w:lang w:eastAsia="zh-CN"/>
        </w:rPr>
        <w:t>”</w:t>
      </w:r>
      <w:r>
        <w:rPr>
          <w:rFonts w:hint="default" w:ascii="Times New Roman" w:hAnsi="Times New Roman" w:eastAsia="方正仿宋简体" w:cs="Times New Roman"/>
          <w:sz w:val="32"/>
          <w:szCs w:val="32"/>
          <w:highlight w:val="none"/>
        </w:rPr>
        <w:t>，再到</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b/>
          <w:bCs/>
          <w:sz w:val="32"/>
          <w:szCs w:val="32"/>
          <w:highlight w:val="none"/>
        </w:rPr>
        <w:t>塑生态</w:t>
      </w:r>
      <w:r>
        <w:rPr>
          <w:rFonts w:hint="eastAsia" w:ascii="Times New Roman" w:hAnsi="Times New Roman" w:eastAsia="方正仿宋简体" w:cs="Times New Roman"/>
          <w:b/>
          <w:bCs/>
          <w:sz w:val="32"/>
          <w:szCs w:val="32"/>
          <w:highlight w:val="none"/>
          <w:lang w:eastAsia="zh-CN"/>
        </w:rPr>
        <w:t>”</w:t>
      </w:r>
      <w:r>
        <w:rPr>
          <w:rFonts w:hint="default" w:ascii="Times New Roman" w:hAnsi="Times New Roman" w:eastAsia="方正仿宋简体" w:cs="Times New Roman"/>
          <w:sz w:val="32"/>
          <w:szCs w:val="32"/>
          <w:highlight w:val="none"/>
        </w:rPr>
        <w:t>的战略升维。通过打造以</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世界青年发展论坛永久总部基地</w:t>
      </w:r>
      <w:r>
        <w:rPr>
          <w:rFonts w:hint="eastAsia" w:ascii="Times New Roman" w:hAnsi="Times New Roman" w:eastAsia="方正仿宋简体" w:cs="Times New Roman"/>
          <w:sz w:val="32"/>
          <w:szCs w:val="32"/>
          <w:highlight w:val="none"/>
          <w:lang w:eastAsia="zh-CN"/>
        </w:rPr>
        <w:t>”</w:t>
      </w:r>
      <w:r>
        <w:rPr>
          <w:rFonts w:hint="default" w:ascii="Times New Roman" w:hAnsi="Times New Roman" w:eastAsia="方正仿宋简体" w:cs="Times New Roman"/>
          <w:sz w:val="32"/>
          <w:szCs w:val="32"/>
          <w:highlight w:val="none"/>
        </w:rPr>
        <w:t>为品牌核心，以</w:t>
      </w:r>
      <w:r>
        <w:rPr>
          <w:rFonts w:hint="default" w:ascii="Times New Roman" w:hAnsi="Times New Roman" w:eastAsia="方正仿宋简体" w:cs="Times New Roman"/>
          <w:b/>
          <w:bCs/>
          <w:sz w:val="32"/>
          <w:szCs w:val="32"/>
          <w:highlight w:val="none"/>
        </w:rPr>
        <w:t>多元化空间资源</w:t>
      </w:r>
      <w:r>
        <w:rPr>
          <w:rFonts w:hint="default" w:ascii="Times New Roman" w:hAnsi="Times New Roman" w:eastAsia="方正仿宋简体" w:cs="Times New Roman"/>
          <w:sz w:val="32"/>
          <w:szCs w:val="32"/>
          <w:highlight w:val="none"/>
        </w:rPr>
        <w:t>为承载，与周边国际化环境深度融合的</w:t>
      </w:r>
      <w:r>
        <w:rPr>
          <w:rFonts w:hint="eastAsia" w:ascii="Times New Roman" w:hAnsi="Times New Roman" w:eastAsia="方正仿宋简体" w:cs="Times New Roman"/>
          <w:b/>
          <w:bCs/>
          <w:sz w:val="32"/>
          <w:szCs w:val="32"/>
          <w:highlight w:val="none"/>
          <w:lang w:eastAsia="zh-CN"/>
        </w:rPr>
        <w:t>“</w:t>
      </w:r>
      <w:r>
        <w:rPr>
          <w:rFonts w:hint="default" w:ascii="Times New Roman" w:hAnsi="Times New Roman" w:eastAsia="方正仿宋简体" w:cs="Times New Roman"/>
          <w:b/>
          <w:bCs/>
          <w:sz w:val="32"/>
          <w:szCs w:val="32"/>
          <w:highlight w:val="none"/>
        </w:rPr>
        <w:t>国际青年交流与服务社区</w:t>
      </w:r>
      <w:r>
        <w:rPr>
          <w:rFonts w:hint="eastAsia" w:ascii="Times New Roman" w:hAnsi="Times New Roman" w:eastAsia="方正仿宋简体" w:cs="Times New Roman"/>
          <w:b/>
          <w:bCs/>
          <w:sz w:val="32"/>
          <w:szCs w:val="32"/>
          <w:highlight w:val="none"/>
          <w:lang w:eastAsia="zh-CN"/>
        </w:rPr>
        <w:t>”</w:t>
      </w:r>
      <w:r>
        <w:rPr>
          <w:rFonts w:hint="default" w:ascii="Times New Roman" w:hAnsi="Times New Roman" w:eastAsia="方正仿宋简体" w:cs="Times New Roman"/>
          <w:sz w:val="32"/>
          <w:szCs w:val="32"/>
          <w:highlight w:val="none"/>
        </w:rPr>
        <w:t>，我们能够在全球青年发展领域占据独特的生态位。</w:t>
      </w:r>
    </w:p>
    <w:p w14:paraId="413F1BF7">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0" w:firstLineChars="200"/>
        <w:textAlignment w:val="auto"/>
        <w:rPr>
          <w:rFonts w:hint="default" w:ascii="Times New Roman" w:hAnsi="Times New Roman" w:eastAsia="方正仿宋简体" w:cs="Times New Roman"/>
          <w:sz w:val="32"/>
          <w:szCs w:val="32"/>
          <w:highlight w:val="none"/>
        </w:rPr>
      </w:pPr>
      <w:r>
        <w:rPr>
          <w:rFonts w:hint="default" w:ascii="Times New Roman" w:hAnsi="Times New Roman" w:eastAsia="方正仿宋简体" w:cs="Times New Roman"/>
          <w:sz w:val="32"/>
          <w:szCs w:val="32"/>
          <w:highlight w:val="none"/>
        </w:rPr>
        <w:t>此举将标志着交流中心从一个周期性的国际会议保障者，向一个</w:t>
      </w:r>
      <w:r>
        <w:rPr>
          <w:rFonts w:hint="default" w:ascii="Times New Roman" w:hAnsi="Times New Roman" w:eastAsia="方正仿宋简体" w:cs="Times New Roman"/>
          <w:b/>
          <w:bCs/>
          <w:sz w:val="32"/>
          <w:szCs w:val="32"/>
          <w:highlight w:val="none"/>
        </w:rPr>
        <w:t>常态化、平台化、生态化</w:t>
      </w:r>
      <w:r>
        <w:rPr>
          <w:rFonts w:hint="default" w:ascii="Times New Roman" w:hAnsi="Times New Roman" w:eastAsia="方正仿宋简体" w:cs="Times New Roman"/>
          <w:sz w:val="32"/>
          <w:szCs w:val="32"/>
          <w:highlight w:val="none"/>
        </w:rPr>
        <w:t>的国际青年资源运营商的深刻转型。我们打造的不仅是一个园区，更是北京城市画卷中一块不可或缺的、充满国际青年活力的</w:t>
      </w:r>
      <w:r>
        <w:rPr>
          <w:rFonts w:hint="default" w:ascii="Times New Roman" w:hAnsi="Times New Roman" w:eastAsia="方正仿宋简体" w:cs="Times New Roman"/>
          <w:b/>
          <w:bCs/>
          <w:sz w:val="32"/>
          <w:szCs w:val="32"/>
          <w:highlight w:val="none"/>
        </w:rPr>
        <w:t>文化新地标</w:t>
      </w:r>
      <w:r>
        <w:rPr>
          <w:rFonts w:hint="default" w:ascii="Times New Roman" w:hAnsi="Times New Roman" w:eastAsia="方正仿宋简体" w:cs="Times New Roman"/>
          <w:sz w:val="32"/>
          <w:szCs w:val="32"/>
          <w:highlight w:val="none"/>
        </w:rPr>
        <w:t>。</w:t>
      </w:r>
    </w:p>
    <w:p w14:paraId="3066DCAB">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200"/>
        <w:textAlignment w:val="auto"/>
        <w:rPr>
          <w:rFonts w:ascii="Times New Roman" w:hAnsi="Times New Roman" w:eastAsia="方正黑体简体" w:cs="Times New Roman"/>
          <w:sz w:val="32"/>
          <w:szCs w:val="32"/>
          <w:highlight w:val="none"/>
        </w:rPr>
      </w:pPr>
    </w:p>
    <w:p w14:paraId="6547EEDC">
      <w:pPr>
        <w:spacing w:line="560" w:lineRule="exact"/>
        <w:ind w:firstLine="640" w:firstLineChars="200"/>
        <w:rPr>
          <w:rFonts w:hint="eastAsia" w:ascii="Times New Roman" w:hAnsi="Times New Roman" w:eastAsia="方正仿宋简体" w:cs="Times New Roman"/>
          <w:sz w:val="32"/>
          <w:szCs w:val="32"/>
          <w:lang w:eastAsia="zh-CN"/>
        </w:rPr>
      </w:pPr>
    </w:p>
    <w:sectPr>
      <w:footerReference r:id="rId3" w:type="default"/>
      <w:pgSz w:w="11906" w:h="16838"/>
      <w:pgMar w:top="1984" w:right="1587" w:bottom="1984"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小标宋简体">
    <w:altName w:val="汉仪书宋二KW"/>
    <w:panose1 w:val="02010601030101010101"/>
    <w:charset w:val="86"/>
    <w:family w:val="modern"/>
    <w:pitch w:val="default"/>
    <w:sig w:usb0="00000000" w:usb1="00000000" w:usb2="00000000" w:usb3="00000000" w:csb0="00040000" w:csb1="00000000"/>
  </w:font>
  <w:font w:name="方正黑体简体">
    <w:altName w:val="汉仪中黑KW"/>
    <w:panose1 w:val="03000509000000000000"/>
    <w:charset w:val="86"/>
    <w:family w:val="modern"/>
    <w:pitch w:val="default"/>
    <w:sig w:usb0="00000000" w:usb1="00000000" w:usb2="00000000" w:usb3="00000000" w:csb0="00040000" w:csb1="00000000"/>
  </w:font>
  <w:font w:name="方正仿宋简体">
    <w:altName w:val="方正仿宋_GBK"/>
    <w:panose1 w:val="02010601030101010101"/>
    <w:charset w:val="86"/>
    <w:family w:val="modern"/>
    <w:pitch w:val="default"/>
    <w:sig w:usb0="00000000" w:usb1="00000000" w:usb2="00000000" w:usb3="00000000" w:csb0="00040000" w:csb1="00000000"/>
  </w:font>
  <w:font w:name="方正楷体简体">
    <w:altName w:val="汉仪楷体简"/>
    <w:panose1 w:val="02010601030101010101"/>
    <w:charset w:val="86"/>
    <w:family w:val="modern"/>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6120F">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267BDF">
                          <w:pPr>
                            <w:pStyle w:val="2"/>
                          </w:pPr>
                          <w:r>
                            <w:t xml:space="preserve">— </w:t>
                          </w:r>
                          <w:r>
                            <w:rPr>
                              <w:rFonts w:ascii="Times New Roman" w:hAnsi="Times New Roman" w:cs="Times New Roman"/>
                              <w:sz w:val="24"/>
                            </w:rPr>
                            <w:fldChar w:fldCharType="begin"/>
                          </w:r>
                          <w:r>
                            <w:rPr>
                              <w:rFonts w:ascii="Times New Roman" w:hAnsi="Times New Roman" w:cs="Times New Roman"/>
                              <w:sz w:val="24"/>
                            </w:rPr>
                            <w:instrText xml:space="preserve"> PAGE  \* MERGEFORMAT </w:instrText>
                          </w:r>
                          <w:r>
                            <w:rPr>
                              <w:rFonts w:ascii="Times New Roman" w:hAnsi="Times New Roman" w:cs="Times New Roman"/>
                              <w:sz w:val="24"/>
                            </w:rPr>
                            <w:fldChar w:fldCharType="separate"/>
                          </w:r>
                          <w:r>
                            <w:rPr>
                              <w:rFonts w:ascii="Times New Roman" w:hAnsi="Times New Roman" w:cs="Times New Roman"/>
                              <w:sz w:val="24"/>
                            </w:rPr>
                            <w:t>- 1 -</w:t>
                          </w:r>
                          <w:r>
                            <w:rPr>
                              <w:rFonts w:ascii="Times New Roman" w:hAnsi="Times New Roman" w:cs="Times New Roman"/>
                              <w:sz w:val="24"/>
                            </w:rP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6F267BDF">
                    <w:pPr>
                      <w:pStyle w:val="2"/>
                    </w:pPr>
                    <w:r>
                      <w:t xml:space="preserve">— </w:t>
                    </w:r>
                    <w:r>
                      <w:rPr>
                        <w:rFonts w:ascii="Times New Roman" w:hAnsi="Times New Roman" w:cs="Times New Roman"/>
                        <w:sz w:val="24"/>
                      </w:rPr>
                      <w:fldChar w:fldCharType="begin"/>
                    </w:r>
                    <w:r>
                      <w:rPr>
                        <w:rFonts w:ascii="Times New Roman" w:hAnsi="Times New Roman" w:cs="Times New Roman"/>
                        <w:sz w:val="24"/>
                      </w:rPr>
                      <w:instrText xml:space="preserve"> PAGE  \* MERGEFORMAT </w:instrText>
                    </w:r>
                    <w:r>
                      <w:rPr>
                        <w:rFonts w:ascii="Times New Roman" w:hAnsi="Times New Roman" w:cs="Times New Roman"/>
                        <w:sz w:val="24"/>
                      </w:rPr>
                      <w:fldChar w:fldCharType="separate"/>
                    </w:r>
                    <w:r>
                      <w:rPr>
                        <w:rFonts w:ascii="Times New Roman" w:hAnsi="Times New Roman" w:cs="Times New Roman"/>
                        <w:sz w:val="24"/>
                      </w:rPr>
                      <w:t>- 1 -</w:t>
                    </w:r>
                    <w:r>
                      <w:rPr>
                        <w:rFonts w:ascii="Times New Roman" w:hAnsi="Times New Roman" w:cs="Times New Roman"/>
                        <w:sz w:val="24"/>
                      </w:rPr>
                      <w:fldChar w:fldCharType="end"/>
                    </w:r>
                    <w: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DED1E3"/>
    <w:multiLevelType w:val="singleLevel"/>
    <w:tmpl w:val="FBDED1E3"/>
    <w:lvl w:ilvl="0" w:tentative="0">
      <w:start w:val="2"/>
      <w:numFmt w:val="decimal"/>
      <w:suff w:val="space"/>
      <w:lvlText w:val="%1."/>
      <w:lvlJc w:val="left"/>
      <w:rPr>
        <w:rFonts w:hint="default" w:ascii="Times New Roman" w:hAnsi="Times New Roman" w:cs="Times New Roman"/>
        <w:sz w:val="32"/>
        <w:szCs w:val="32"/>
      </w:rPr>
    </w:lvl>
  </w:abstractNum>
  <w:abstractNum w:abstractNumId="1">
    <w:nsid w:val="5113C24B"/>
    <w:multiLevelType w:val="singleLevel"/>
    <w:tmpl w:val="5113C24B"/>
    <w:lvl w:ilvl="0" w:tentative="0">
      <w:start w:val="2"/>
      <w:numFmt w:val="decimal"/>
      <w:suff w:val="space"/>
      <w:lvlText w:val="%1."/>
      <w:lvlJc w:val="left"/>
      <w:rPr>
        <w:rFonts w:hint="default" w:ascii="Times New Roman" w:hAnsi="Times New Roman" w:cs="Times New Roman"/>
        <w:sz w:val="32"/>
        <w:szCs w:val="32"/>
      </w:rPr>
    </w:lvl>
  </w:abstractNum>
  <w:abstractNum w:abstractNumId="2">
    <w:nsid w:val="5763454D"/>
    <w:multiLevelType w:val="singleLevel"/>
    <w:tmpl w:val="5763454D"/>
    <w:lvl w:ilvl="0" w:tentative="0">
      <w:start w:val="1"/>
      <w:numFmt w:val="decimal"/>
      <w:suff w:val="nothing"/>
      <w:lvlText w:val="%1．"/>
      <w:lvlJc w:val="left"/>
      <w:pPr>
        <w:ind w:left="0" w:firstLine="400"/>
      </w:pPr>
      <w:rPr>
        <w:rFonts w:hint="default" w:ascii="Times New Roman" w:hAnsi="Times New Roman" w:cs="Times New Roman"/>
        <w:sz w:val="32"/>
        <w:szCs w:val="32"/>
      </w:rPr>
    </w:lvl>
  </w:abstractNum>
  <w:abstractNum w:abstractNumId="3">
    <w:nsid w:val="742B4E4C"/>
    <w:multiLevelType w:val="singleLevel"/>
    <w:tmpl w:val="742B4E4C"/>
    <w:lvl w:ilvl="0" w:tentative="0">
      <w:start w:val="2"/>
      <w:numFmt w:val="decimal"/>
      <w:suff w:val="space"/>
      <w:lvlText w:val="%1."/>
      <w:lvlJc w:val="left"/>
      <w:rPr>
        <w:rFonts w:hint="default" w:ascii="Times New Roman" w:hAnsi="Times New Roman" w:cs="Times New Roman"/>
        <w:sz w:val="32"/>
        <w:szCs w:val="32"/>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1616F8"/>
    <w:rsid w:val="000321F5"/>
    <w:rsid w:val="00063B13"/>
    <w:rsid w:val="000B31D8"/>
    <w:rsid w:val="000E5D71"/>
    <w:rsid w:val="00117A3C"/>
    <w:rsid w:val="00123C13"/>
    <w:rsid w:val="00220769"/>
    <w:rsid w:val="00294959"/>
    <w:rsid w:val="002A410E"/>
    <w:rsid w:val="0031278A"/>
    <w:rsid w:val="004078FF"/>
    <w:rsid w:val="00423670"/>
    <w:rsid w:val="00472EED"/>
    <w:rsid w:val="00554289"/>
    <w:rsid w:val="00564847"/>
    <w:rsid w:val="00640206"/>
    <w:rsid w:val="006948D1"/>
    <w:rsid w:val="006D6F3B"/>
    <w:rsid w:val="00757B9E"/>
    <w:rsid w:val="00794ACF"/>
    <w:rsid w:val="0083050D"/>
    <w:rsid w:val="008E7B1D"/>
    <w:rsid w:val="00921D3E"/>
    <w:rsid w:val="009313D8"/>
    <w:rsid w:val="00940C8E"/>
    <w:rsid w:val="009544A7"/>
    <w:rsid w:val="009906F7"/>
    <w:rsid w:val="00A010BF"/>
    <w:rsid w:val="00A51842"/>
    <w:rsid w:val="00AB156C"/>
    <w:rsid w:val="00AC6153"/>
    <w:rsid w:val="00B2587C"/>
    <w:rsid w:val="00B70AE3"/>
    <w:rsid w:val="00BF3D69"/>
    <w:rsid w:val="00CA5BF9"/>
    <w:rsid w:val="00DB20F7"/>
    <w:rsid w:val="00F23395"/>
    <w:rsid w:val="00FD7C18"/>
    <w:rsid w:val="00FF7C50"/>
    <w:rsid w:val="01415CD2"/>
    <w:rsid w:val="01527EDF"/>
    <w:rsid w:val="017B11E4"/>
    <w:rsid w:val="01972D64"/>
    <w:rsid w:val="01A97434"/>
    <w:rsid w:val="01DE1773"/>
    <w:rsid w:val="01EC20E2"/>
    <w:rsid w:val="020E02AA"/>
    <w:rsid w:val="02103CA5"/>
    <w:rsid w:val="023B0973"/>
    <w:rsid w:val="0261662C"/>
    <w:rsid w:val="02641C78"/>
    <w:rsid w:val="02D43127"/>
    <w:rsid w:val="0361265C"/>
    <w:rsid w:val="0397607D"/>
    <w:rsid w:val="03991DF6"/>
    <w:rsid w:val="03A74512"/>
    <w:rsid w:val="03B1713F"/>
    <w:rsid w:val="041D47D5"/>
    <w:rsid w:val="049F343C"/>
    <w:rsid w:val="05094D59"/>
    <w:rsid w:val="050E236F"/>
    <w:rsid w:val="0520708F"/>
    <w:rsid w:val="055E32F7"/>
    <w:rsid w:val="05D84E57"/>
    <w:rsid w:val="060A6FDB"/>
    <w:rsid w:val="0664493D"/>
    <w:rsid w:val="067601CC"/>
    <w:rsid w:val="067B3A34"/>
    <w:rsid w:val="06A0349B"/>
    <w:rsid w:val="06DB7A17"/>
    <w:rsid w:val="06E15F8D"/>
    <w:rsid w:val="06EB33BB"/>
    <w:rsid w:val="071C6FC5"/>
    <w:rsid w:val="07577FFE"/>
    <w:rsid w:val="07610E7C"/>
    <w:rsid w:val="079052BE"/>
    <w:rsid w:val="07B471FE"/>
    <w:rsid w:val="07B611C8"/>
    <w:rsid w:val="08002443"/>
    <w:rsid w:val="08065580"/>
    <w:rsid w:val="08163A15"/>
    <w:rsid w:val="08387E2F"/>
    <w:rsid w:val="08422A5C"/>
    <w:rsid w:val="084C7436"/>
    <w:rsid w:val="08752E31"/>
    <w:rsid w:val="08BB280E"/>
    <w:rsid w:val="08E21B49"/>
    <w:rsid w:val="08E753B1"/>
    <w:rsid w:val="09077801"/>
    <w:rsid w:val="09722ECD"/>
    <w:rsid w:val="09992B4F"/>
    <w:rsid w:val="09A03EDE"/>
    <w:rsid w:val="09C83435"/>
    <w:rsid w:val="09C851E3"/>
    <w:rsid w:val="09CA0F5B"/>
    <w:rsid w:val="09D04097"/>
    <w:rsid w:val="09DE0562"/>
    <w:rsid w:val="09F4268C"/>
    <w:rsid w:val="0A0D7EF0"/>
    <w:rsid w:val="0A84735B"/>
    <w:rsid w:val="0AA07F0D"/>
    <w:rsid w:val="0AA74DF8"/>
    <w:rsid w:val="0AD16319"/>
    <w:rsid w:val="0AD35BED"/>
    <w:rsid w:val="0B325009"/>
    <w:rsid w:val="0B4944CF"/>
    <w:rsid w:val="0B61769D"/>
    <w:rsid w:val="0B7F5D75"/>
    <w:rsid w:val="0B7F7B23"/>
    <w:rsid w:val="0B93537C"/>
    <w:rsid w:val="0BA457DB"/>
    <w:rsid w:val="0BDF05C2"/>
    <w:rsid w:val="0BEB6F66"/>
    <w:rsid w:val="0BF4406D"/>
    <w:rsid w:val="0BF91683"/>
    <w:rsid w:val="0C762CD4"/>
    <w:rsid w:val="0C8423FE"/>
    <w:rsid w:val="0CAD06C0"/>
    <w:rsid w:val="0CC46135"/>
    <w:rsid w:val="0CF41A64"/>
    <w:rsid w:val="0CF84031"/>
    <w:rsid w:val="0D1129FD"/>
    <w:rsid w:val="0D1D3A97"/>
    <w:rsid w:val="0D1D5845"/>
    <w:rsid w:val="0D2174AB"/>
    <w:rsid w:val="0D5648B3"/>
    <w:rsid w:val="0D7F5B5C"/>
    <w:rsid w:val="0D894C89"/>
    <w:rsid w:val="0D9C49BC"/>
    <w:rsid w:val="0DC51F28"/>
    <w:rsid w:val="0DE85E53"/>
    <w:rsid w:val="0DF17073"/>
    <w:rsid w:val="0E100F06"/>
    <w:rsid w:val="0E5E6115"/>
    <w:rsid w:val="0E9C09EC"/>
    <w:rsid w:val="0EB775D4"/>
    <w:rsid w:val="0F2E7896"/>
    <w:rsid w:val="0F580DB7"/>
    <w:rsid w:val="0F670FFA"/>
    <w:rsid w:val="0FBC1346"/>
    <w:rsid w:val="0FCE72CB"/>
    <w:rsid w:val="104168CD"/>
    <w:rsid w:val="10484987"/>
    <w:rsid w:val="107E484D"/>
    <w:rsid w:val="10861954"/>
    <w:rsid w:val="10D66437"/>
    <w:rsid w:val="10D821AF"/>
    <w:rsid w:val="11274EE5"/>
    <w:rsid w:val="11E22BBA"/>
    <w:rsid w:val="11FC3C7B"/>
    <w:rsid w:val="120B0362"/>
    <w:rsid w:val="12687563"/>
    <w:rsid w:val="129525E6"/>
    <w:rsid w:val="12D60970"/>
    <w:rsid w:val="12DC3AAD"/>
    <w:rsid w:val="12E50BB3"/>
    <w:rsid w:val="12F708E7"/>
    <w:rsid w:val="12F9465F"/>
    <w:rsid w:val="131E74E0"/>
    <w:rsid w:val="13367661"/>
    <w:rsid w:val="1340403C"/>
    <w:rsid w:val="13444630"/>
    <w:rsid w:val="134F427F"/>
    <w:rsid w:val="139D68ED"/>
    <w:rsid w:val="13B660AC"/>
    <w:rsid w:val="13F05A62"/>
    <w:rsid w:val="145A2EDB"/>
    <w:rsid w:val="14F43330"/>
    <w:rsid w:val="15673B02"/>
    <w:rsid w:val="15785D0F"/>
    <w:rsid w:val="1585042C"/>
    <w:rsid w:val="15C727F2"/>
    <w:rsid w:val="15D46CBD"/>
    <w:rsid w:val="16104199"/>
    <w:rsid w:val="165F0C7D"/>
    <w:rsid w:val="16DA3692"/>
    <w:rsid w:val="17035AAC"/>
    <w:rsid w:val="17465999"/>
    <w:rsid w:val="178564C1"/>
    <w:rsid w:val="17EE4066"/>
    <w:rsid w:val="17F11DA8"/>
    <w:rsid w:val="184E71FB"/>
    <w:rsid w:val="186E33F9"/>
    <w:rsid w:val="18876269"/>
    <w:rsid w:val="189A5F9C"/>
    <w:rsid w:val="189F35B2"/>
    <w:rsid w:val="18EB2C9C"/>
    <w:rsid w:val="190B6E9A"/>
    <w:rsid w:val="1935655D"/>
    <w:rsid w:val="197902A7"/>
    <w:rsid w:val="198F7ACB"/>
    <w:rsid w:val="19E73463"/>
    <w:rsid w:val="1A3366A8"/>
    <w:rsid w:val="1A8E1B30"/>
    <w:rsid w:val="1AEC6857"/>
    <w:rsid w:val="1AF455E6"/>
    <w:rsid w:val="1AF8344E"/>
    <w:rsid w:val="1B5468D6"/>
    <w:rsid w:val="1B5C578B"/>
    <w:rsid w:val="1B66485B"/>
    <w:rsid w:val="1B8A2C77"/>
    <w:rsid w:val="1B9C027D"/>
    <w:rsid w:val="1BE834C2"/>
    <w:rsid w:val="1C0E55E8"/>
    <w:rsid w:val="1C177904"/>
    <w:rsid w:val="1C281B11"/>
    <w:rsid w:val="1C6F14EE"/>
    <w:rsid w:val="1C962F1E"/>
    <w:rsid w:val="1CB6711D"/>
    <w:rsid w:val="1CE91858"/>
    <w:rsid w:val="1DB16262"/>
    <w:rsid w:val="1DDB508D"/>
    <w:rsid w:val="1DE303E5"/>
    <w:rsid w:val="1DF24184"/>
    <w:rsid w:val="1DF93765"/>
    <w:rsid w:val="1E2F53D8"/>
    <w:rsid w:val="1E5D7919"/>
    <w:rsid w:val="1E764DB5"/>
    <w:rsid w:val="1E91399D"/>
    <w:rsid w:val="1E9D67E6"/>
    <w:rsid w:val="1EA569FA"/>
    <w:rsid w:val="1EB63404"/>
    <w:rsid w:val="1EC10726"/>
    <w:rsid w:val="1F5C3FAB"/>
    <w:rsid w:val="1F647304"/>
    <w:rsid w:val="20062169"/>
    <w:rsid w:val="200F101E"/>
    <w:rsid w:val="206C6470"/>
    <w:rsid w:val="20855784"/>
    <w:rsid w:val="208C6B12"/>
    <w:rsid w:val="209F6845"/>
    <w:rsid w:val="20A200E4"/>
    <w:rsid w:val="20CC33B3"/>
    <w:rsid w:val="20E64474"/>
    <w:rsid w:val="21260D15"/>
    <w:rsid w:val="213845A4"/>
    <w:rsid w:val="21BE2CFB"/>
    <w:rsid w:val="21D267A7"/>
    <w:rsid w:val="21DE514B"/>
    <w:rsid w:val="21E07116"/>
    <w:rsid w:val="22140B6D"/>
    <w:rsid w:val="22327245"/>
    <w:rsid w:val="22853819"/>
    <w:rsid w:val="22A2261D"/>
    <w:rsid w:val="22EC5646"/>
    <w:rsid w:val="23076924"/>
    <w:rsid w:val="237613B4"/>
    <w:rsid w:val="237B69CA"/>
    <w:rsid w:val="23A3664D"/>
    <w:rsid w:val="23DA5DE6"/>
    <w:rsid w:val="24212C33"/>
    <w:rsid w:val="24264B88"/>
    <w:rsid w:val="242B03F0"/>
    <w:rsid w:val="242D5F16"/>
    <w:rsid w:val="24551EC1"/>
    <w:rsid w:val="2467585C"/>
    <w:rsid w:val="2483022C"/>
    <w:rsid w:val="249266C1"/>
    <w:rsid w:val="24BB79C6"/>
    <w:rsid w:val="24D64800"/>
    <w:rsid w:val="24E707BB"/>
    <w:rsid w:val="24F005F4"/>
    <w:rsid w:val="25333A00"/>
    <w:rsid w:val="257A518B"/>
    <w:rsid w:val="257D4C7B"/>
    <w:rsid w:val="25910727"/>
    <w:rsid w:val="25973F8F"/>
    <w:rsid w:val="25A22934"/>
    <w:rsid w:val="25EB42DB"/>
    <w:rsid w:val="26064C71"/>
    <w:rsid w:val="260E1D77"/>
    <w:rsid w:val="2631313B"/>
    <w:rsid w:val="263F63D5"/>
    <w:rsid w:val="26404627"/>
    <w:rsid w:val="26926505"/>
    <w:rsid w:val="26BE299D"/>
    <w:rsid w:val="26C16DEA"/>
    <w:rsid w:val="26CA2142"/>
    <w:rsid w:val="26FD42C6"/>
    <w:rsid w:val="270A0791"/>
    <w:rsid w:val="270D202F"/>
    <w:rsid w:val="27135897"/>
    <w:rsid w:val="272950BB"/>
    <w:rsid w:val="272C6959"/>
    <w:rsid w:val="27893DAB"/>
    <w:rsid w:val="27B54BA0"/>
    <w:rsid w:val="28081174"/>
    <w:rsid w:val="280D0539"/>
    <w:rsid w:val="28245882"/>
    <w:rsid w:val="285476BF"/>
    <w:rsid w:val="286345FC"/>
    <w:rsid w:val="289A5B44"/>
    <w:rsid w:val="28A15125"/>
    <w:rsid w:val="28AF339E"/>
    <w:rsid w:val="28CF57EE"/>
    <w:rsid w:val="28D210DF"/>
    <w:rsid w:val="28F25BD0"/>
    <w:rsid w:val="290E7316"/>
    <w:rsid w:val="297168A5"/>
    <w:rsid w:val="29787E11"/>
    <w:rsid w:val="297F5466"/>
    <w:rsid w:val="29826D04"/>
    <w:rsid w:val="29932CBF"/>
    <w:rsid w:val="29A44ECD"/>
    <w:rsid w:val="29C235A5"/>
    <w:rsid w:val="29D62BAC"/>
    <w:rsid w:val="2A174BE6"/>
    <w:rsid w:val="2A202079"/>
    <w:rsid w:val="2A3F4BF5"/>
    <w:rsid w:val="2A426494"/>
    <w:rsid w:val="2A557F75"/>
    <w:rsid w:val="2A5F2BA2"/>
    <w:rsid w:val="2AA1140C"/>
    <w:rsid w:val="2ACB6489"/>
    <w:rsid w:val="2AEB08D9"/>
    <w:rsid w:val="2B065713"/>
    <w:rsid w:val="2B1616F8"/>
    <w:rsid w:val="2B201057"/>
    <w:rsid w:val="2B6A5CA2"/>
    <w:rsid w:val="2B726905"/>
    <w:rsid w:val="2BA50A88"/>
    <w:rsid w:val="2BD15D21"/>
    <w:rsid w:val="2C22657D"/>
    <w:rsid w:val="2C432BA1"/>
    <w:rsid w:val="2C714E0E"/>
    <w:rsid w:val="2C7C3EDF"/>
    <w:rsid w:val="2CBC42DB"/>
    <w:rsid w:val="2CEB4BC0"/>
    <w:rsid w:val="2CFF241A"/>
    <w:rsid w:val="2D053ED4"/>
    <w:rsid w:val="2D1265F1"/>
    <w:rsid w:val="2D355E3C"/>
    <w:rsid w:val="2D41674C"/>
    <w:rsid w:val="2D7C3A6A"/>
    <w:rsid w:val="2DA059AB"/>
    <w:rsid w:val="2DC7118A"/>
    <w:rsid w:val="2E0F2B31"/>
    <w:rsid w:val="2E1343CF"/>
    <w:rsid w:val="2E1F0FC6"/>
    <w:rsid w:val="2E3A7BAD"/>
    <w:rsid w:val="2E3F3416"/>
    <w:rsid w:val="2E426A62"/>
    <w:rsid w:val="2E7035CF"/>
    <w:rsid w:val="2E840E29"/>
    <w:rsid w:val="2E864BA1"/>
    <w:rsid w:val="2E876B6B"/>
    <w:rsid w:val="2E905A1F"/>
    <w:rsid w:val="2EF273D6"/>
    <w:rsid w:val="2F2D7712"/>
    <w:rsid w:val="2F862F25"/>
    <w:rsid w:val="302C5C1C"/>
    <w:rsid w:val="303C0B6E"/>
    <w:rsid w:val="30446E83"/>
    <w:rsid w:val="304E7940"/>
    <w:rsid w:val="304F5466"/>
    <w:rsid w:val="30B5176D"/>
    <w:rsid w:val="30DC7149"/>
    <w:rsid w:val="310114A8"/>
    <w:rsid w:val="31DE6AA2"/>
    <w:rsid w:val="31FE5396"/>
    <w:rsid w:val="32056724"/>
    <w:rsid w:val="32097FFD"/>
    <w:rsid w:val="323112C7"/>
    <w:rsid w:val="32625925"/>
    <w:rsid w:val="32BF0681"/>
    <w:rsid w:val="32F249FF"/>
    <w:rsid w:val="32F26CA9"/>
    <w:rsid w:val="331210F9"/>
    <w:rsid w:val="3330332D"/>
    <w:rsid w:val="333077D1"/>
    <w:rsid w:val="333144AC"/>
    <w:rsid w:val="333D3C9C"/>
    <w:rsid w:val="33460DA3"/>
    <w:rsid w:val="33631954"/>
    <w:rsid w:val="341964B7"/>
    <w:rsid w:val="342804A8"/>
    <w:rsid w:val="34384B8F"/>
    <w:rsid w:val="345B6AD0"/>
    <w:rsid w:val="345D63A4"/>
    <w:rsid w:val="34AF2977"/>
    <w:rsid w:val="34B166F0"/>
    <w:rsid w:val="34D4704F"/>
    <w:rsid w:val="35132F06"/>
    <w:rsid w:val="3529272A"/>
    <w:rsid w:val="35487054"/>
    <w:rsid w:val="3558300F"/>
    <w:rsid w:val="35973B37"/>
    <w:rsid w:val="35AD6EB7"/>
    <w:rsid w:val="35B069A7"/>
    <w:rsid w:val="35C42453"/>
    <w:rsid w:val="35D72186"/>
    <w:rsid w:val="35FF348B"/>
    <w:rsid w:val="360C2E3B"/>
    <w:rsid w:val="361707D4"/>
    <w:rsid w:val="36455341"/>
    <w:rsid w:val="36A55DE0"/>
    <w:rsid w:val="36A75FFC"/>
    <w:rsid w:val="36B9188B"/>
    <w:rsid w:val="36C24BE4"/>
    <w:rsid w:val="371D1E1A"/>
    <w:rsid w:val="3736112E"/>
    <w:rsid w:val="377C4D93"/>
    <w:rsid w:val="37C4498C"/>
    <w:rsid w:val="37DC1CD5"/>
    <w:rsid w:val="3801798E"/>
    <w:rsid w:val="3821593A"/>
    <w:rsid w:val="38417D8A"/>
    <w:rsid w:val="38A8605B"/>
    <w:rsid w:val="38CF35E8"/>
    <w:rsid w:val="38D51967"/>
    <w:rsid w:val="38DD3F57"/>
    <w:rsid w:val="38DE55D9"/>
    <w:rsid w:val="38E726E0"/>
    <w:rsid w:val="38FF3ECD"/>
    <w:rsid w:val="39073753"/>
    <w:rsid w:val="39253208"/>
    <w:rsid w:val="394677DA"/>
    <w:rsid w:val="39557F91"/>
    <w:rsid w:val="39AB195F"/>
    <w:rsid w:val="39B06F76"/>
    <w:rsid w:val="39CB2002"/>
    <w:rsid w:val="39DC5FBD"/>
    <w:rsid w:val="39EF3F42"/>
    <w:rsid w:val="3A1C460B"/>
    <w:rsid w:val="3A1E65D5"/>
    <w:rsid w:val="3A671496"/>
    <w:rsid w:val="3A850402"/>
    <w:rsid w:val="3A95616C"/>
    <w:rsid w:val="3AB24F6F"/>
    <w:rsid w:val="3AB51493"/>
    <w:rsid w:val="3AF70BD4"/>
    <w:rsid w:val="3B9052B1"/>
    <w:rsid w:val="3B9A1C8B"/>
    <w:rsid w:val="3B9C1EA7"/>
    <w:rsid w:val="3BCE7B87"/>
    <w:rsid w:val="3C236125"/>
    <w:rsid w:val="3C5502A8"/>
    <w:rsid w:val="3C793F97"/>
    <w:rsid w:val="3C8D337B"/>
    <w:rsid w:val="3CC03974"/>
    <w:rsid w:val="3CC2593E"/>
    <w:rsid w:val="3CF74EBC"/>
    <w:rsid w:val="3D2C725B"/>
    <w:rsid w:val="3D31661F"/>
    <w:rsid w:val="3D916F58"/>
    <w:rsid w:val="3DA43295"/>
    <w:rsid w:val="3DAA0180"/>
    <w:rsid w:val="3DBA03C3"/>
    <w:rsid w:val="3DE96EFA"/>
    <w:rsid w:val="3DFC6C2D"/>
    <w:rsid w:val="3E304B29"/>
    <w:rsid w:val="3E6D3687"/>
    <w:rsid w:val="3E8B6203"/>
    <w:rsid w:val="3F676329"/>
    <w:rsid w:val="3F6A7BC7"/>
    <w:rsid w:val="3FB4316F"/>
    <w:rsid w:val="3FBB48C6"/>
    <w:rsid w:val="3FDD2A8F"/>
    <w:rsid w:val="400973E0"/>
    <w:rsid w:val="40291830"/>
    <w:rsid w:val="403B3CF3"/>
    <w:rsid w:val="40714F85"/>
    <w:rsid w:val="40CA3013"/>
    <w:rsid w:val="40D479EE"/>
    <w:rsid w:val="40FC5196"/>
    <w:rsid w:val="41055DF9"/>
    <w:rsid w:val="41140732"/>
    <w:rsid w:val="416845DA"/>
    <w:rsid w:val="416C231C"/>
    <w:rsid w:val="41CC4B69"/>
    <w:rsid w:val="41E023C2"/>
    <w:rsid w:val="41E33C60"/>
    <w:rsid w:val="41F61BE6"/>
    <w:rsid w:val="425761C4"/>
    <w:rsid w:val="427C033D"/>
    <w:rsid w:val="42DC0E67"/>
    <w:rsid w:val="42F223AD"/>
    <w:rsid w:val="43144A19"/>
    <w:rsid w:val="432602A9"/>
    <w:rsid w:val="43302ED5"/>
    <w:rsid w:val="434F15AD"/>
    <w:rsid w:val="4383394D"/>
    <w:rsid w:val="43880F63"/>
    <w:rsid w:val="438D0328"/>
    <w:rsid w:val="441F5424"/>
    <w:rsid w:val="4442648B"/>
    <w:rsid w:val="445D5F4C"/>
    <w:rsid w:val="4495367C"/>
    <w:rsid w:val="44C22253"/>
    <w:rsid w:val="44D04970"/>
    <w:rsid w:val="44DD0E3B"/>
    <w:rsid w:val="44EE2477"/>
    <w:rsid w:val="44F93EC7"/>
    <w:rsid w:val="45576E3F"/>
    <w:rsid w:val="4577303D"/>
    <w:rsid w:val="45A35BE1"/>
    <w:rsid w:val="45AF0A29"/>
    <w:rsid w:val="45CA13BF"/>
    <w:rsid w:val="45CD7101"/>
    <w:rsid w:val="45F428E0"/>
    <w:rsid w:val="45FB77CB"/>
    <w:rsid w:val="46237258"/>
    <w:rsid w:val="466E4440"/>
    <w:rsid w:val="471843AC"/>
    <w:rsid w:val="47484C91"/>
    <w:rsid w:val="478B4B7E"/>
    <w:rsid w:val="48180B08"/>
    <w:rsid w:val="483367F0"/>
    <w:rsid w:val="485D651B"/>
    <w:rsid w:val="48923882"/>
    <w:rsid w:val="48A56114"/>
    <w:rsid w:val="48B325DE"/>
    <w:rsid w:val="48BB70DB"/>
    <w:rsid w:val="48FD1AAC"/>
    <w:rsid w:val="49724248"/>
    <w:rsid w:val="49C8030C"/>
    <w:rsid w:val="4A34774F"/>
    <w:rsid w:val="4A993A56"/>
    <w:rsid w:val="4AA63C07"/>
    <w:rsid w:val="4AA93C99"/>
    <w:rsid w:val="4AC40AD3"/>
    <w:rsid w:val="4B054C48"/>
    <w:rsid w:val="4B3774F7"/>
    <w:rsid w:val="4B3814C1"/>
    <w:rsid w:val="4B5736F5"/>
    <w:rsid w:val="4B5D4A84"/>
    <w:rsid w:val="4B8B15F1"/>
    <w:rsid w:val="4B904E59"/>
    <w:rsid w:val="4C0373D9"/>
    <w:rsid w:val="4C0C0983"/>
    <w:rsid w:val="4C215AB1"/>
    <w:rsid w:val="4C583BC9"/>
    <w:rsid w:val="4C87625C"/>
    <w:rsid w:val="4C8A5D4C"/>
    <w:rsid w:val="4CAF7561"/>
    <w:rsid w:val="4CB30DFF"/>
    <w:rsid w:val="4D1B69A4"/>
    <w:rsid w:val="4D2E492A"/>
    <w:rsid w:val="4D371A30"/>
    <w:rsid w:val="4D4952BF"/>
    <w:rsid w:val="4D61626D"/>
    <w:rsid w:val="4D622825"/>
    <w:rsid w:val="4D6245D3"/>
    <w:rsid w:val="4D8C1650"/>
    <w:rsid w:val="4DA44BEC"/>
    <w:rsid w:val="4DC808DA"/>
    <w:rsid w:val="4E0D453F"/>
    <w:rsid w:val="4E361CE8"/>
    <w:rsid w:val="4E3715BC"/>
    <w:rsid w:val="4E516B22"/>
    <w:rsid w:val="4E854A1D"/>
    <w:rsid w:val="4F0A0A7E"/>
    <w:rsid w:val="4FB511E0"/>
    <w:rsid w:val="4FC450D1"/>
    <w:rsid w:val="4FD01CC8"/>
    <w:rsid w:val="4FDE2637"/>
    <w:rsid w:val="4FF27E90"/>
    <w:rsid w:val="50373AF5"/>
    <w:rsid w:val="50630D8E"/>
    <w:rsid w:val="506E39D5"/>
    <w:rsid w:val="5080549C"/>
    <w:rsid w:val="50B96C00"/>
    <w:rsid w:val="50BB0282"/>
    <w:rsid w:val="50D91050"/>
    <w:rsid w:val="50DE21C3"/>
    <w:rsid w:val="51142088"/>
    <w:rsid w:val="51385D77"/>
    <w:rsid w:val="515D57DD"/>
    <w:rsid w:val="519C447D"/>
    <w:rsid w:val="51A054E7"/>
    <w:rsid w:val="51E81320"/>
    <w:rsid w:val="52151C14"/>
    <w:rsid w:val="522B4D3C"/>
    <w:rsid w:val="52416EAD"/>
    <w:rsid w:val="527276E7"/>
    <w:rsid w:val="527F1783"/>
    <w:rsid w:val="52A35472"/>
    <w:rsid w:val="52B35EBB"/>
    <w:rsid w:val="52EC6E19"/>
    <w:rsid w:val="52F061DD"/>
    <w:rsid w:val="53033762"/>
    <w:rsid w:val="530F0D59"/>
    <w:rsid w:val="532B00AB"/>
    <w:rsid w:val="539A4AC7"/>
    <w:rsid w:val="53A5346C"/>
    <w:rsid w:val="53FD5056"/>
    <w:rsid w:val="541A79B6"/>
    <w:rsid w:val="5438608E"/>
    <w:rsid w:val="543F741C"/>
    <w:rsid w:val="54444A33"/>
    <w:rsid w:val="545A653D"/>
    <w:rsid w:val="54650C4C"/>
    <w:rsid w:val="546B0211"/>
    <w:rsid w:val="5479292E"/>
    <w:rsid w:val="548B440F"/>
    <w:rsid w:val="54C142D5"/>
    <w:rsid w:val="54D9161F"/>
    <w:rsid w:val="54F226E1"/>
    <w:rsid w:val="55256612"/>
    <w:rsid w:val="55344AA7"/>
    <w:rsid w:val="55346855"/>
    <w:rsid w:val="558570B1"/>
    <w:rsid w:val="55AF2380"/>
    <w:rsid w:val="55BB0D24"/>
    <w:rsid w:val="56097CE2"/>
    <w:rsid w:val="5613290E"/>
    <w:rsid w:val="562E599A"/>
    <w:rsid w:val="56A812A9"/>
    <w:rsid w:val="56A8574D"/>
    <w:rsid w:val="56B87EEB"/>
    <w:rsid w:val="56CF2CD9"/>
    <w:rsid w:val="56D26326"/>
    <w:rsid w:val="56FE536D"/>
    <w:rsid w:val="573214BA"/>
    <w:rsid w:val="57B40121"/>
    <w:rsid w:val="57CE11E3"/>
    <w:rsid w:val="57DE0CFA"/>
    <w:rsid w:val="5805272B"/>
    <w:rsid w:val="587E356C"/>
    <w:rsid w:val="58847AF3"/>
    <w:rsid w:val="58896EB8"/>
    <w:rsid w:val="588E44CE"/>
    <w:rsid w:val="58AE4B70"/>
    <w:rsid w:val="58D2260D"/>
    <w:rsid w:val="58DF11CE"/>
    <w:rsid w:val="58FA7DB6"/>
    <w:rsid w:val="58FD3402"/>
    <w:rsid w:val="590F3861"/>
    <w:rsid w:val="594F1EAF"/>
    <w:rsid w:val="596908AC"/>
    <w:rsid w:val="597B2CA5"/>
    <w:rsid w:val="599E6993"/>
    <w:rsid w:val="59A85A64"/>
    <w:rsid w:val="59BC506B"/>
    <w:rsid w:val="59E44ECD"/>
    <w:rsid w:val="59F36CDF"/>
    <w:rsid w:val="5A0802B0"/>
    <w:rsid w:val="5A2450EA"/>
    <w:rsid w:val="5A3D43FE"/>
    <w:rsid w:val="5A492DA3"/>
    <w:rsid w:val="5A551748"/>
    <w:rsid w:val="5A5A0B0C"/>
    <w:rsid w:val="5A6A4AC7"/>
    <w:rsid w:val="5A6E2809"/>
    <w:rsid w:val="5A6F20DD"/>
    <w:rsid w:val="5A865DA5"/>
    <w:rsid w:val="5A963B0E"/>
    <w:rsid w:val="5A971D60"/>
    <w:rsid w:val="5AC661A1"/>
    <w:rsid w:val="5ADC5E19"/>
    <w:rsid w:val="5AEE56F8"/>
    <w:rsid w:val="5AF820D3"/>
    <w:rsid w:val="5B4B66A7"/>
    <w:rsid w:val="5B547005"/>
    <w:rsid w:val="5B61236E"/>
    <w:rsid w:val="5B6C0880"/>
    <w:rsid w:val="5C1B251D"/>
    <w:rsid w:val="5C34538D"/>
    <w:rsid w:val="5C58551F"/>
    <w:rsid w:val="5C877BB2"/>
    <w:rsid w:val="5CE943C9"/>
    <w:rsid w:val="5D0E2082"/>
    <w:rsid w:val="5DD85074"/>
    <w:rsid w:val="5E084FD5"/>
    <w:rsid w:val="5E2A4C99"/>
    <w:rsid w:val="5E435D5B"/>
    <w:rsid w:val="5E510478"/>
    <w:rsid w:val="5E5B38D5"/>
    <w:rsid w:val="5E9D546B"/>
    <w:rsid w:val="5F0B0627"/>
    <w:rsid w:val="5F17346F"/>
    <w:rsid w:val="5F6D0BDD"/>
    <w:rsid w:val="5F722F75"/>
    <w:rsid w:val="603242D9"/>
    <w:rsid w:val="603E67DA"/>
    <w:rsid w:val="60591866"/>
    <w:rsid w:val="60795A64"/>
    <w:rsid w:val="60883EF9"/>
    <w:rsid w:val="60BB7E2A"/>
    <w:rsid w:val="60BE791B"/>
    <w:rsid w:val="60C211B9"/>
    <w:rsid w:val="60DF1D6B"/>
    <w:rsid w:val="60E732E5"/>
    <w:rsid w:val="60F0584B"/>
    <w:rsid w:val="6105554A"/>
    <w:rsid w:val="617333EB"/>
    <w:rsid w:val="618172C6"/>
    <w:rsid w:val="618973D2"/>
    <w:rsid w:val="619D5782"/>
    <w:rsid w:val="61C471B3"/>
    <w:rsid w:val="61CD384F"/>
    <w:rsid w:val="620F0375"/>
    <w:rsid w:val="621974FF"/>
    <w:rsid w:val="62791D4B"/>
    <w:rsid w:val="62FB6C04"/>
    <w:rsid w:val="632779F9"/>
    <w:rsid w:val="63452CAD"/>
    <w:rsid w:val="63585E05"/>
    <w:rsid w:val="63A1155A"/>
    <w:rsid w:val="63A64DC2"/>
    <w:rsid w:val="63AB7439"/>
    <w:rsid w:val="63B079EF"/>
    <w:rsid w:val="64740A1C"/>
    <w:rsid w:val="647B7FFD"/>
    <w:rsid w:val="64F8164D"/>
    <w:rsid w:val="650C6EA7"/>
    <w:rsid w:val="654F3237"/>
    <w:rsid w:val="65817895"/>
    <w:rsid w:val="65842EE1"/>
    <w:rsid w:val="65D30F97"/>
    <w:rsid w:val="65D33E68"/>
    <w:rsid w:val="66042274"/>
    <w:rsid w:val="661C136B"/>
    <w:rsid w:val="665A1E94"/>
    <w:rsid w:val="666B1717"/>
    <w:rsid w:val="66750414"/>
    <w:rsid w:val="6689117C"/>
    <w:rsid w:val="668F4E00"/>
    <w:rsid w:val="668F6144"/>
    <w:rsid w:val="66911D59"/>
    <w:rsid w:val="66D25ECE"/>
    <w:rsid w:val="66F83B86"/>
    <w:rsid w:val="67191D4F"/>
    <w:rsid w:val="673E3563"/>
    <w:rsid w:val="676E209B"/>
    <w:rsid w:val="67B53825"/>
    <w:rsid w:val="67C47F0C"/>
    <w:rsid w:val="67F56318"/>
    <w:rsid w:val="68024591"/>
    <w:rsid w:val="680B5B3B"/>
    <w:rsid w:val="680B78E9"/>
    <w:rsid w:val="681D761D"/>
    <w:rsid w:val="685A261F"/>
    <w:rsid w:val="68770452"/>
    <w:rsid w:val="68790CF7"/>
    <w:rsid w:val="688E4077"/>
    <w:rsid w:val="68B41D2F"/>
    <w:rsid w:val="68FD36D6"/>
    <w:rsid w:val="6908207B"/>
    <w:rsid w:val="690D51A6"/>
    <w:rsid w:val="69224EEB"/>
    <w:rsid w:val="693D7F76"/>
    <w:rsid w:val="695B21AB"/>
    <w:rsid w:val="696A0640"/>
    <w:rsid w:val="696C40C9"/>
    <w:rsid w:val="69C064B2"/>
    <w:rsid w:val="69C45FA2"/>
    <w:rsid w:val="69CA7330"/>
    <w:rsid w:val="6A5D01A4"/>
    <w:rsid w:val="6AC63F9C"/>
    <w:rsid w:val="6B040620"/>
    <w:rsid w:val="6B1C3BBC"/>
    <w:rsid w:val="6B20545A"/>
    <w:rsid w:val="6B286A04"/>
    <w:rsid w:val="6B2F38EF"/>
    <w:rsid w:val="6B3727A3"/>
    <w:rsid w:val="6B39476E"/>
    <w:rsid w:val="6B9F6CC6"/>
    <w:rsid w:val="6BA53BB1"/>
    <w:rsid w:val="6BC13889"/>
    <w:rsid w:val="6BCC6B58"/>
    <w:rsid w:val="6C1A459F"/>
    <w:rsid w:val="6C823EF2"/>
    <w:rsid w:val="6CAD1486"/>
    <w:rsid w:val="6CDE737B"/>
    <w:rsid w:val="6D147240"/>
    <w:rsid w:val="6D204A09"/>
    <w:rsid w:val="6D2B458A"/>
    <w:rsid w:val="6D2D0302"/>
    <w:rsid w:val="6DC42A14"/>
    <w:rsid w:val="6E064F43"/>
    <w:rsid w:val="6E35746E"/>
    <w:rsid w:val="6E4B4EE4"/>
    <w:rsid w:val="6E510020"/>
    <w:rsid w:val="6ECD6A1B"/>
    <w:rsid w:val="6EFA2466"/>
    <w:rsid w:val="6F573414"/>
    <w:rsid w:val="6F7A7103"/>
    <w:rsid w:val="6FA369AB"/>
    <w:rsid w:val="6FA67EF8"/>
    <w:rsid w:val="6FC54822"/>
    <w:rsid w:val="6FC84312"/>
    <w:rsid w:val="6FD35191"/>
    <w:rsid w:val="6FF9096F"/>
    <w:rsid w:val="70147557"/>
    <w:rsid w:val="7060454A"/>
    <w:rsid w:val="70710506"/>
    <w:rsid w:val="707B75D6"/>
    <w:rsid w:val="7084648B"/>
    <w:rsid w:val="709541F4"/>
    <w:rsid w:val="70A66401"/>
    <w:rsid w:val="70A94143"/>
    <w:rsid w:val="70AF062E"/>
    <w:rsid w:val="715A71EC"/>
    <w:rsid w:val="715C7408"/>
    <w:rsid w:val="718A5D23"/>
    <w:rsid w:val="721750DD"/>
    <w:rsid w:val="72202872"/>
    <w:rsid w:val="723B134C"/>
    <w:rsid w:val="723D2D95"/>
    <w:rsid w:val="72402885"/>
    <w:rsid w:val="72587127"/>
    <w:rsid w:val="72A921D9"/>
    <w:rsid w:val="72B0197F"/>
    <w:rsid w:val="72C62D8B"/>
    <w:rsid w:val="72F316A6"/>
    <w:rsid w:val="72F60AC4"/>
    <w:rsid w:val="72F86CBC"/>
    <w:rsid w:val="72FC1054"/>
    <w:rsid w:val="738D38A8"/>
    <w:rsid w:val="739D6B05"/>
    <w:rsid w:val="73C55A7E"/>
    <w:rsid w:val="73D43285"/>
    <w:rsid w:val="73F76F74"/>
    <w:rsid w:val="742F670E"/>
    <w:rsid w:val="747D0F39"/>
    <w:rsid w:val="748A6F65"/>
    <w:rsid w:val="74934EEE"/>
    <w:rsid w:val="74B3733F"/>
    <w:rsid w:val="74CB6B3C"/>
    <w:rsid w:val="74D3353D"/>
    <w:rsid w:val="75181898"/>
    <w:rsid w:val="751D0C5C"/>
    <w:rsid w:val="754937FF"/>
    <w:rsid w:val="754E7067"/>
    <w:rsid w:val="757A60AE"/>
    <w:rsid w:val="7581743D"/>
    <w:rsid w:val="75D43A11"/>
    <w:rsid w:val="75ED6880"/>
    <w:rsid w:val="76067942"/>
    <w:rsid w:val="7610256F"/>
    <w:rsid w:val="76377AFB"/>
    <w:rsid w:val="76402E54"/>
    <w:rsid w:val="766C2233"/>
    <w:rsid w:val="768C6099"/>
    <w:rsid w:val="768E78F0"/>
    <w:rsid w:val="769B452E"/>
    <w:rsid w:val="76CE0460"/>
    <w:rsid w:val="76D35A76"/>
    <w:rsid w:val="76E063E5"/>
    <w:rsid w:val="76F123A0"/>
    <w:rsid w:val="771816DB"/>
    <w:rsid w:val="77212C85"/>
    <w:rsid w:val="77550B81"/>
    <w:rsid w:val="77674410"/>
    <w:rsid w:val="77770AF7"/>
    <w:rsid w:val="777A4144"/>
    <w:rsid w:val="77AE203F"/>
    <w:rsid w:val="77C67389"/>
    <w:rsid w:val="782A7918"/>
    <w:rsid w:val="7831514A"/>
    <w:rsid w:val="7836450F"/>
    <w:rsid w:val="7840538D"/>
    <w:rsid w:val="78961451"/>
    <w:rsid w:val="78970D25"/>
    <w:rsid w:val="78AC47D1"/>
    <w:rsid w:val="78B47B29"/>
    <w:rsid w:val="78B813C8"/>
    <w:rsid w:val="78FB3062"/>
    <w:rsid w:val="78FD502C"/>
    <w:rsid w:val="79200D1B"/>
    <w:rsid w:val="793B3DA7"/>
    <w:rsid w:val="79674B9C"/>
    <w:rsid w:val="79B576B5"/>
    <w:rsid w:val="79B778D1"/>
    <w:rsid w:val="79F521A7"/>
    <w:rsid w:val="7A560E98"/>
    <w:rsid w:val="7A5C2227"/>
    <w:rsid w:val="7AD26045"/>
    <w:rsid w:val="7B4231CA"/>
    <w:rsid w:val="7B560AD6"/>
    <w:rsid w:val="7B62386D"/>
    <w:rsid w:val="7BA479E1"/>
    <w:rsid w:val="7BF86BD0"/>
    <w:rsid w:val="7BFE17E7"/>
    <w:rsid w:val="7BFF1CE9"/>
    <w:rsid w:val="7C012B98"/>
    <w:rsid w:val="7C1246D5"/>
    <w:rsid w:val="7C7C095E"/>
    <w:rsid w:val="7CD93C0B"/>
    <w:rsid w:val="7CEF2EDE"/>
    <w:rsid w:val="7CF76237"/>
    <w:rsid w:val="7D142945"/>
    <w:rsid w:val="7D366D5F"/>
    <w:rsid w:val="7D3D00ED"/>
    <w:rsid w:val="7D442382"/>
    <w:rsid w:val="7D474AC8"/>
    <w:rsid w:val="7D584F27"/>
    <w:rsid w:val="7DFC3B04"/>
    <w:rsid w:val="7E81225C"/>
    <w:rsid w:val="7EA45F4A"/>
    <w:rsid w:val="7EAA17B2"/>
    <w:rsid w:val="7EAF6DC9"/>
    <w:rsid w:val="7ECF1219"/>
    <w:rsid w:val="7EE36A72"/>
    <w:rsid w:val="7F066141"/>
    <w:rsid w:val="7F4F5EB6"/>
    <w:rsid w:val="7F857B2A"/>
    <w:rsid w:val="7FC85053"/>
    <w:rsid w:val="BDF3E3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tabs>
        <w:tab w:val="center" w:pos="4153"/>
        <w:tab w:val="right" w:pos="8306"/>
      </w:tabs>
      <w:snapToGrid w:val="0"/>
      <w:jc w:val="center"/>
    </w:pPr>
    <w:rPr>
      <w:sz w:val="18"/>
      <w:szCs w:val="18"/>
    </w:rPr>
  </w:style>
  <w:style w:type="paragraph" w:styleId="4">
    <w:name w:val="Normal (Web)"/>
    <w:basedOn w:val="1"/>
    <w:qFormat/>
    <w:uiPriority w:val="0"/>
    <w:rPr>
      <w:sz w:val="24"/>
    </w:rPr>
  </w:style>
  <w:style w:type="character" w:styleId="7">
    <w:name w:val="Strong"/>
    <w:basedOn w:val="6"/>
    <w:qFormat/>
    <w:uiPriority w:val="0"/>
    <w:rPr>
      <w:b/>
    </w:rPr>
  </w:style>
  <w:style w:type="character" w:customStyle="1" w:styleId="8">
    <w:name w:val="页眉 字符"/>
    <w:basedOn w:val="6"/>
    <w:link w:val="3"/>
    <w:qFormat/>
    <w:uiPriority w:val="0"/>
    <w:rPr>
      <w:rFonts w:asciiTheme="minorHAnsi" w:hAnsiTheme="minorHAnsi" w:eastAsiaTheme="minorEastAsia" w:cstheme="minorBidi"/>
      <w:kern w:val="2"/>
      <w:sz w:val="18"/>
      <w:szCs w:val="18"/>
    </w:rPr>
  </w:style>
  <w:style w:type="paragraph" w:styleId="9">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er" Target="footer1.xml"/><Relationship Id="rId7" Type="http://schemas.openxmlformats.org/officeDocument/2006/relationships/fontTable" Target="fontTable.xml"/><Relationship Id="rId2" Type="http://schemas.openxmlformats.org/officeDocument/2006/relationships/settings" Target="settings.xml"/><Relationship Id="rId6" Type="http://schemas.openxmlformats.org/officeDocument/2006/relationships/numbering" Target="numbering.xml"/><Relationship Id="rId1" Type="http://schemas.openxmlformats.org/officeDocument/2006/relationships/styles" Target="styles.xml"/><Relationship Id="rId5" Type="http://schemas.openxmlformats.org/officeDocument/2006/relationships/customXml" Target="../customXml/item1.xml"/><Relationship Id="rId10" Type="http://schemas.openxmlformats.org/officeDocument/2006/relationships/customXml" Target="../customXml/item4.xml"/><Relationship Id="rId4" Type="http://schemas.openxmlformats.org/officeDocument/2006/relationships/theme" Target="theme/theme1.xml"/><Relationship Id="rId9" Type="http://schemas.openxmlformats.org/officeDocument/2006/relationships/customXml" Target="../customXml/item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0FAA7C-012F-4596-BDD4-46F59178BB56}"/>
</file>

<file path=customXml/itemProps3.xml><?xml version="1.0" encoding="utf-8"?>
<ds:datastoreItem xmlns:ds="http://schemas.openxmlformats.org/officeDocument/2006/customXml" ds:itemID="{EA16255B-9D81-473A-94F4-57A4C9299A06}"/>
</file>

<file path=customXml/itemProps4.xml><?xml version="1.0" encoding="utf-8"?>
<ds:datastoreItem xmlns:ds="http://schemas.openxmlformats.org/officeDocument/2006/customXml" ds:itemID="{1DB0FDD9-072D-4E83-B1A8-51588EA0843D}"/>
</file>

<file path=docProps/app.xml><?xml version="1.0" encoding="utf-8"?>
<Properties xmlns="http://schemas.openxmlformats.org/officeDocument/2006/extended-properties" xmlns:vt="http://schemas.openxmlformats.org/officeDocument/2006/docPropsVTypes">
  <Template>Normal</Template>
  <Pages>12</Pages>
  <Words>5532</Words>
  <Characters>5548</Characters>
  <Lines>85</Lines>
  <Paragraphs>24</Paragraphs>
  <TotalTime>168</TotalTime>
  <ScaleCrop>false</ScaleCrop>
  <LinksUpToDate>false</LinksUpToDate>
  <CharactersWithSpaces>5563</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傩诺</cp:lastModifiedBy>
  <cp:revision>4</cp:revision>
  <cp:lastPrinted>2025-10-13T16:31:00Z</cp:lastPrinted>
  <dcterms:created xsi:type="dcterms:W3CDTF">2025-09-03T15:15:00Z</dcterms:created>
  <dcterms:modified xsi:type="dcterms:W3CDTF">2026-02-05T15:49:44Z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6F08C4122DFC448087C43DF27E5F73F0_13</vt:lpwstr>
  </property>
  <property fmtid="{D5CDD505-2E9C-101B-9397-08002B2CF9AE}" pid="4" name="KSOTemplateDocerSaveRecord">
    <vt:lpwstr>eyJoZGlkIjoiOTBlNDM5OTQ0MDU4ZWRiNDI1YTRkMTQwM2Y1YmJiODQiLCJ1c2VySWQiOiIyNDUwODI1ODgifQ==</vt:lpwstr>
  </property>
  <property fmtid="{D5CDD505-2E9C-101B-9397-08002B2CF9AE}" pid="5" name="ContentTypeId">
    <vt:lpwstr>0x01010028C7B6C620067247A35EF62A3E68EE62</vt:lpwstr>
  </property>
</Properties>
</file>