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B926D6">
      <w:pPr>
        <w:pStyle w:val="2"/>
        <w:keepNext w:val="0"/>
        <w:keepLines w:val="0"/>
        <w:widowControl/>
        <w:suppressLineNumbers w:val="0"/>
        <w:spacing w:before="0" w:beforeAutospacing="0" w:after="120" w:afterAutospacing="0" w:line="14" w:lineRule="atLeast"/>
        <w:jc w:val="center"/>
        <w:rPr>
          <w:rFonts w:hint="eastAsia" w:ascii="宋体" w:hAnsi="宋体" w:eastAsia="宋体" w:cs="宋体"/>
          <w:b/>
          <w:bCs/>
          <w:i w:val="0"/>
          <w:iCs w:val="0"/>
          <w:caps w:val="0"/>
          <w:color w:val="auto"/>
          <w:spacing w:val="0"/>
          <w:sz w:val="44"/>
          <w:szCs w:val="44"/>
        </w:rPr>
      </w:pPr>
      <w:r>
        <w:rPr>
          <w:rFonts w:hint="eastAsia" w:ascii="宋体" w:hAnsi="宋体" w:eastAsia="宋体" w:cs="宋体"/>
          <w:b/>
          <w:bCs/>
          <w:i w:val="0"/>
          <w:iCs w:val="0"/>
          <w:caps w:val="0"/>
          <w:color w:val="auto"/>
          <w:spacing w:val="0"/>
          <w:sz w:val="44"/>
          <w:szCs w:val="44"/>
        </w:rPr>
        <w:t>上海市住房公积金2024年年度报告</w:t>
      </w:r>
    </w:p>
    <w:p w14:paraId="770218F5">
      <w:pPr>
        <w:rPr>
          <w:rFonts w:hint="eastAsia"/>
        </w:rPr>
      </w:pPr>
    </w:p>
    <w:p w14:paraId="64DB6667">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uto"/>
        <w:ind w:left="0" w:right="0" w:firstLine="361" w:firstLineChars="200"/>
        <w:jc w:val="left"/>
        <w:textAlignment w:val="auto"/>
        <w:rPr>
          <w:rFonts w:hint="eastAsia" w:ascii="宋体" w:hAnsi="宋体" w:eastAsia="宋体" w:cs="宋体"/>
          <w:color w:val="auto"/>
          <w:sz w:val="18"/>
          <w:szCs w:val="18"/>
        </w:rPr>
      </w:pPr>
      <w:r>
        <w:rPr>
          <w:rFonts w:hint="eastAsia" w:ascii="宋体" w:hAnsi="宋体" w:eastAsia="宋体" w:cs="宋体"/>
          <w:b/>
          <w:bCs/>
          <w:i w:val="0"/>
          <w:iCs w:val="0"/>
          <w:caps w:val="0"/>
          <w:color w:val="auto"/>
          <w:spacing w:val="0"/>
          <w:sz w:val="18"/>
          <w:szCs w:val="18"/>
        </w:rPr>
        <w:t>文号：</w:t>
      </w:r>
    </w:p>
    <w:p w14:paraId="498DB89E">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uto"/>
        <w:ind w:left="0" w:right="0" w:firstLine="361" w:firstLineChars="200"/>
        <w:jc w:val="left"/>
        <w:textAlignment w:val="auto"/>
        <w:rPr>
          <w:rFonts w:hint="eastAsia" w:ascii="宋体" w:hAnsi="宋体" w:eastAsia="宋体" w:cs="宋体"/>
          <w:color w:val="auto"/>
          <w:sz w:val="18"/>
          <w:szCs w:val="18"/>
        </w:rPr>
      </w:pPr>
      <w:r>
        <w:rPr>
          <w:rFonts w:hint="eastAsia" w:ascii="宋体" w:hAnsi="宋体" w:eastAsia="宋体" w:cs="宋体"/>
          <w:b/>
          <w:bCs/>
          <w:i w:val="0"/>
          <w:iCs w:val="0"/>
          <w:caps w:val="0"/>
          <w:color w:val="auto"/>
          <w:spacing w:val="0"/>
          <w:sz w:val="18"/>
          <w:szCs w:val="18"/>
        </w:rPr>
        <w:t>索取号：</w:t>
      </w:r>
      <w:r>
        <w:rPr>
          <w:rFonts w:hint="eastAsia" w:ascii="宋体" w:hAnsi="宋体" w:eastAsia="宋体" w:cs="宋体"/>
          <w:i w:val="0"/>
          <w:iCs w:val="0"/>
          <w:caps w:val="0"/>
          <w:color w:val="auto"/>
          <w:spacing w:val="0"/>
          <w:sz w:val="18"/>
          <w:szCs w:val="18"/>
        </w:rPr>
        <w:t>SY4250087880-2025-227250</w:t>
      </w:r>
    </w:p>
    <w:p w14:paraId="07C17399">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uto"/>
        <w:ind w:left="0" w:right="0" w:firstLine="361" w:firstLineChars="200"/>
        <w:jc w:val="left"/>
        <w:textAlignment w:val="auto"/>
        <w:rPr>
          <w:rFonts w:hint="eastAsia" w:ascii="宋体" w:hAnsi="宋体" w:eastAsia="宋体" w:cs="宋体"/>
          <w:color w:val="auto"/>
          <w:sz w:val="18"/>
          <w:szCs w:val="18"/>
        </w:rPr>
      </w:pPr>
      <w:r>
        <w:rPr>
          <w:rFonts w:hint="eastAsia" w:ascii="宋体" w:hAnsi="宋体" w:eastAsia="宋体" w:cs="宋体"/>
          <w:b/>
          <w:bCs/>
          <w:i w:val="0"/>
          <w:iCs w:val="0"/>
          <w:caps w:val="0"/>
          <w:color w:val="auto"/>
          <w:spacing w:val="0"/>
          <w:sz w:val="18"/>
          <w:szCs w:val="18"/>
        </w:rPr>
        <w:t>产生日期：</w:t>
      </w:r>
      <w:r>
        <w:rPr>
          <w:rFonts w:hint="eastAsia" w:ascii="宋体" w:hAnsi="宋体" w:eastAsia="宋体" w:cs="宋体"/>
          <w:i w:val="0"/>
          <w:iCs w:val="0"/>
          <w:caps w:val="0"/>
          <w:color w:val="auto"/>
          <w:spacing w:val="0"/>
          <w:sz w:val="18"/>
          <w:szCs w:val="18"/>
        </w:rPr>
        <w:t>2025-03-31</w:t>
      </w:r>
    </w:p>
    <w:p w14:paraId="1F66F86B">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uto"/>
        <w:ind w:left="0" w:right="0" w:firstLine="361" w:firstLineChars="200"/>
        <w:jc w:val="left"/>
        <w:textAlignment w:val="auto"/>
        <w:rPr>
          <w:rFonts w:hint="eastAsia" w:ascii="宋体" w:hAnsi="宋体" w:eastAsia="宋体" w:cs="宋体"/>
          <w:color w:val="auto"/>
          <w:sz w:val="18"/>
          <w:szCs w:val="18"/>
        </w:rPr>
      </w:pPr>
      <w:r>
        <w:rPr>
          <w:rFonts w:hint="eastAsia" w:ascii="宋体" w:hAnsi="宋体" w:eastAsia="宋体" w:cs="宋体"/>
          <w:b/>
          <w:bCs/>
          <w:i w:val="0"/>
          <w:iCs w:val="0"/>
          <w:caps w:val="0"/>
          <w:color w:val="auto"/>
          <w:spacing w:val="0"/>
          <w:sz w:val="18"/>
          <w:szCs w:val="18"/>
        </w:rPr>
        <w:t>信息名称：</w:t>
      </w:r>
      <w:r>
        <w:rPr>
          <w:rFonts w:hint="eastAsia" w:ascii="宋体" w:hAnsi="宋体" w:eastAsia="宋体" w:cs="宋体"/>
          <w:i w:val="0"/>
          <w:iCs w:val="0"/>
          <w:caps w:val="0"/>
          <w:color w:val="auto"/>
          <w:spacing w:val="0"/>
          <w:sz w:val="18"/>
          <w:szCs w:val="18"/>
        </w:rPr>
        <w:t>上海市住房公积金2024年年度报告</w:t>
      </w:r>
    </w:p>
    <w:p w14:paraId="6B92E65B">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uto"/>
        <w:ind w:left="0" w:right="0" w:firstLine="361" w:firstLineChars="200"/>
        <w:jc w:val="left"/>
        <w:textAlignment w:val="auto"/>
        <w:rPr>
          <w:rFonts w:hint="eastAsia" w:ascii="宋体" w:hAnsi="宋体" w:eastAsia="宋体" w:cs="宋体"/>
          <w:color w:val="auto"/>
          <w:sz w:val="18"/>
          <w:szCs w:val="18"/>
        </w:rPr>
      </w:pPr>
      <w:r>
        <w:rPr>
          <w:rFonts w:hint="eastAsia" w:ascii="宋体" w:hAnsi="宋体" w:eastAsia="宋体" w:cs="宋体"/>
          <w:b/>
          <w:bCs/>
          <w:i w:val="0"/>
          <w:iCs w:val="0"/>
          <w:caps w:val="0"/>
          <w:color w:val="auto"/>
          <w:spacing w:val="0"/>
          <w:sz w:val="18"/>
          <w:szCs w:val="18"/>
        </w:rPr>
        <w:t>发布机构：</w:t>
      </w:r>
      <w:r>
        <w:rPr>
          <w:rFonts w:hint="eastAsia" w:ascii="宋体" w:hAnsi="宋体" w:eastAsia="宋体" w:cs="宋体"/>
          <w:i w:val="0"/>
          <w:iCs w:val="0"/>
          <w:caps w:val="0"/>
          <w:color w:val="auto"/>
          <w:spacing w:val="0"/>
          <w:sz w:val="18"/>
          <w:szCs w:val="18"/>
        </w:rPr>
        <w:t>上海市公积金管理中心</w:t>
      </w:r>
    </w:p>
    <w:p w14:paraId="53CDE9CB">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uto"/>
        <w:ind w:left="0" w:right="0" w:firstLine="361" w:firstLineChars="200"/>
        <w:jc w:val="left"/>
        <w:textAlignment w:val="auto"/>
        <w:rPr>
          <w:rFonts w:hint="eastAsia" w:ascii="宋体" w:hAnsi="宋体" w:eastAsia="宋体" w:cs="宋体"/>
          <w:color w:val="auto"/>
          <w:sz w:val="18"/>
          <w:szCs w:val="18"/>
        </w:rPr>
      </w:pPr>
      <w:r>
        <w:rPr>
          <w:rFonts w:hint="eastAsia" w:ascii="宋体" w:hAnsi="宋体" w:eastAsia="宋体" w:cs="宋体"/>
          <w:b/>
          <w:bCs/>
          <w:i w:val="0"/>
          <w:iCs w:val="0"/>
          <w:caps w:val="0"/>
          <w:color w:val="auto"/>
          <w:spacing w:val="0"/>
          <w:sz w:val="18"/>
          <w:szCs w:val="18"/>
        </w:rPr>
        <w:t>关键词：</w:t>
      </w:r>
    </w:p>
    <w:p w14:paraId="438CC76E">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uto"/>
        <w:ind w:left="0" w:right="0" w:firstLine="361" w:firstLineChars="200"/>
        <w:jc w:val="left"/>
        <w:textAlignment w:val="auto"/>
        <w:rPr>
          <w:rFonts w:hint="eastAsia" w:ascii="宋体" w:hAnsi="宋体" w:eastAsia="宋体" w:cs="宋体"/>
          <w:color w:val="auto"/>
          <w:sz w:val="18"/>
          <w:szCs w:val="18"/>
        </w:rPr>
      </w:pPr>
      <w:r>
        <w:rPr>
          <w:rFonts w:hint="eastAsia" w:ascii="宋体" w:hAnsi="宋体" w:eastAsia="宋体" w:cs="宋体"/>
          <w:b/>
          <w:bCs/>
          <w:i w:val="0"/>
          <w:iCs w:val="0"/>
          <w:caps w:val="0"/>
          <w:color w:val="auto"/>
          <w:spacing w:val="0"/>
          <w:sz w:val="18"/>
          <w:szCs w:val="18"/>
        </w:rPr>
        <w:t>业务类别：</w:t>
      </w:r>
      <w:r>
        <w:rPr>
          <w:rFonts w:hint="eastAsia" w:ascii="宋体" w:hAnsi="宋体" w:eastAsia="宋体" w:cs="宋体"/>
          <w:i w:val="0"/>
          <w:iCs w:val="0"/>
          <w:caps w:val="0"/>
          <w:color w:val="auto"/>
          <w:spacing w:val="0"/>
          <w:sz w:val="18"/>
          <w:szCs w:val="18"/>
        </w:rPr>
        <w:t>年度报告</w:t>
      </w:r>
    </w:p>
    <w:p w14:paraId="33C175C9">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uto"/>
        <w:ind w:left="0" w:right="0" w:firstLine="361" w:firstLineChars="200"/>
        <w:jc w:val="left"/>
        <w:textAlignment w:val="auto"/>
        <w:rPr>
          <w:rFonts w:hint="eastAsia" w:ascii="宋体" w:hAnsi="宋体" w:eastAsia="宋体" w:cs="宋体"/>
          <w:color w:val="auto"/>
          <w:sz w:val="18"/>
          <w:szCs w:val="18"/>
        </w:rPr>
      </w:pPr>
      <w:r>
        <w:rPr>
          <w:rFonts w:hint="eastAsia" w:ascii="宋体" w:hAnsi="宋体" w:eastAsia="宋体" w:cs="宋体"/>
          <w:b/>
          <w:bCs/>
          <w:i w:val="0"/>
          <w:iCs w:val="0"/>
          <w:caps w:val="0"/>
          <w:color w:val="auto"/>
          <w:spacing w:val="0"/>
          <w:sz w:val="18"/>
          <w:szCs w:val="18"/>
        </w:rPr>
        <w:t>内容描述：</w:t>
      </w:r>
      <w:r>
        <w:rPr>
          <w:rFonts w:hint="eastAsia" w:ascii="宋体" w:hAnsi="宋体" w:eastAsia="宋体" w:cs="宋体"/>
          <w:i w:val="0"/>
          <w:iCs w:val="0"/>
          <w:caps w:val="0"/>
          <w:color w:val="auto"/>
          <w:spacing w:val="0"/>
          <w:sz w:val="18"/>
          <w:szCs w:val="18"/>
        </w:rPr>
        <w:t>上海市住房公积金2024年年度报告</w:t>
      </w:r>
    </w:p>
    <w:p w14:paraId="62D1059C">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240" w:lineRule="auto"/>
        <w:ind w:left="0" w:right="0" w:firstLine="361" w:firstLineChars="200"/>
        <w:jc w:val="left"/>
        <w:textAlignment w:val="auto"/>
        <w:rPr>
          <w:rFonts w:hint="eastAsia" w:ascii="宋体" w:hAnsi="宋体" w:eastAsia="宋体" w:cs="宋体"/>
          <w:color w:val="auto"/>
          <w:sz w:val="18"/>
          <w:szCs w:val="18"/>
        </w:rPr>
      </w:pPr>
      <w:r>
        <w:rPr>
          <w:rFonts w:hint="eastAsia" w:ascii="宋体" w:hAnsi="宋体" w:eastAsia="宋体" w:cs="宋体"/>
          <w:b/>
          <w:bCs/>
          <w:i w:val="0"/>
          <w:iCs w:val="0"/>
          <w:caps w:val="0"/>
          <w:color w:val="auto"/>
          <w:spacing w:val="0"/>
          <w:sz w:val="18"/>
          <w:szCs w:val="18"/>
        </w:rPr>
        <w:t>信息有效性：</w:t>
      </w:r>
    </w:p>
    <w:p w14:paraId="58F506E7">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08" w:firstLineChars="200"/>
        <w:jc w:val="left"/>
        <w:textAlignment w:val="auto"/>
        <w:rPr>
          <w:rFonts w:hint="eastAsia" w:ascii="宋体" w:hAnsi="宋体" w:eastAsia="宋体" w:cs="宋体"/>
          <w:color w:val="auto"/>
          <w:spacing w:val="12"/>
          <w:sz w:val="28"/>
          <w:szCs w:val="28"/>
        </w:rPr>
      </w:pPr>
      <w:r>
        <w:rPr>
          <w:rFonts w:hint="eastAsia" w:ascii="宋体" w:hAnsi="宋体" w:eastAsia="宋体" w:cs="宋体"/>
          <w:i w:val="0"/>
          <w:iCs w:val="0"/>
          <w:caps w:val="0"/>
          <w:color w:val="auto"/>
          <w:spacing w:val="12"/>
          <w:sz w:val="28"/>
          <w:szCs w:val="28"/>
        </w:rPr>
        <w:t>根据国务院《住房公积金管理条例》和住房和城乡建设部、财政部、人民银行《关于健全住房公积金信息披露制度的通知》（建金〔2015〕26号）的规定，经审计，并由住房公积金管理委员会审议通过，现将上海市住房公积金2024年年度报告公布如下：</w:t>
      </w:r>
    </w:p>
    <w:p w14:paraId="15D3AB98">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一、机构概况</w:t>
      </w:r>
    </w:p>
    <w:p w14:paraId="2239465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（一）住房公积金管理委员会：</w:t>
      </w:r>
      <w:r>
        <w:rPr>
          <w:rFonts w:hint="eastAsia" w:ascii="宋体" w:hAnsi="宋体" w:eastAsia="宋体" w:cs="宋体"/>
          <w:i w:val="0"/>
          <w:iCs w:val="0"/>
          <w:caps w:val="0"/>
          <w:color w:val="auto"/>
          <w:spacing w:val="12"/>
          <w:sz w:val="28"/>
          <w:szCs w:val="28"/>
        </w:rPr>
        <w:t>住房公积金管理委员会有21名委员，2024年召开3次会议，审议通过的事项主要包括：《关于2023年本市住房公积金计划执行、重点工作完成情况和2024年工作安排的报告》《关于上海市住房公积金2023年年度报告编制说明情况的报告》《关于本市住房公积金提取归还长三角异地住房公积金贷款有关政策的报告》《关于2024年-2025年度归集委托协议的报告》《关于优化本市住房公积金部分提取政策的报告》《关于上海12329住房公积金热线及短信项目2024年情况以及2025年计划安排的报告》，会议通报《住房公积金管委会2023年工作总结及2024年工作计划》《关于本市住房公积金贷款政策调整的表决通报》《关于本市2024年度缴存基数调整的表决通报》等。</w:t>
      </w:r>
    </w:p>
    <w:p w14:paraId="36986821">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（二）住房公积金管理中心：</w:t>
      </w:r>
      <w:r>
        <w:rPr>
          <w:rFonts w:hint="eastAsia" w:ascii="宋体" w:hAnsi="宋体" w:eastAsia="宋体" w:cs="宋体"/>
          <w:i w:val="0"/>
          <w:iCs w:val="0"/>
          <w:caps w:val="0"/>
          <w:color w:val="auto"/>
          <w:spacing w:val="12"/>
          <w:sz w:val="28"/>
          <w:szCs w:val="28"/>
        </w:rPr>
        <w:t>上海市公积金管理中心（以下简称“中心”）为直属上海市人民政府不以营利为目的的独立的自收自支的事业单位，设13个处室，16个管理部。2024年末，从业人员298人，其中，在编245人，非在编53人。</w:t>
      </w:r>
    </w:p>
    <w:p w14:paraId="7874ED44">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二、业务运行情况</w:t>
      </w:r>
    </w:p>
    <w:p w14:paraId="31CB6ABA">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（一）缴存：</w:t>
      </w:r>
      <w:r>
        <w:rPr>
          <w:rFonts w:hint="eastAsia" w:ascii="宋体" w:hAnsi="宋体" w:eastAsia="宋体" w:cs="宋体"/>
          <w:i w:val="0"/>
          <w:iCs w:val="0"/>
          <w:caps w:val="0"/>
          <w:color w:val="auto"/>
          <w:spacing w:val="12"/>
          <w:sz w:val="28"/>
          <w:szCs w:val="28"/>
        </w:rPr>
        <w:t>2024年，新开户单位7.11万家，净增单位3.04万家；新开户职工61.36万人，净减职工13.00万人；实缴单位59.05万家，实缴职工931.26万人，缴存额2594.47亿元，同比分别增长5.41%、-1.38%和4.91%。2024年末，缴存总额22012.89亿元，比上年增长13.36%；缴存余额8645.58亿元，同比增长11.63%。受委托办理住房公积金缴存业务的银行1家。</w:t>
      </w:r>
    </w:p>
    <w:p w14:paraId="0C670801">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图1：2020-2024年缴存额情况</w:t>
      </w:r>
    </w:p>
    <w:p w14:paraId="529D62F1">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drawing>
          <wp:inline distT="0" distB="0" distL="114300" distR="114300">
            <wp:extent cx="5271135" cy="2980055"/>
            <wp:effectExtent l="0" t="0" r="0" b="0"/>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4"/>
                    <a:stretch>
                      <a:fillRect/>
                    </a:stretch>
                  </pic:blipFill>
                  <pic:spPr>
                    <a:xfrm>
                      <a:off x="0" y="0"/>
                      <a:ext cx="5271135" cy="2980055"/>
                    </a:xfrm>
                    <a:prstGeom prst="rect">
                      <a:avLst/>
                    </a:prstGeom>
                    <a:noFill/>
                    <a:ln w="9525">
                      <a:noFill/>
                    </a:ln>
                  </pic:spPr>
                </pic:pic>
              </a:graphicData>
            </a:graphic>
          </wp:inline>
        </w:drawing>
      </w:r>
    </w:p>
    <w:p w14:paraId="2CA5CB15">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（二）提取</w:t>
      </w:r>
      <w:r>
        <w:rPr>
          <w:rFonts w:hint="eastAsia" w:ascii="宋体" w:hAnsi="宋体" w:eastAsia="宋体" w:cs="宋体"/>
          <w:i w:val="0"/>
          <w:iCs w:val="0"/>
          <w:caps w:val="0"/>
          <w:color w:val="auto"/>
          <w:spacing w:val="12"/>
          <w:sz w:val="28"/>
          <w:szCs w:val="28"/>
        </w:rPr>
        <w:t>：2024年，403.75万名缴存职工提取住房公积金；提取额1693.90亿元，同比增长3.00%；提取额占当年缴存额的65.29%，比上年减少1.21个百分点。2024年末，提取总额13367.31亿元，比上年增长14.51%。</w:t>
      </w:r>
    </w:p>
    <w:p w14:paraId="673368C1">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图2：2020-2024年提取额情况</w:t>
      </w:r>
    </w:p>
    <w:p w14:paraId="10D10F5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drawing>
          <wp:inline distT="0" distB="0" distL="114300" distR="114300">
            <wp:extent cx="5269865" cy="2955925"/>
            <wp:effectExtent l="0" t="0" r="0"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5269865" cy="2955925"/>
                    </a:xfrm>
                    <a:prstGeom prst="rect">
                      <a:avLst/>
                    </a:prstGeom>
                    <a:noFill/>
                    <a:ln w="9525">
                      <a:noFill/>
                    </a:ln>
                  </pic:spPr>
                </pic:pic>
              </a:graphicData>
            </a:graphic>
          </wp:inline>
        </w:drawing>
      </w:r>
    </w:p>
    <w:p w14:paraId="72AFAF8E">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（三）贷款。</w:t>
      </w:r>
    </w:p>
    <w:p w14:paraId="7145EAE1">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1.个人住房贷款：</w:t>
      </w:r>
      <w:r>
        <w:rPr>
          <w:rFonts w:hint="eastAsia" w:ascii="宋体" w:hAnsi="宋体" w:eastAsia="宋体" w:cs="宋体"/>
          <w:i w:val="0"/>
          <w:iCs w:val="0"/>
          <w:caps w:val="0"/>
          <w:color w:val="auto"/>
          <w:spacing w:val="12"/>
          <w:sz w:val="28"/>
          <w:szCs w:val="28"/>
        </w:rPr>
        <w:t>本市购买首套住房家庭最高贷款额度为130万元（个人为65万元），缴交补充公积金的最高贷款额度为160万元（个人为80万元）,多子女家庭在本市购买首套住房，最高贷款限额（含补充公积金最高贷款限额）在以上基础上上浮20%；本市购买第二套改善型住房家庭最高贷款额度为100万元（个人为50万元），缴交补充公积金的最高贷款额度为130万元（个人为65万元）。</w:t>
      </w:r>
    </w:p>
    <w:p w14:paraId="786278E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08" w:firstLineChars="200"/>
        <w:jc w:val="left"/>
        <w:textAlignment w:val="auto"/>
        <w:rPr>
          <w:rFonts w:hint="eastAsia" w:ascii="宋体" w:hAnsi="宋体" w:eastAsia="宋体" w:cs="宋体"/>
          <w:color w:val="auto"/>
          <w:spacing w:val="12"/>
          <w:sz w:val="28"/>
          <w:szCs w:val="28"/>
        </w:rPr>
      </w:pPr>
      <w:r>
        <w:rPr>
          <w:rFonts w:hint="eastAsia" w:ascii="宋体" w:hAnsi="宋体" w:eastAsia="宋体" w:cs="宋体"/>
          <w:i w:val="0"/>
          <w:iCs w:val="0"/>
          <w:caps w:val="0"/>
          <w:color w:val="auto"/>
          <w:spacing w:val="12"/>
          <w:sz w:val="28"/>
          <w:szCs w:val="28"/>
        </w:rPr>
        <w:t>2024年，发放个人住房贷款10.90万笔951.23亿元，同比分别下降1.05%、增长14.27%。</w:t>
      </w:r>
    </w:p>
    <w:p w14:paraId="4AD2BFD2">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08" w:firstLineChars="200"/>
        <w:jc w:val="left"/>
        <w:textAlignment w:val="auto"/>
        <w:rPr>
          <w:rFonts w:hint="eastAsia" w:ascii="宋体" w:hAnsi="宋体" w:eastAsia="宋体" w:cs="宋体"/>
          <w:color w:val="auto"/>
          <w:spacing w:val="12"/>
          <w:sz w:val="28"/>
          <w:szCs w:val="28"/>
        </w:rPr>
      </w:pPr>
      <w:r>
        <w:rPr>
          <w:rFonts w:hint="eastAsia" w:ascii="宋体" w:hAnsi="宋体" w:eastAsia="宋体" w:cs="宋体"/>
          <w:i w:val="0"/>
          <w:iCs w:val="0"/>
          <w:caps w:val="0"/>
          <w:color w:val="auto"/>
          <w:spacing w:val="12"/>
          <w:sz w:val="28"/>
          <w:szCs w:val="28"/>
        </w:rPr>
        <w:t>2024年，回收个人住房贷款781.58亿元。</w:t>
      </w:r>
    </w:p>
    <w:p w14:paraId="1FA5F4A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08" w:firstLineChars="200"/>
        <w:jc w:val="left"/>
        <w:textAlignment w:val="auto"/>
        <w:rPr>
          <w:rFonts w:hint="eastAsia" w:ascii="宋体" w:hAnsi="宋体" w:eastAsia="宋体" w:cs="宋体"/>
          <w:color w:val="auto"/>
          <w:spacing w:val="12"/>
          <w:sz w:val="28"/>
          <w:szCs w:val="28"/>
        </w:rPr>
      </w:pPr>
      <w:r>
        <w:rPr>
          <w:rFonts w:hint="eastAsia" w:ascii="宋体" w:hAnsi="宋体" w:eastAsia="宋体" w:cs="宋体"/>
          <w:i w:val="0"/>
          <w:iCs w:val="0"/>
          <w:caps w:val="0"/>
          <w:color w:val="auto"/>
          <w:spacing w:val="12"/>
          <w:sz w:val="28"/>
          <w:szCs w:val="28"/>
        </w:rPr>
        <w:t>2024年末，累计发放个人住房贷款333.05万笔13535.24亿元，贷款余额6191.94亿元，分别比上年增长3.39%、7.56%、2.82%。个人住房贷款余额占缴存余额的71.62%，比上年末减少6.14个百分点。受委托办理住房公积金个人住房贷款业务的银行20家。</w:t>
      </w:r>
    </w:p>
    <w:p w14:paraId="2A715FC6">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图3：2020-2024年住房公积金个人住房贷款发放额情况</w:t>
      </w:r>
    </w:p>
    <w:p w14:paraId="7E8C7E0E">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drawing>
          <wp:inline distT="0" distB="0" distL="114300" distR="114300">
            <wp:extent cx="5273040" cy="2865120"/>
            <wp:effectExtent l="0" t="0" r="0" b="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5273040" cy="2865120"/>
                    </a:xfrm>
                    <a:prstGeom prst="rect">
                      <a:avLst/>
                    </a:prstGeom>
                    <a:noFill/>
                    <a:ln w="9525">
                      <a:noFill/>
                    </a:ln>
                  </pic:spPr>
                </pic:pic>
              </a:graphicData>
            </a:graphic>
          </wp:inline>
        </w:drawing>
      </w:r>
    </w:p>
    <w:p w14:paraId="46E95142">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2.异地贷款：</w:t>
      </w:r>
      <w:r>
        <w:rPr>
          <w:rFonts w:hint="eastAsia" w:ascii="宋体" w:hAnsi="宋体" w:eastAsia="宋体" w:cs="宋体"/>
          <w:i w:val="0"/>
          <w:iCs w:val="0"/>
          <w:caps w:val="0"/>
          <w:color w:val="auto"/>
          <w:spacing w:val="12"/>
          <w:sz w:val="28"/>
          <w:szCs w:val="28"/>
        </w:rPr>
        <w:t>2024年，发放异地贷款1066笔12.50亿元。2024年末，发放异地贷款总额25.99亿元，异地贷款余额23.18亿元。</w:t>
      </w:r>
    </w:p>
    <w:p w14:paraId="75719D5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3.住房公积金贴息贷款：</w:t>
      </w:r>
      <w:r>
        <w:rPr>
          <w:rFonts w:hint="eastAsia" w:ascii="宋体" w:hAnsi="宋体" w:eastAsia="宋体" w:cs="宋体"/>
          <w:i w:val="0"/>
          <w:iCs w:val="0"/>
          <w:caps w:val="0"/>
          <w:color w:val="auto"/>
          <w:spacing w:val="12"/>
          <w:sz w:val="28"/>
          <w:szCs w:val="28"/>
        </w:rPr>
        <w:t>2024年，未发放住房公积金贴息贷款，至年末贴息贷款余额为零。</w:t>
      </w:r>
    </w:p>
    <w:p w14:paraId="092D53F6">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（四）购买国债：</w:t>
      </w:r>
      <w:r>
        <w:rPr>
          <w:rFonts w:hint="eastAsia" w:ascii="宋体" w:hAnsi="宋体" w:eastAsia="宋体" w:cs="宋体"/>
          <w:i w:val="0"/>
          <w:iCs w:val="0"/>
          <w:caps w:val="0"/>
          <w:color w:val="auto"/>
          <w:spacing w:val="12"/>
          <w:sz w:val="28"/>
          <w:szCs w:val="28"/>
        </w:rPr>
        <w:t>2024年未购买国债，至年末国债余额为零。</w:t>
      </w:r>
    </w:p>
    <w:p w14:paraId="702ED43A">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（五）资产证券化：</w:t>
      </w:r>
      <w:r>
        <w:rPr>
          <w:rFonts w:hint="eastAsia" w:ascii="宋体" w:hAnsi="宋体" w:eastAsia="宋体" w:cs="宋体"/>
          <w:i w:val="0"/>
          <w:iCs w:val="0"/>
          <w:caps w:val="0"/>
          <w:color w:val="auto"/>
          <w:spacing w:val="12"/>
          <w:sz w:val="28"/>
          <w:szCs w:val="28"/>
        </w:rPr>
        <w:t>2024年末，个人住房贷款资产支持证券的未偿付贷款笔数为3.94万笔，本金余额为47.66亿元。</w:t>
      </w:r>
    </w:p>
    <w:p w14:paraId="59E4A2BE">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（六）资金存储：</w:t>
      </w:r>
      <w:r>
        <w:rPr>
          <w:rFonts w:hint="eastAsia" w:ascii="宋体" w:hAnsi="宋体" w:eastAsia="宋体" w:cs="宋体"/>
          <w:i w:val="0"/>
          <w:iCs w:val="0"/>
          <w:caps w:val="0"/>
          <w:color w:val="auto"/>
          <w:spacing w:val="12"/>
          <w:sz w:val="28"/>
          <w:szCs w:val="28"/>
        </w:rPr>
        <w:t>2024年末，住房公积金存款2543.08亿元，其中，1年（含）以下定期125.00亿元，1年以上定期1693.00亿元，其他（协定、通知存款等）725.08亿元。</w:t>
      </w:r>
    </w:p>
    <w:p w14:paraId="39A08867">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（七）资金运用率：</w:t>
      </w:r>
      <w:r>
        <w:rPr>
          <w:rFonts w:hint="eastAsia" w:ascii="宋体" w:hAnsi="宋体" w:eastAsia="宋体" w:cs="宋体"/>
          <w:i w:val="0"/>
          <w:iCs w:val="0"/>
          <w:caps w:val="0"/>
          <w:color w:val="auto"/>
          <w:spacing w:val="12"/>
          <w:sz w:val="28"/>
          <w:szCs w:val="28"/>
        </w:rPr>
        <w:t>2024年末，住房公积金个人住房贷款余额和项目贷款余额的总和占缴存余额的71.62%，比上年末减少6.14个百分点。</w:t>
      </w:r>
    </w:p>
    <w:p w14:paraId="5AAC661B">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三、主要财务数据</w:t>
      </w:r>
    </w:p>
    <w:p w14:paraId="4FCE76E6">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（一）业务收入：</w:t>
      </w:r>
      <w:r>
        <w:rPr>
          <w:rFonts w:hint="eastAsia" w:ascii="宋体" w:hAnsi="宋体" w:eastAsia="宋体" w:cs="宋体"/>
          <w:i w:val="0"/>
          <w:iCs w:val="0"/>
          <w:caps w:val="0"/>
          <w:color w:val="auto"/>
          <w:spacing w:val="12"/>
          <w:sz w:val="28"/>
          <w:szCs w:val="28"/>
        </w:rPr>
        <w:t>2024年，业务收入272.88亿元，同比增长11.27%。其中，住房公积金业务收入268.98亿元，包括存款利息77.76亿元，委托贷款利息191.13亿元，其他0.09亿元。</w:t>
      </w:r>
    </w:p>
    <w:p w14:paraId="7C1D8C7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（二）业务支出：</w:t>
      </w:r>
      <w:r>
        <w:rPr>
          <w:rFonts w:hint="eastAsia" w:ascii="宋体" w:hAnsi="宋体" w:eastAsia="宋体" w:cs="宋体"/>
          <w:i w:val="0"/>
          <w:iCs w:val="0"/>
          <w:caps w:val="0"/>
          <w:color w:val="auto"/>
          <w:spacing w:val="12"/>
          <w:sz w:val="28"/>
          <w:szCs w:val="28"/>
        </w:rPr>
        <w:t>2024年，业务支出133.20亿元，同比增长11.53%。其中，住房公积金业务支出131.85亿元，包括支付职工住房公积金利息125.20亿元，归集手续费2.79亿元，委托贷款手续费3.86亿元。</w:t>
      </w:r>
    </w:p>
    <w:p w14:paraId="2F6CC14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（三）增值收益：</w:t>
      </w:r>
      <w:r>
        <w:rPr>
          <w:rFonts w:hint="eastAsia" w:ascii="宋体" w:hAnsi="宋体" w:eastAsia="宋体" w:cs="宋体"/>
          <w:i w:val="0"/>
          <w:iCs w:val="0"/>
          <w:caps w:val="0"/>
          <w:color w:val="auto"/>
          <w:spacing w:val="12"/>
          <w:sz w:val="28"/>
          <w:szCs w:val="28"/>
        </w:rPr>
        <w:t>2024年，增值收益139.68亿元。其中：</w:t>
      </w:r>
    </w:p>
    <w:p w14:paraId="46934BD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08" w:firstLineChars="200"/>
        <w:jc w:val="left"/>
        <w:textAlignment w:val="auto"/>
        <w:rPr>
          <w:rFonts w:hint="eastAsia" w:ascii="宋体" w:hAnsi="宋体" w:eastAsia="宋体" w:cs="宋体"/>
          <w:color w:val="auto"/>
          <w:spacing w:val="12"/>
          <w:sz w:val="28"/>
          <w:szCs w:val="28"/>
        </w:rPr>
      </w:pPr>
      <w:r>
        <w:rPr>
          <w:rFonts w:hint="eastAsia" w:ascii="宋体" w:hAnsi="宋体" w:eastAsia="宋体" w:cs="宋体"/>
          <w:i w:val="0"/>
          <w:iCs w:val="0"/>
          <w:caps w:val="0"/>
          <w:color w:val="auto"/>
          <w:spacing w:val="12"/>
          <w:sz w:val="28"/>
          <w:szCs w:val="28"/>
        </w:rPr>
        <w:t>住房公积金增值收益137.13亿元，同比增长10.87%。当年增值收益率1.67%，比上年减少0.01个百分点。</w:t>
      </w:r>
    </w:p>
    <w:p w14:paraId="2652012B">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08" w:firstLineChars="200"/>
        <w:jc w:val="left"/>
        <w:textAlignment w:val="auto"/>
        <w:rPr>
          <w:rFonts w:hint="eastAsia" w:ascii="宋体" w:hAnsi="宋体" w:eastAsia="宋体" w:cs="宋体"/>
          <w:color w:val="auto"/>
          <w:spacing w:val="12"/>
          <w:sz w:val="28"/>
          <w:szCs w:val="28"/>
        </w:rPr>
      </w:pPr>
      <w:r>
        <w:rPr>
          <w:rFonts w:hint="eastAsia" w:ascii="宋体" w:hAnsi="宋体" w:eastAsia="宋体" w:cs="宋体"/>
          <w:i w:val="0"/>
          <w:iCs w:val="0"/>
          <w:caps w:val="0"/>
          <w:color w:val="auto"/>
          <w:spacing w:val="12"/>
          <w:sz w:val="28"/>
          <w:szCs w:val="28"/>
        </w:rPr>
        <w:t>城市廉租住房建设补充资金增值收益2.55亿元。</w:t>
      </w:r>
    </w:p>
    <w:p w14:paraId="55F3E2F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（四）增值收益分配：</w:t>
      </w:r>
      <w:r>
        <w:rPr>
          <w:rFonts w:hint="eastAsia" w:ascii="宋体" w:hAnsi="宋体" w:eastAsia="宋体" w:cs="宋体"/>
          <w:i w:val="0"/>
          <w:iCs w:val="0"/>
          <w:caps w:val="0"/>
          <w:color w:val="auto"/>
          <w:spacing w:val="12"/>
          <w:sz w:val="28"/>
          <w:szCs w:val="28"/>
        </w:rPr>
        <w:t>2024年，提取贷款风险准备金109.71亿元，提取管理费用2.02亿元，提取城市廉租住房建设补充资金27.95亿元（含城市廉租住房建设补充资金增值收益2.55亿元）。</w:t>
      </w:r>
    </w:p>
    <w:p w14:paraId="2045B826">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08" w:firstLineChars="200"/>
        <w:jc w:val="left"/>
        <w:textAlignment w:val="auto"/>
        <w:rPr>
          <w:rFonts w:hint="eastAsia" w:ascii="宋体" w:hAnsi="宋体" w:eastAsia="宋体" w:cs="宋体"/>
          <w:color w:val="auto"/>
          <w:spacing w:val="12"/>
          <w:sz w:val="28"/>
          <w:szCs w:val="28"/>
        </w:rPr>
      </w:pPr>
      <w:r>
        <w:rPr>
          <w:rFonts w:hint="eastAsia" w:ascii="宋体" w:hAnsi="宋体" w:eastAsia="宋体" w:cs="宋体"/>
          <w:i w:val="0"/>
          <w:iCs w:val="0"/>
          <w:caps w:val="0"/>
          <w:color w:val="auto"/>
          <w:spacing w:val="12"/>
          <w:sz w:val="28"/>
          <w:szCs w:val="28"/>
        </w:rPr>
        <w:t>2024年，上交管理费用2.02亿元。上缴财政城市廉租住房建设补充资金22.73亿元。</w:t>
      </w:r>
    </w:p>
    <w:p w14:paraId="7F6BFF31">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08" w:firstLineChars="200"/>
        <w:jc w:val="left"/>
        <w:textAlignment w:val="auto"/>
        <w:rPr>
          <w:rFonts w:hint="eastAsia" w:ascii="宋体" w:hAnsi="宋体" w:eastAsia="宋体" w:cs="宋体"/>
          <w:color w:val="auto"/>
          <w:spacing w:val="12"/>
          <w:sz w:val="28"/>
          <w:szCs w:val="28"/>
        </w:rPr>
      </w:pPr>
      <w:r>
        <w:rPr>
          <w:rFonts w:hint="eastAsia" w:ascii="宋体" w:hAnsi="宋体" w:eastAsia="宋体" w:cs="宋体"/>
          <w:i w:val="0"/>
          <w:iCs w:val="0"/>
          <w:caps w:val="0"/>
          <w:color w:val="auto"/>
          <w:spacing w:val="12"/>
          <w:sz w:val="28"/>
          <w:szCs w:val="28"/>
        </w:rPr>
        <w:t>2024年末，贷款风险准备金余额879.31亿元。累计提取城市廉租住房建设补充资金346.45亿元。</w:t>
      </w:r>
    </w:p>
    <w:p w14:paraId="0742263A">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（五）管理费用支出：</w:t>
      </w:r>
      <w:r>
        <w:rPr>
          <w:rFonts w:hint="eastAsia" w:ascii="宋体" w:hAnsi="宋体" w:eastAsia="宋体" w:cs="宋体"/>
          <w:i w:val="0"/>
          <w:iCs w:val="0"/>
          <w:caps w:val="0"/>
          <w:color w:val="auto"/>
          <w:spacing w:val="12"/>
          <w:sz w:val="28"/>
          <w:szCs w:val="28"/>
        </w:rPr>
        <w:t>2024年，管理费用支出2.02亿元，同比增长0.50%。其中，人员经费1.19亿元，公用经费0.26亿元，专项经费0.57亿元。</w:t>
      </w:r>
    </w:p>
    <w:p w14:paraId="1B1DC387">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四、资产风险状况</w:t>
      </w:r>
    </w:p>
    <w:p w14:paraId="4A75234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个人住房贷款：</w:t>
      </w:r>
      <w:r>
        <w:rPr>
          <w:rFonts w:hint="eastAsia" w:ascii="宋体" w:hAnsi="宋体" w:eastAsia="宋体" w:cs="宋体"/>
          <w:i w:val="0"/>
          <w:iCs w:val="0"/>
          <w:caps w:val="0"/>
          <w:color w:val="auto"/>
          <w:spacing w:val="12"/>
          <w:sz w:val="28"/>
          <w:szCs w:val="28"/>
        </w:rPr>
        <w:t>2024年末，个人住房贷款逾期额3.68亿元，逾期率0.594‰。个人贷款风险准备金余额879.31亿元。2024年，未使用个人贷款风险准备金核销逾期贷款。</w:t>
      </w:r>
    </w:p>
    <w:p w14:paraId="00ED1092">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五、社会经济效益</w:t>
      </w:r>
    </w:p>
    <w:p w14:paraId="36E26764">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（一）缴存业务</w:t>
      </w:r>
      <w:r>
        <w:rPr>
          <w:rFonts w:hint="eastAsia" w:ascii="宋体" w:hAnsi="宋体" w:eastAsia="宋体" w:cs="宋体"/>
          <w:i w:val="0"/>
          <w:iCs w:val="0"/>
          <w:caps w:val="0"/>
          <w:color w:val="auto"/>
          <w:spacing w:val="12"/>
          <w:sz w:val="28"/>
          <w:szCs w:val="28"/>
        </w:rPr>
        <w:t>。</w:t>
      </w:r>
    </w:p>
    <w:p w14:paraId="00B9814C">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08" w:firstLineChars="200"/>
        <w:jc w:val="left"/>
        <w:textAlignment w:val="auto"/>
        <w:rPr>
          <w:rFonts w:hint="eastAsia" w:ascii="宋体" w:hAnsi="宋体" w:eastAsia="宋体" w:cs="宋体"/>
          <w:color w:val="auto"/>
          <w:spacing w:val="12"/>
          <w:sz w:val="28"/>
          <w:szCs w:val="28"/>
        </w:rPr>
      </w:pPr>
      <w:r>
        <w:rPr>
          <w:rFonts w:hint="eastAsia" w:ascii="宋体" w:hAnsi="宋体" w:eastAsia="宋体" w:cs="宋体"/>
          <w:i w:val="0"/>
          <w:iCs w:val="0"/>
          <w:caps w:val="0"/>
          <w:color w:val="auto"/>
          <w:spacing w:val="12"/>
          <w:sz w:val="28"/>
          <w:szCs w:val="28"/>
        </w:rPr>
        <w:t>缴存职工中，国家机关和事业单位占8.41%，国有企业占13.85%，城镇集体企业占1.51%，外商投资企业占16.41%，城镇私营企业及其他城镇企业占56.67%，民办非企业单位和社会团体占1.21%，灵活就业人员占0.05%，其他占1.89%；中、低收入占91.88%，高收入占8.12%。</w:t>
      </w:r>
    </w:p>
    <w:p w14:paraId="087C5957">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Style w:val="6"/>
          <w:rFonts w:hint="eastAsia" w:ascii="宋体" w:hAnsi="宋体" w:eastAsia="宋体" w:cs="宋体"/>
          <w:b/>
          <w:bCs/>
          <w:i w:val="0"/>
          <w:iCs w:val="0"/>
          <w:caps w:val="0"/>
          <w:color w:val="auto"/>
          <w:spacing w:val="12"/>
          <w:sz w:val="28"/>
          <w:szCs w:val="28"/>
        </w:rPr>
      </w:pPr>
    </w:p>
    <w:p w14:paraId="05AA282A">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Style w:val="6"/>
          <w:rFonts w:hint="eastAsia" w:ascii="宋体" w:hAnsi="宋体" w:eastAsia="宋体" w:cs="宋体"/>
          <w:b/>
          <w:bCs/>
          <w:i w:val="0"/>
          <w:iCs w:val="0"/>
          <w:caps w:val="0"/>
          <w:color w:val="auto"/>
          <w:spacing w:val="12"/>
          <w:sz w:val="28"/>
          <w:szCs w:val="28"/>
        </w:rPr>
      </w:pPr>
    </w:p>
    <w:p w14:paraId="6FC3FD51">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图4：2024年实缴职工按所在单位性质分类</w:t>
      </w:r>
    </w:p>
    <w:p w14:paraId="55ADEF24">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08" w:firstLineChars="200"/>
        <w:jc w:val="left"/>
        <w:textAlignment w:val="auto"/>
        <w:rPr>
          <w:rFonts w:hint="eastAsia" w:ascii="宋体" w:hAnsi="宋体" w:eastAsia="宋体" w:cs="宋体"/>
          <w:color w:val="auto"/>
          <w:spacing w:val="12"/>
          <w:sz w:val="28"/>
          <w:szCs w:val="28"/>
        </w:rPr>
      </w:pPr>
      <w:r>
        <w:rPr>
          <w:rFonts w:hint="eastAsia" w:ascii="宋体" w:hAnsi="宋体" w:eastAsia="宋体" w:cs="宋体"/>
          <w:i w:val="0"/>
          <w:iCs w:val="0"/>
          <w:caps w:val="0"/>
          <w:color w:val="auto"/>
          <w:spacing w:val="12"/>
          <w:sz w:val="28"/>
          <w:szCs w:val="28"/>
        </w:rPr>
        <w:drawing>
          <wp:inline distT="0" distB="0" distL="114300" distR="114300">
            <wp:extent cx="5274310" cy="2186305"/>
            <wp:effectExtent l="0" t="0" r="0" b="0"/>
            <wp:docPr id="6"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9"/>
                    <pic:cNvPicPr>
                      <a:picLocks noChangeAspect="1"/>
                    </pic:cNvPicPr>
                  </pic:nvPicPr>
                  <pic:blipFill>
                    <a:blip r:embed="rId7"/>
                    <a:stretch>
                      <a:fillRect/>
                    </a:stretch>
                  </pic:blipFill>
                  <pic:spPr>
                    <a:xfrm>
                      <a:off x="0" y="0"/>
                      <a:ext cx="5274310" cy="2186305"/>
                    </a:xfrm>
                    <a:prstGeom prst="rect">
                      <a:avLst/>
                    </a:prstGeom>
                    <a:noFill/>
                    <a:ln w="9525">
                      <a:noFill/>
                    </a:ln>
                  </pic:spPr>
                </pic:pic>
              </a:graphicData>
            </a:graphic>
          </wp:inline>
        </w:drawing>
      </w:r>
    </w:p>
    <w:p w14:paraId="07991836">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08" w:firstLineChars="200"/>
        <w:jc w:val="left"/>
        <w:textAlignment w:val="auto"/>
        <w:rPr>
          <w:rFonts w:hint="eastAsia" w:ascii="宋体" w:hAnsi="宋体" w:eastAsia="宋体" w:cs="宋体"/>
          <w:color w:val="auto"/>
          <w:spacing w:val="12"/>
          <w:sz w:val="28"/>
          <w:szCs w:val="28"/>
        </w:rPr>
      </w:pPr>
      <w:r>
        <w:rPr>
          <w:rFonts w:hint="eastAsia" w:ascii="宋体" w:hAnsi="宋体" w:eastAsia="宋体" w:cs="宋体"/>
          <w:i w:val="0"/>
          <w:iCs w:val="0"/>
          <w:caps w:val="0"/>
          <w:color w:val="auto"/>
          <w:spacing w:val="12"/>
          <w:sz w:val="28"/>
          <w:szCs w:val="28"/>
        </w:rPr>
        <w:t>新开户职工中，国家机关和事业单位占3.88%，国有企业占12.26%，城镇集体企业占1.53%，外商投资企业占13.64%，城镇私营企业及其他城镇企业占66.24%，民办非企业单位和社会团体占0.73%，灵活就业人员占0.01%，其他占1.71%；中、低收入占97.55%，高收入占2.45%。</w:t>
      </w:r>
    </w:p>
    <w:p w14:paraId="38B31F17">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（二）提取业务</w:t>
      </w:r>
      <w:r>
        <w:rPr>
          <w:rFonts w:hint="eastAsia" w:ascii="宋体" w:hAnsi="宋体" w:eastAsia="宋体" w:cs="宋体"/>
          <w:i w:val="0"/>
          <w:iCs w:val="0"/>
          <w:caps w:val="0"/>
          <w:color w:val="auto"/>
          <w:spacing w:val="12"/>
          <w:sz w:val="28"/>
          <w:szCs w:val="28"/>
        </w:rPr>
        <w:t>。</w:t>
      </w:r>
    </w:p>
    <w:p w14:paraId="7FF02D0B">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08" w:firstLineChars="200"/>
        <w:jc w:val="left"/>
        <w:textAlignment w:val="auto"/>
        <w:rPr>
          <w:rFonts w:hint="eastAsia" w:ascii="宋体" w:hAnsi="宋体" w:eastAsia="宋体" w:cs="宋体"/>
          <w:color w:val="auto"/>
          <w:spacing w:val="12"/>
          <w:sz w:val="28"/>
          <w:szCs w:val="28"/>
        </w:rPr>
      </w:pPr>
      <w:r>
        <w:rPr>
          <w:rFonts w:hint="eastAsia" w:ascii="宋体" w:hAnsi="宋体" w:eastAsia="宋体" w:cs="宋体"/>
          <w:i w:val="0"/>
          <w:iCs w:val="0"/>
          <w:caps w:val="0"/>
          <w:color w:val="auto"/>
          <w:spacing w:val="12"/>
          <w:sz w:val="28"/>
          <w:szCs w:val="28"/>
        </w:rPr>
        <w:t>提取金额中，偿还购房贷款本息占62.46%，租赁住房占12.20%，购买、建造、翻建、大修自住住房占4.97%，支持老旧小区改造占0.15%，离休和退休提取占15.16%，完全丧失劳动能力并与单位终止劳动关系提取占0.01%，出境定居占0.15%，其他占4.90%。</w:t>
      </w:r>
    </w:p>
    <w:p w14:paraId="73A61FB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Style w:val="6"/>
          <w:rFonts w:hint="eastAsia" w:ascii="宋体" w:hAnsi="宋体" w:eastAsia="宋体" w:cs="宋体"/>
          <w:b/>
          <w:bCs/>
          <w:i w:val="0"/>
          <w:iCs w:val="0"/>
          <w:caps w:val="0"/>
          <w:color w:val="auto"/>
          <w:spacing w:val="12"/>
          <w:sz w:val="28"/>
          <w:szCs w:val="28"/>
        </w:rPr>
      </w:pPr>
    </w:p>
    <w:p w14:paraId="439A834E">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Style w:val="6"/>
          <w:rFonts w:hint="eastAsia" w:ascii="宋体" w:hAnsi="宋体" w:eastAsia="宋体" w:cs="宋体"/>
          <w:b/>
          <w:bCs/>
          <w:i w:val="0"/>
          <w:iCs w:val="0"/>
          <w:caps w:val="0"/>
          <w:color w:val="auto"/>
          <w:spacing w:val="12"/>
          <w:sz w:val="28"/>
          <w:szCs w:val="28"/>
        </w:rPr>
      </w:pPr>
    </w:p>
    <w:p w14:paraId="0A06271A">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Style w:val="6"/>
          <w:rFonts w:hint="eastAsia" w:ascii="宋体" w:hAnsi="宋体" w:eastAsia="宋体" w:cs="宋体"/>
          <w:b/>
          <w:bCs/>
          <w:i w:val="0"/>
          <w:iCs w:val="0"/>
          <w:caps w:val="0"/>
          <w:color w:val="auto"/>
          <w:spacing w:val="12"/>
          <w:sz w:val="28"/>
          <w:szCs w:val="28"/>
        </w:rPr>
      </w:pPr>
    </w:p>
    <w:p w14:paraId="4148C4EC">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Style w:val="6"/>
          <w:rFonts w:hint="eastAsia" w:ascii="宋体" w:hAnsi="宋体" w:eastAsia="宋体" w:cs="宋体"/>
          <w:b/>
          <w:bCs/>
          <w:i w:val="0"/>
          <w:iCs w:val="0"/>
          <w:caps w:val="0"/>
          <w:color w:val="auto"/>
          <w:spacing w:val="12"/>
          <w:sz w:val="28"/>
          <w:szCs w:val="28"/>
        </w:rPr>
      </w:pPr>
    </w:p>
    <w:p w14:paraId="7D99FC4E">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图5：2024年住房公积金提取额按提取原因分类</w:t>
      </w:r>
    </w:p>
    <w:p w14:paraId="3291C1BD">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drawing>
          <wp:inline distT="0" distB="0" distL="114300" distR="114300">
            <wp:extent cx="5268595" cy="2161540"/>
            <wp:effectExtent l="0" t="0" r="0" b="0"/>
            <wp:docPr id="1"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IMG_260"/>
                    <pic:cNvPicPr>
                      <a:picLocks noChangeAspect="1"/>
                    </pic:cNvPicPr>
                  </pic:nvPicPr>
                  <pic:blipFill>
                    <a:blip r:embed="rId8"/>
                    <a:stretch>
                      <a:fillRect/>
                    </a:stretch>
                  </pic:blipFill>
                  <pic:spPr>
                    <a:xfrm>
                      <a:off x="0" y="0"/>
                      <a:ext cx="5268595" cy="2161540"/>
                    </a:xfrm>
                    <a:prstGeom prst="rect">
                      <a:avLst/>
                    </a:prstGeom>
                    <a:noFill/>
                    <a:ln w="9525">
                      <a:noFill/>
                    </a:ln>
                  </pic:spPr>
                </pic:pic>
              </a:graphicData>
            </a:graphic>
          </wp:inline>
        </w:drawing>
      </w:r>
    </w:p>
    <w:p w14:paraId="21046D45">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08" w:firstLineChars="200"/>
        <w:jc w:val="left"/>
        <w:textAlignment w:val="auto"/>
        <w:rPr>
          <w:rFonts w:hint="eastAsia" w:ascii="宋体" w:hAnsi="宋体" w:eastAsia="宋体" w:cs="宋体"/>
          <w:color w:val="auto"/>
          <w:spacing w:val="12"/>
          <w:sz w:val="28"/>
          <w:szCs w:val="28"/>
        </w:rPr>
      </w:pPr>
      <w:r>
        <w:rPr>
          <w:rFonts w:hint="eastAsia" w:ascii="宋体" w:hAnsi="宋体" w:eastAsia="宋体" w:cs="宋体"/>
          <w:i w:val="0"/>
          <w:iCs w:val="0"/>
          <w:caps w:val="0"/>
          <w:color w:val="auto"/>
          <w:spacing w:val="12"/>
          <w:sz w:val="28"/>
          <w:szCs w:val="28"/>
        </w:rPr>
        <w:t>提取职工中，中、低收入占88.20%，高收入占11.80%。</w:t>
      </w:r>
    </w:p>
    <w:p w14:paraId="45CC772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（三）贷款业务。</w:t>
      </w:r>
    </w:p>
    <w:p w14:paraId="60DD807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个人住房贷款：</w:t>
      </w:r>
      <w:r>
        <w:rPr>
          <w:rFonts w:hint="eastAsia" w:ascii="宋体" w:hAnsi="宋体" w:eastAsia="宋体" w:cs="宋体"/>
          <w:i w:val="0"/>
          <w:iCs w:val="0"/>
          <w:caps w:val="0"/>
          <w:color w:val="auto"/>
          <w:spacing w:val="12"/>
          <w:sz w:val="28"/>
          <w:szCs w:val="28"/>
        </w:rPr>
        <w:t>2024年，支持职工购建房996.73万平方米，年末个人住房贷款市场占有率为27.28%，比上年末增加0.04个百分点。通过申请住房公积金个人住房贷款，在贷款合同约定的存续期内可节约职工购房利息支出93.62亿元。</w:t>
      </w:r>
    </w:p>
    <w:p w14:paraId="303B96CD">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08" w:firstLineChars="200"/>
        <w:jc w:val="left"/>
        <w:textAlignment w:val="auto"/>
        <w:rPr>
          <w:rFonts w:hint="eastAsia" w:ascii="宋体" w:hAnsi="宋体" w:eastAsia="宋体" w:cs="宋体"/>
          <w:color w:val="auto"/>
          <w:spacing w:val="12"/>
          <w:sz w:val="28"/>
          <w:szCs w:val="28"/>
        </w:rPr>
      </w:pPr>
      <w:r>
        <w:rPr>
          <w:rFonts w:hint="eastAsia" w:ascii="宋体" w:hAnsi="宋体" w:eastAsia="宋体" w:cs="宋体"/>
          <w:i w:val="0"/>
          <w:iCs w:val="0"/>
          <w:caps w:val="0"/>
          <w:color w:val="auto"/>
          <w:spacing w:val="12"/>
          <w:sz w:val="28"/>
          <w:szCs w:val="28"/>
        </w:rPr>
        <w:t>职工贷款笔数中，购房建筑面积90（含）平方米以下占50.06%，90-144（含）平方米占44.82%，144平方米以上占5.12%。购买新房占30.29%（其中购买保障性住房占0.53%），购买二手房占69.71%。</w:t>
      </w:r>
    </w:p>
    <w:p w14:paraId="737B159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Style w:val="6"/>
          <w:rFonts w:hint="eastAsia" w:ascii="宋体" w:hAnsi="宋体" w:eastAsia="宋体" w:cs="宋体"/>
          <w:b/>
          <w:bCs/>
          <w:i w:val="0"/>
          <w:iCs w:val="0"/>
          <w:caps w:val="0"/>
          <w:color w:val="auto"/>
          <w:spacing w:val="12"/>
          <w:sz w:val="28"/>
          <w:szCs w:val="28"/>
        </w:rPr>
      </w:pPr>
    </w:p>
    <w:p w14:paraId="4A424F3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Style w:val="6"/>
          <w:rFonts w:hint="eastAsia" w:ascii="宋体" w:hAnsi="宋体" w:eastAsia="宋体" w:cs="宋体"/>
          <w:b/>
          <w:bCs/>
          <w:i w:val="0"/>
          <w:iCs w:val="0"/>
          <w:caps w:val="0"/>
          <w:color w:val="auto"/>
          <w:spacing w:val="12"/>
          <w:sz w:val="28"/>
          <w:szCs w:val="28"/>
        </w:rPr>
      </w:pPr>
    </w:p>
    <w:p w14:paraId="1B94D01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Style w:val="6"/>
          <w:rFonts w:hint="eastAsia" w:ascii="宋体" w:hAnsi="宋体" w:eastAsia="宋体" w:cs="宋体"/>
          <w:b/>
          <w:bCs/>
          <w:i w:val="0"/>
          <w:iCs w:val="0"/>
          <w:caps w:val="0"/>
          <w:color w:val="auto"/>
          <w:spacing w:val="12"/>
          <w:sz w:val="28"/>
          <w:szCs w:val="28"/>
        </w:rPr>
      </w:pPr>
    </w:p>
    <w:p w14:paraId="5E829B04">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Style w:val="6"/>
          <w:rFonts w:hint="eastAsia" w:ascii="宋体" w:hAnsi="宋体" w:eastAsia="宋体" w:cs="宋体"/>
          <w:b/>
          <w:bCs/>
          <w:i w:val="0"/>
          <w:iCs w:val="0"/>
          <w:caps w:val="0"/>
          <w:color w:val="auto"/>
          <w:spacing w:val="12"/>
          <w:sz w:val="28"/>
          <w:szCs w:val="28"/>
        </w:rPr>
      </w:pPr>
    </w:p>
    <w:p w14:paraId="0F677FD7">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Style w:val="6"/>
          <w:rFonts w:hint="eastAsia" w:ascii="宋体" w:hAnsi="宋体" w:eastAsia="宋体" w:cs="宋体"/>
          <w:b/>
          <w:bCs/>
          <w:i w:val="0"/>
          <w:iCs w:val="0"/>
          <w:caps w:val="0"/>
          <w:color w:val="auto"/>
          <w:spacing w:val="12"/>
          <w:sz w:val="28"/>
          <w:szCs w:val="28"/>
        </w:rPr>
      </w:pPr>
    </w:p>
    <w:p w14:paraId="48EE401C">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Style w:val="6"/>
          <w:rFonts w:hint="eastAsia" w:ascii="宋体" w:hAnsi="宋体" w:eastAsia="宋体" w:cs="宋体"/>
          <w:b/>
          <w:bCs/>
          <w:i w:val="0"/>
          <w:iCs w:val="0"/>
          <w:caps w:val="0"/>
          <w:color w:val="auto"/>
          <w:spacing w:val="12"/>
          <w:sz w:val="28"/>
          <w:szCs w:val="28"/>
        </w:rPr>
      </w:pPr>
    </w:p>
    <w:p w14:paraId="4DF4504D">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图6：2024年个人住房贷款职工贷款笔数按面积分类</w:t>
      </w:r>
    </w:p>
    <w:p w14:paraId="75407A5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drawing>
          <wp:inline distT="0" distB="0" distL="114300" distR="114300">
            <wp:extent cx="5269230" cy="3070225"/>
            <wp:effectExtent l="0" t="0" r="0" b="0"/>
            <wp:docPr id="4"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descr="IMG_261"/>
                    <pic:cNvPicPr>
                      <a:picLocks noChangeAspect="1"/>
                    </pic:cNvPicPr>
                  </pic:nvPicPr>
                  <pic:blipFill>
                    <a:blip r:embed="rId9"/>
                    <a:stretch>
                      <a:fillRect/>
                    </a:stretch>
                  </pic:blipFill>
                  <pic:spPr>
                    <a:xfrm>
                      <a:off x="0" y="0"/>
                      <a:ext cx="5269230" cy="3070225"/>
                    </a:xfrm>
                    <a:prstGeom prst="rect">
                      <a:avLst/>
                    </a:prstGeom>
                    <a:noFill/>
                    <a:ln w="9525">
                      <a:noFill/>
                    </a:ln>
                  </pic:spPr>
                </pic:pic>
              </a:graphicData>
            </a:graphic>
          </wp:inline>
        </w:drawing>
      </w:r>
    </w:p>
    <w:p w14:paraId="4BA45E96">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08" w:firstLineChars="200"/>
        <w:jc w:val="left"/>
        <w:textAlignment w:val="auto"/>
        <w:rPr>
          <w:rFonts w:hint="eastAsia" w:ascii="宋体" w:hAnsi="宋体" w:eastAsia="宋体" w:cs="宋体"/>
          <w:color w:val="auto"/>
          <w:spacing w:val="12"/>
          <w:sz w:val="28"/>
          <w:szCs w:val="28"/>
        </w:rPr>
      </w:pPr>
      <w:r>
        <w:rPr>
          <w:rFonts w:hint="eastAsia" w:ascii="宋体" w:hAnsi="宋体" w:eastAsia="宋体" w:cs="宋体"/>
          <w:i w:val="0"/>
          <w:iCs w:val="0"/>
          <w:caps w:val="0"/>
          <w:color w:val="auto"/>
          <w:spacing w:val="12"/>
          <w:sz w:val="28"/>
          <w:szCs w:val="28"/>
        </w:rPr>
        <w:t>职工贷款笔数中，单缴存职工申请贷款占50.11%，双缴存职工申请贷款占49.76%，三人及以上缴存职工共同申请贷款占0.13%。</w:t>
      </w:r>
    </w:p>
    <w:p w14:paraId="40A9E806">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08" w:firstLineChars="200"/>
        <w:jc w:val="left"/>
        <w:textAlignment w:val="auto"/>
        <w:rPr>
          <w:rFonts w:hint="eastAsia" w:ascii="宋体" w:hAnsi="宋体" w:eastAsia="宋体" w:cs="宋体"/>
          <w:color w:val="auto"/>
          <w:spacing w:val="12"/>
          <w:sz w:val="28"/>
          <w:szCs w:val="28"/>
        </w:rPr>
      </w:pPr>
      <w:r>
        <w:rPr>
          <w:rFonts w:hint="eastAsia" w:ascii="宋体" w:hAnsi="宋体" w:eastAsia="宋体" w:cs="宋体"/>
          <w:i w:val="0"/>
          <w:iCs w:val="0"/>
          <w:caps w:val="0"/>
          <w:color w:val="auto"/>
          <w:spacing w:val="12"/>
          <w:sz w:val="28"/>
          <w:szCs w:val="28"/>
        </w:rPr>
        <w:t>贷款职工中，30岁（含）以下占20.53%，30岁-40岁（含）占57.18%，40岁-50岁（含）占19.70%，50岁以上占2.59%；购买首套住房申请贷款占88.94%，购买二套及以上申请贷款占11.06%；中、低收入占85.57%，高收入占14.43%。</w:t>
      </w:r>
    </w:p>
    <w:p w14:paraId="0C167794">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Style w:val="6"/>
          <w:rFonts w:hint="eastAsia" w:ascii="宋体" w:hAnsi="宋体" w:eastAsia="宋体" w:cs="宋体"/>
          <w:b/>
          <w:bCs/>
          <w:i w:val="0"/>
          <w:iCs w:val="0"/>
          <w:caps w:val="0"/>
          <w:color w:val="auto"/>
          <w:spacing w:val="12"/>
          <w:sz w:val="28"/>
          <w:szCs w:val="28"/>
        </w:rPr>
      </w:pPr>
    </w:p>
    <w:p w14:paraId="238FEA5C">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Style w:val="6"/>
          <w:rFonts w:hint="eastAsia" w:ascii="宋体" w:hAnsi="宋体" w:eastAsia="宋体" w:cs="宋体"/>
          <w:b/>
          <w:bCs/>
          <w:i w:val="0"/>
          <w:iCs w:val="0"/>
          <w:caps w:val="0"/>
          <w:color w:val="auto"/>
          <w:spacing w:val="12"/>
          <w:sz w:val="28"/>
          <w:szCs w:val="28"/>
        </w:rPr>
      </w:pPr>
    </w:p>
    <w:p w14:paraId="72A0C3A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Style w:val="6"/>
          <w:rFonts w:hint="eastAsia" w:ascii="宋体" w:hAnsi="宋体" w:eastAsia="宋体" w:cs="宋体"/>
          <w:b/>
          <w:bCs/>
          <w:i w:val="0"/>
          <w:iCs w:val="0"/>
          <w:caps w:val="0"/>
          <w:color w:val="auto"/>
          <w:spacing w:val="12"/>
          <w:sz w:val="28"/>
          <w:szCs w:val="28"/>
        </w:rPr>
      </w:pPr>
    </w:p>
    <w:p w14:paraId="3C9038EC">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Style w:val="6"/>
          <w:rFonts w:hint="eastAsia" w:ascii="宋体" w:hAnsi="宋体" w:eastAsia="宋体" w:cs="宋体"/>
          <w:b/>
          <w:bCs/>
          <w:i w:val="0"/>
          <w:iCs w:val="0"/>
          <w:caps w:val="0"/>
          <w:color w:val="auto"/>
          <w:spacing w:val="12"/>
          <w:sz w:val="28"/>
          <w:szCs w:val="28"/>
        </w:rPr>
      </w:pPr>
    </w:p>
    <w:p w14:paraId="184BA5B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Style w:val="6"/>
          <w:rFonts w:hint="eastAsia" w:ascii="宋体" w:hAnsi="宋体" w:eastAsia="宋体" w:cs="宋体"/>
          <w:b/>
          <w:bCs/>
          <w:i w:val="0"/>
          <w:iCs w:val="0"/>
          <w:caps w:val="0"/>
          <w:color w:val="auto"/>
          <w:spacing w:val="12"/>
          <w:sz w:val="28"/>
          <w:szCs w:val="28"/>
        </w:rPr>
      </w:pPr>
    </w:p>
    <w:p w14:paraId="05E5C765">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Style w:val="6"/>
          <w:rFonts w:hint="eastAsia" w:ascii="宋体" w:hAnsi="宋体" w:eastAsia="宋体" w:cs="宋体"/>
          <w:b/>
          <w:bCs/>
          <w:i w:val="0"/>
          <w:iCs w:val="0"/>
          <w:caps w:val="0"/>
          <w:color w:val="auto"/>
          <w:spacing w:val="12"/>
          <w:sz w:val="28"/>
          <w:szCs w:val="28"/>
        </w:rPr>
      </w:pPr>
    </w:p>
    <w:p w14:paraId="2CD5BAED">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图7：2024年个人住房贷款职工按年龄分类</w:t>
      </w:r>
    </w:p>
    <w:p w14:paraId="023F8AFC">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08" w:firstLineChars="200"/>
        <w:jc w:val="left"/>
        <w:textAlignment w:val="auto"/>
        <w:rPr>
          <w:rFonts w:hint="eastAsia" w:ascii="宋体" w:hAnsi="宋体" w:eastAsia="宋体" w:cs="宋体"/>
          <w:color w:val="auto"/>
          <w:spacing w:val="12"/>
          <w:sz w:val="28"/>
          <w:szCs w:val="28"/>
        </w:rPr>
      </w:pPr>
      <w:r>
        <w:rPr>
          <w:rFonts w:hint="eastAsia" w:ascii="宋体" w:hAnsi="宋体" w:eastAsia="宋体" w:cs="宋体"/>
          <w:i w:val="0"/>
          <w:iCs w:val="0"/>
          <w:caps w:val="0"/>
          <w:color w:val="auto"/>
          <w:spacing w:val="12"/>
          <w:sz w:val="28"/>
          <w:szCs w:val="28"/>
        </w:rPr>
        <w:drawing>
          <wp:inline distT="0" distB="0" distL="114300" distR="114300">
            <wp:extent cx="5269230" cy="3066415"/>
            <wp:effectExtent l="0" t="0" r="0" b="0"/>
            <wp:docPr id="5"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IMG_262"/>
                    <pic:cNvPicPr>
                      <a:picLocks noChangeAspect="1"/>
                    </pic:cNvPicPr>
                  </pic:nvPicPr>
                  <pic:blipFill>
                    <a:blip r:embed="rId10"/>
                    <a:stretch>
                      <a:fillRect/>
                    </a:stretch>
                  </pic:blipFill>
                  <pic:spPr>
                    <a:xfrm>
                      <a:off x="0" y="0"/>
                      <a:ext cx="5269230" cy="3066415"/>
                    </a:xfrm>
                    <a:prstGeom prst="rect">
                      <a:avLst/>
                    </a:prstGeom>
                    <a:noFill/>
                    <a:ln w="9525">
                      <a:noFill/>
                    </a:ln>
                  </pic:spPr>
                </pic:pic>
              </a:graphicData>
            </a:graphic>
          </wp:inline>
        </w:drawing>
      </w:r>
    </w:p>
    <w:p w14:paraId="42B1805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（四）住房贡献率。</w:t>
      </w:r>
    </w:p>
    <w:p w14:paraId="66ABBB6E">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08" w:firstLineChars="200"/>
        <w:jc w:val="left"/>
        <w:textAlignment w:val="auto"/>
        <w:rPr>
          <w:rFonts w:hint="eastAsia" w:ascii="宋体" w:hAnsi="宋体" w:eastAsia="宋体" w:cs="宋体"/>
          <w:color w:val="auto"/>
          <w:spacing w:val="12"/>
          <w:sz w:val="28"/>
          <w:szCs w:val="28"/>
        </w:rPr>
      </w:pPr>
      <w:r>
        <w:rPr>
          <w:rFonts w:hint="eastAsia" w:ascii="宋体" w:hAnsi="宋体" w:eastAsia="宋体" w:cs="宋体"/>
          <w:i w:val="0"/>
          <w:iCs w:val="0"/>
          <w:caps w:val="0"/>
          <w:color w:val="auto"/>
          <w:spacing w:val="12"/>
          <w:sz w:val="28"/>
          <w:szCs w:val="28"/>
        </w:rPr>
        <w:t>2024年，个人住房贷款发放额、住房消费提取额的总和与当年缴存额的比率为88.76%，比上年增加2.81个百分点。</w:t>
      </w:r>
    </w:p>
    <w:p w14:paraId="14A06ECA">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六、其他重要事项</w:t>
      </w:r>
    </w:p>
    <w:p w14:paraId="130535C5">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（一）受托办理贷款业务金融机构变更情况</w:t>
      </w:r>
    </w:p>
    <w:p w14:paraId="0103B60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08" w:firstLineChars="200"/>
        <w:jc w:val="left"/>
        <w:textAlignment w:val="auto"/>
        <w:rPr>
          <w:rFonts w:hint="eastAsia" w:ascii="宋体" w:hAnsi="宋体" w:eastAsia="宋体" w:cs="宋体"/>
          <w:color w:val="auto"/>
          <w:spacing w:val="12"/>
          <w:sz w:val="28"/>
          <w:szCs w:val="28"/>
        </w:rPr>
      </w:pPr>
      <w:r>
        <w:rPr>
          <w:rFonts w:hint="eastAsia" w:ascii="宋体" w:hAnsi="宋体" w:eastAsia="宋体" w:cs="宋体"/>
          <w:i w:val="0"/>
          <w:iCs w:val="0"/>
          <w:caps w:val="0"/>
          <w:color w:val="auto"/>
          <w:spacing w:val="12"/>
          <w:sz w:val="28"/>
          <w:szCs w:val="28"/>
        </w:rPr>
        <w:t>经住房公积金管理委员会审议通过，2024年起，江苏银行股份有限公司上海分行成为上海市住房公积金个人贷款业务受托银行之一，本市贷款业务受托银行扩展至20家。</w:t>
      </w:r>
    </w:p>
    <w:p w14:paraId="6707E995">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（二）政策调整情况</w:t>
      </w:r>
    </w:p>
    <w:p w14:paraId="255723AD">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1.调整2024年度住房公积金缴存基数和月缴存额上下限</w:t>
      </w:r>
    </w:p>
    <w:p w14:paraId="77874C25">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08" w:firstLineChars="200"/>
        <w:jc w:val="left"/>
        <w:textAlignment w:val="auto"/>
        <w:rPr>
          <w:rFonts w:hint="eastAsia" w:ascii="宋体" w:hAnsi="宋体" w:eastAsia="宋体" w:cs="宋体"/>
          <w:color w:val="auto"/>
          <w:spacing w:val="12"/>
          <w:sz w:val="28"/>
          <w:szCs w:val="28"/>
        </w:rPr>
      </w:pPr>
      <w:r>
        <w:rPr>
          <w:rFonts w:hint="eastAsia" w:ascii="宋体" w:hAnsi="宋体" w:eastAsia="宋体" w:cs="宋体"/>
          <w:i w:val="0"/>
          <w:iCs w:val="0"/>
          <w:caps w:val="0"/>
          <w:color w:val="auto"/>
          <w:spacing w:val="12"/>
          <w:sz w:val="28"/>
          <w:szCs w:val="28"/>
        </w:rPr>
        <w:t>自2024年7月1日起，本市职工住房公积金的缴存基数由2022年月平均工资调整为2023年月平均工资。2024年度职工本人和单位住房公积金缴存比例为各5%至7%。单位可以自愿参加补充住房公积金制度，补充住房公积金缴存比例为各1%至5%。具体缴存比例均由单位自主确定。2024年度本市住房公积金月缴存额上下限如下：　</w:t>
      </w:r>
    </w:p>
    <w:tbl>
      <w:tblPr>
        <w:tblStyle w:val="4"/>
        <w:tblW w:w="0" w:type="auto"/>
        <w:jc w:val="cente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Layout w:type="autofit"/>
        <w:tblCellMar>
          <w:top w:w="0" w:type="dxa"/>
          <w:left w:w="0" w:type="dxa"/>
          <w:bottom w:w="0" w:type="dxa"/>
          <w:right w:w="0" w:type="dxa"/>
        </w:tblCellMar>
      </w:tblPr>
      <w:tblGrid>
        <w:gridCol w:w="2152"/>
        <w:gridCol w:w="1542"/>
        <w:gridCol w:w="1237"/>
        <w:gridCol w:w="1237"/>
      </w:tblGrid>
      <w:tr w14:paraId="6F62B13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jc w:val="center"/>
        </w:trPr>
        <w:tc>
          <w:tcPr>
            <w:tcW w:w="2152" w:type="dxa"/>
            <w:tcBorders>
              <w:top w:val="outset" w:color="auto" w:sz="6" w:space="0"/>
              <w:left w:val="outset" w:color="auto" w:sz="6" w:space="0"/>
              <w:bottom w:val="outset" w:color="auto" w:sz="6" w:space="0"/>
              <w:right w:val="outset" w:color="auto" w:sz="6" w:space="0"/>
            </w:tcBorders>
            <w:shd w:val="clear" w:color="auto" w:fill="auto"/>
            <w:vAlign w:val="center"/>
          </w:tcPr>
          <w:p w14:paraId="3E98B518">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color w:val="auto"/>
                <w:spacing w:val="12"/>
                <w:sz w:val="28"/>
                <w:szCs w:val="28"/>
              </w:rPr>
              <w:t>类型</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38B2CD2C">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color w:val="auto"/>
                <w:spacing w:val="12"/>
                <w:sz w:val="28"/>
                <w:szCs w:val="28"/>
              </w:rPr>
            </w:pPr>
            <w:r>
              <w:rPr>
                <w:rStyle w:val="6"/>
                <w:rFonts w:hint="eastAsia" w:ascii="宋体" w:hAnsi="宋体" w:eastAsia="宋体" w:cs="宋体"/>
                <w:b/>
                <w:bCs/>
                <w:color w:val="auto"/>
                <w:spacing w:val="12"/>
                <w:sz w:val="28"/>
                <w:szCs w:val="28"/>
              </w:rPr>
              <w:t>单位和个人</w:t>
            </w:r>
          </w:p>
          <w:p w14:paraId="1CA7D241">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color w:val="auto"/>
                <w:spacing w:val="12"/>
                <w:sz w:val="28"/>
                <w:szCs w:val="28"/>
              </w:rPr>
            </w:pPr>
            <w:r>
              <w:rPr>
                <w:rStyle w:val="6"/>
                <w:rFonts w:hint="eastAsia" w:ascii="宋体" w:hAnsi="宋体" w:eastAsia="宋体" w:cs="宋体"/>
                <w:b/>
                <w:bCs/>
                <w:color w:val="auto"/>
                <w:spacing w:val="12"/>
                <w:sz w:val="28"/>
                <w:szCs w:val="28"/>
              </w:rPr>
              <w:t>缴存比例</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7F0885D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color w:val="auto"/>
                <w:spacing w:val="12"/>
                <w:sz w:val="28"/>
                <w:szCs w:val="28"/>
              </w:rPr>
            </w:pPr>
            <w:r>
              <w:rPr>
                <w:rStyle w:val="6"/>
                <w:rFonts w:hint="eastAsia" w:ascii="宋体" w:hAnsi="宋体" w:eastAsia="宋体" w:cs="宋体"/>
                <w:b/>
                <w:bCs/>
                <w:color w:val="auto"/>
                <w:spacing w:val="12"/>
                <w:sz w:val="28"/>
                <w:szCs w:val="28"/>
              </w:rPr>
              <w:t>月缴存额</w:t>
            </w:r>
          </w:p>
          <w:p w14:paraId="79897E84">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color w:val="auto"/>
                <w:spacing w:val="12"/>
                <w:sz w:val="28"/>
                <w:szCs w:val="28"/>
              </w:rPr>
            </w:pPr>
            <w:r>
              <w:rPr>
                <w:rStyle w:val="6"/>
                <w:rFonts w:hint="eastAsia" w:ascii="宋体" w:hAnsi="宋体" w:eastAsia="宋体" w:cs="宋体"/>
                <w:b/>
                <w:bCs/>
                <w:color w:val="auto"/>
                <w:spacing w:val="12"/>
                <w:sz w:val="28"/>
                <w:szCs w:val="28"/>
              </w:rPr>
              <w:t>上限</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30DF80C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color w:val="auto"/>
                <w:spacing w:val="12"/>
                <w:sz w:val="28"/>
                <w:szCs w:val="28"/>
              </w:rPr>
            </w:pPr>
            <w:r>
              <w:rPr>
                <w:rStyle w:val="6"/>
                <w:rFonts w:hint="eastAsia" w:ascii="宋体" w:hAnsi="宋体" w:eastAsia="宋体" w:cs="宋体"/>
                <w:b/>
                <w:bCs/>
                <w:color w:val="auto"/>
                <w:spacing w:val="12"/>
                <w:sz w:val="28"/>
                <w:szCs w:val="28"/>
              </w:rPr>
              <w:t>月缴存额</w:t>
            </w:r>
          </w:p>
          <w:p w14:paraId="2DA141E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color w:val="auto"/>
                <w:spacing w:val="12"/>
                <w:sz w:val="28"/>
                <w:szCs w:val="28"/>
              </w:rPr>
            </w:pPr>
            <w:r>
              <w:rPr>
                <w:rStyle w:val="6"/>
                <w:rFonts w:hint="eastAsia" w:ascii="宋体" w:hAnsi="宋体" w:eastAsia="宋体" w:cs="宋体"/>
                <w:b/>
                <w:bCs/>
                <w:color w:val="auto"/>
                <w:spacing w:val="12"/>
                <w:sz w:val="28"/>
                <w:szCs w:val="28"/>
              </w:rPr>
              <w:t>下限</w:t>
            </w:r>
          </w:p>
        </w:tc>
      </w:tr>
      <w:tr w14:paraId="4DA2F2D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jc w:val="center"/>
        </w:trPr>
        <w:tc>
          <w:tcPr>
            <w:tcW w:w="2152" w:type="dxa"/>
            <w:vMerge w:val="restart"/>
            <w:tcBorders>
              <w:top w:val="outset" w:color="auto" w:sz="6" w:space="0"/>
              <w:left w:val="outset" w:color="auto" w:sz="6" w:space="0"/>
              <w:bottom w:val="outset" w:color="auto" w:sz="6" w:space="0"/>
              <w:right w:val="outset" w:color="auto" w:sz="6" w:space="0"/>
            </w:tcBorders>
            <w:shd w:val="clear" w:color="auto" w:fill="auto"/>
            <w:vAlign w:val="center"/>
          </w:tcPr>
          <w:p w14:paraId="48C740B7">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color w:val="auto"/>
                <w:spacing w:val="12"/>
                <w:sz w:val="28"/>
                <w:szCs w:val="28"/>
              </w:rPr>
            </w:pPr>
            <w:r>
              <w:rPr>
                <w:rStyle w:val="6"/>
                <w:rFonts w:hint="eastAsia" w:ascii="宋体" w:hAnsi="宋体" w:eastAsia="宋体" w:cs="宋体"/>
                <w:b/>
                <w:bCs/>
                <w:color w:val="auto"/>
                <w:spacing w:val="12"/>
                <w:sz w:val="28"/>
                <w:szCs w:val="28"/>
              </w:rPr>
              <w:t>住房公积金</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3F326972">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color w:val="auto"/>
                <w:spacing w:val="12"/>
                <w:sz w:val="28"/>
                <w:szCs w:val="28"/>
              </w:rPr>
            </w:pPr>
            <w:r>
              <w:rPr>
                <w:rFonts w:hint="eastAsia" w:ascii="宋体" w:hAnsi="宋体" w:eastAsia="宋体" w:cs="宋体"/>
                <w:color w:val="auto"/>
                <w:spacing w:val="12"/>
                <w:sz w:val="28"/>
                <w:szCs w:val="28"/>
              </w:rPr>
              <w:t>各7%</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077317ED">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color w:val="auto"/>
                <w:spacing w:val="12"/>
                <w:sz w:val="28"/>
                <w:szCs w:val="28"/>
              </w:rPr>
            </w:pPr>
            <w:r>
              <w:rPr>
                <w:rFonts w:hint="eastAsia" w:ascii="宋体" w:hAnsi="宋体" w:eastAsia="宋体" w:cs="宋体"/>
                <w:color w:val="auto"/>
                <w:spacing w:val="12"/>
                <w:sz w:val="28"/>
                <w:szCs w:val="28"/>
              </w:rPr>
              <w:t>5168元</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07B67C8A">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color w:val="auto"/>
                <w:spacing w:val="12"/>
                <w:sz w:val="28"/>
                <w:szCs w:val="28"/>
              </w:rPr>
            </w:pPr>
            <w:r>
              <w:rPr>
                <w:rFonts w:hint="eastAsia" w:ascii="宋体" w:hAnsi="宋体" w:eastAsia="宋体" w:cs="宋体"/>
                <w:color w:val="auto"/>
                <w:spacing w:val="12"/>
                <w:sz w:val="28"/>
                <w:szCs w:val="28"/>
              </w:rPr>
              <w:t>376元</w:t>
            </w:r>
          </w:p>
        </w:tc>
      </w:tr>
      <w:tr w14:paraId="6C2F4A2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jc w:val="center"/>
        </w:trPr>
        <w:tc>
          <w:tcPr>
            <w:tcW w:w="2152" w:type="dxa"/>
            <w:vMerge w:val="continue"/>
            <w:tcBorders>
              <w:top w:val="outset" w:color="auto" w:sz="6" w:space="0"/>
              <w:left w:val="outset" w:color="auto" w:sz="6" w:space="0"/>
              <w:bottom w:val="outset" w:color="auto" w:sz="6" w:space="0"/>
              <w:right w:val="outset" w:color="auto" w:sz="6" w:space="0"/>
            </w:tcBorders>
            <w:shd w:val="clear" w:color="auto" w:fill="auto"/>
            <w:vAlign w:val="center"/>
          </w:tcPr>
          <w:p w14:paraId="4A02FA9E">
            <w:pPr>
              <w:keepNext w:val="0"/>
              <w:keepLines w:val="0"/>
              <w:pageBreakBefore w:val="0"/>
              <w:kinsoku/>
              <w:wordWrap/>
              <w:overflowPunct/>
              <w:topLinePunct w:val="0"/>
              <w:autoSpaceDE/>
              <w:autoSpaceDN/>
              <w:bidi w:val="0"/>
              <w:adjustRightInd/>
              <w:snapToGrid/>
              <w:spacing w:afterAutospacing="0" w:line="240" w:lineRule="auto"/>
              <w:ind w:right="0" w:firstLine="560" w:firstLineChars="200"/>
              <w:jc w:val="center"/>
              <w:textAlignment w:val="auto"/>
              <w:rPr>
                <w:rFonts w:hint="eastAsia" w:ascii="宋体" w:hAnsi="宋体" w:eastAsia="宋体" w:cs="宋体"/>
                <w:color w:val="auto"/>
                <w:sz w:val="28"/>
                <w:szCs w:val="28"/>
              </w:rPr>
            </w:pP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5B4D39FC">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color w:val="auto"/>
                <w:spacing w:val="12"/>
                <w:sz w:val="28"/>
                <w:szCs w:val="28"/>
              </w:rPr>
            </w:pPr>
            <w:r>
              <w:rPr>
                <w:rFonts w:hint="eastAsia" w:ascii="宋体" w:hAnsi="宋体" w:eastAsia="宋体" w:cs="宋体"/>
                <w:color w:val="auto"/>
                <w:spacing w:val="12"/>
                <w:sz w:val="28"/>
                <w:szCs w:val="28"/>
              </w:rPr>
              <w:t>各6%</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160FF138">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color w:val="auto"/>
                <w:spacing w:val="12"/>
                <w:sz w:val="28"/>
                <w:szCs w:val="28"/>
              </w:rPr>
            </w:pPr>
            <w:r>
              <w:rPr>
                <w:rFonts w:hint="eastAsia" w:ascii="宋体" w:hAnsi="宋体" w:eastAsia="宋体" w:cs="宋体"/>
                <w:color w:val="auto"/>
                <w:spacing w:val="12"/>
                <w:sz w:val="28"/>
                <w:szCs w:val="28"/>
              </w:rPr>
              <w:t>4430元</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4A5D3D95">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color w:val="auto"/>
                <w:spacing w:val="12"/>
                <w:sz w:val="28"/>
                <w:szCs w:val="28"/>
              </w:rPr>
            </w:pPr>
            <w:r>
              <w:rPr>
                <w:rFonts w:hint="eastAsia" w:ascii="宋体" w:hAnsi="宋体" w:eastAsia="宋体" w:cs="宋体"/>
                <w:color w:val="auto"/>
                <w:spacing w:val="12"/>
                <w:sz w:val="28"/>
                <w:szCs w:val="28"/>
              </w:rPr>
              <w:t>322元</w:t>
            </w:r>
          </w:p>
        </w:tc>
      </w:tr>
      <w:tr w14:paraId="6F37396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jc w:val="center"/>
        </w:trPr>
        <w:tc>
          <w:tcPr>
            <w:tcW w:w="2152" w:type="dxa"/>
            <w:vMerge w:val="continue"/>
            <w:tcBorders>
              <w:top w:val="outset" w:color="auto" w:sz="6" w:space="0"/>
              <w:left w:val="outset" w:color="auto" w:sz="6" w:space="0"/>
              <w:bottom w:val="outset" w:color="auto" w:sz="6" w:space="0"/>
              <w:right w:val="outset" w:color="auto" w:sz="6" w:space="0"/>
            </w:tcBorders>
            <w:shd w:val="clear" w:color="auto" w:fill="auto"/>
            <w:vAlign w:val="center"/>
          </w:tcPr>
          <w:p w14:paraId="756A86BA">
            <w:pPr>
              <w:keepNext w:val="0"/>
              <w:keepLines w:val="0"/>
              <w:pageBreakBefore w:val="0"/>
              <w:kinsoku/>
              <w:wordWrap/>
              <w:overflowPunct/>
              <w:topLinePunct w:val="0"/>
              <w:autoSpaceDE/>
              <w:autoSpaceDN/>
              <w:bidi w:val="0"/>
              <w:adjustRightInd/>
              <w:snapToGrid/>
              <w:spacing w:afterAutospacing="0" w:line="240" w:lineRule="auto"/>
              <w:ind w:right="0" w:firstLine="560" w:firstLineChars="200"/>
              <w:jc w:val="center"/>
              <w:textAlignment w:val="auto"/>
              <w:rPr>
                <w:rFonts w:hint="eastAsia" w:ascii="宋体" w:hAnsi="宋体" w:eastAsia="宋体" w:cs="宋体"/>
                <w:color w:val="auto"/>
                <w:sz w:val="28"/>
                <w:szCs w:val="28"/>
              </w:rPr>
            </w:pP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5492ED7D">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color w:val="auto"/>
                <w:spacing w:val="12"/>
                <w:sz w:val="28"/>
                <w:szCs w:val="28"/>
              </w:rPr>
            </w:pPr>
            <w:r>
              <w:rPr>
                <w:rFonts w:hint="eastAsia" w:ascii="宋体" w:hAnsi="宋体" w:eastAsia="宋体" w:cs="宋体"/>
                <w:color w:val="auto"/>
                <w:spacing w:val="12"/>
                <w:sz w:val="28"/>
                <w:szCs w:val="28"/>
              </w:rPr>
              <w:t>各5%</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11E35B0A">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color w:val="auto"/>
                <w:spacing w:val="12"/>
                <w:sz w:val="28"/>
                <w:szCs w:val="28"/>
              </w:rPr>
            </w:pPr>
            <w:r>
              <w:rPr>
                <w:rFonts w:hint="eastAsia" w:ascii="宋体" w:hAnsi="宋体" w:eastAsia="宋体" w:cs="宋体"/>
                <w:color w:val="auto"/>
                <w:spacing w:val="12"/>
                <w:sz w:val="28"/>
                <w:szCs w:val="28"/>
              </w:rPr>
              <w:t>3692元</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1EE44DB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color w:val="auto"/>
                <w:spacing w:val="12"/>
                <w:sz w:val="28"/>
                <w:szCs w:val="28"/>
              </w:rPr>
            </w:pPr>
            <w:r>
              <w:rPr>
                <w:rFonts w:hint="eastAsia" w:ascii="宋体" w:hAnsi="宋体" w:eastAsia="宋体" w:cs="宋体"/>
                <w:color w:val="auto"/>
                <w:spacing w:val="12"/>
                <w:sz w:val="28"/>
                <w:szCs w:val="28"/>
              </w:rPr>
              <w:t>270元</w:t>
            </w:r>
          </w:p>
        </w:tc>
      </w:tr>
      <w:tr w14:paraId="5B91AFB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jc w:val="center"/>
        </w:trPr>
        <w:tc>
          <w:tcPr>
            <w:tcW w:w="2152" w:type="dxa"/>
            <w:vMerge w:val="restart"/>
            <w:tcBorders>
              <w:top w:val="outset" w:color="auto" w:sz="6" w:space="0"/>
              <w:left w:val="outset" w:color="auto" w:sz="6" w:space="0"/>
              <w:bottom w:val="outset" w:color="auto" w:sz="6" w:space="0"/>
              <w:right w:val="outset" w:color="auto" w:sz="6" w:space="0"/>
            </w:tcBorders>
            <w:shd w:val="clear" w:color="auto" w:fill="auto"/>
            <w:vAlign w:val="center"/>
          </w:tcPr>
          <w:p w14:paraId="45969F88">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color w:val="auto"/>
                <w:spacing w:val="12"/>
                <w:sz w:val="28"/>
                <w:szCs w:val="28"/>
              </w:rPr>
            </w:pPr>
            <w:r>
              <w:rPr>
                <w:rStyle w:val="6"/>
                <w:rFonts w:hint="eastAsia" w:ascii="宋体" w:hAnsi="宋体" w:eastAsia="宋体" w:cs="宋体"/>
                <w:b/>
                <w:bCs/>
                <w:color w:val="auto"/>
                <w:spacing w:val="12"/>
                <w:sz w:val="28"/>
                <w:szCs w:val="28"/>
              </w:rPr>
              <w:t>补充住房公积金</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3F68B6AD">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color w:val="auto"/>
                <w:spacing w:val="12"/>
                <w:sz w:val="28"/>
                <w:szCs w:val="28"/>
              </w:rPr>
            </w:pPr>
            <w:r>
              <w:rPr>
                <w:rFonts w:hint="eastAsia" w:ascii="宋体" w:hAnsi="宋体" w:eastAsia="宋体" w:cs="宋体"/>
                <w:color w:val="auto"/>
                <w:spacing w:val="12"/>
                <w:sz w:val="28"/>
                <w:szCs w:val="28"/>
              </w:rPr>
              <w:t>各5%</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3DF6E33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color w:val="auto"/>
                <w:spacing w:val="12"/>
                <w:sz w:val="28"/>
                <w:szCs w:val="28"/>
              </w:rPr>
            </w:pPr>
            <w:r>
              <w:rPr>
                <w:rFonts w:hint="eastAsia" w:ascii="宋体" w:hAnsi="宋体" w:eastAsia="宋体" w:cs="宋体"/>
                <w:color w:val="auto"/>
                <w:spacing w:val="12"/>
                <w:sz w:val="28"/>
                <w:szCs w:val="28"/>
              </w:rPr>
              <w:t>3692元</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232CFEC6">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color w:val="auto"/>
                <w:spacing w:val="12"/>
                <w:sz w:val="28"/>
                <w:szCs w:val="28"/>
              </w:rPr>
            </w:pPr>
            <w:r>
              <w:rPr>
                <w:rFonts w:hint="eastAsia" w:ascii="宋体" w:hAnsi="宋体" w:eastAsia="宋体" w:cs="宋体"/>
                <w:color w:val="auto"/>
                <w:spacing w:val="12"/>
                <w:sz w:val="28"/>
                <w:szCs w:val="28"/>
              </w:rPr>
              <w:t>270元</w:t>
            </w:r>
          </w:p>
        </w:tc>
      </w:tr>
      <w:tr w14:paraId="5D5D091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jc w:val="center"/>
        </w:trPr>
        <w:tc>
          <w:tcPr>
            <w:tcW w:w="2152" w:type="dxa"/>
            <w:vMerge w:val="continue"/>
            <w:tcBorders>
              <w:top w:val="outset" w:color="auto" w:sz="6" w:space="0"/>
              <w:left w:val="outset" w:color="auto" w:sz="6" w:space="0"/>
              <w:bottom w:val="outset" w:color="auto" w:sz="6" w:space="0"/>
              <w:right w:val="outset" w:color="auto" w:sz="6" w:space="0"/>
            </w:tcBorders>
            <w:shd w:val="clear" w:color="auto" w:fill="auto"/>
            <w:vAlign w:val="center"/>
          </w:tcPr>
          <w:p w14:paraId="150E4934">
            <w:pPr>
              <w:keepNext w:val="0"/>
              <w:keepLines w:val="0"/>
              <w:pageBreakBefore w:val="0"/>
              <w:kinsoku/>
              <w:wordWrap/>
              <w:overflowPunct/>
              <w:topLinePunct w:val="0"/>
              <w:autoSpaceDE/>
              <w:autoSpaceDN/>
              <w:bidi w:val="0"/>
              <w:adjustRightInd/>
              <w:snapToGrid/>
              <w:spacing w:afterAutospacing="0" w:line="240" w:lineRule="auto"/>
              <w:ind w:right="0" w:firstLine="560" w:firstLineChars="200"/>
              <w:jc w:val="center"/>
              <w:textAlignment w:val="auto"/>
              <w:rPr>
                <w:rFonts w:hint="eastAsia" w:ascii="宋体" w:hAnsi="宋体" w:eastAsia="宋体" w:cs="宋体"/>
                <w:color w:val="auto"/>
                <w:sz w:val="28"/>
                <w:szCs w:val="28"/>
              </w:rPr>
            </w:pP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7C48EB1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color w:val="auto"/>
                <w:spacing w:val="12"/>
                <w:sz w:val="28"/>
                <w:szCs w:val="28"/>
              </w:rPr>
            </w:pPr>
            <w:r>
              <w:rPr>
                <w:rFonts w:hint="eastAsia" w:ascii="宋体" w:hAnsi="宋体" w:eastAsia="宋体" w:cs="宋体"/>
                <w:color w:val="auto"/>
                <w:spacing w:val="12"/>
                <w:sz w:val="28"/>
                <w:szCs w:val="28"/>
              </w:rPr>
              <w:t>各4%</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7F46F065">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color w:val="auto"/>
                <w:spacing w:val="12"/>
                <w:sz w:val="28"/>
                <w:szCs w:val="28"/>
              </w:rPr>
            </w:pPr>
            <w:r>
              <w:rPr>
                <w:rFonts w:hint="eastAsia" w:ascii="宋体" w:hAnsi="宋体" w:eastAsia="宋体" w:cs="宋体"/>
                <w:color w:val="auto"/>
                <w:spacing w:val="12"/>
                <w:sz w:val="28"/>
                <w:szCs w:val="28"/>
              </w:rPr>
              <w:t>2954元</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4BD31D8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color w:val="auto"/>
                <w:spacing w:val="12"/>
                <w:sz w:val="28"/>
                <w:szCs w:val="28"/>
              </w:rPr>
            </w:pPr>
            <w:r>
              <w:rPr>
                <w:rFonts w:hint="eastAsia" w:ascii="宋体" w:hAnsi="宋体" w:eastAsia="宋体" w:cs="宋体"/>
                <w:color w:val="auto"/>
                <w:spacing w:val="12"/>
                <w:sz w:val="28"/>
                <w:szCs w:val="28"/>
              </w:rPr>
              <w:t>216元</w:t>
            </w:r>
          </w:p>
        </w:tc>
      </w:tr>
      <w:tr w14:paraId="736FACF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0" w:type="dxa"/>
            <w:bottom w:w="0" w:type="dxa"/>
            <w:right w:w="0" w:type="dxa"/>
          </w:tblCellMar>
        </w:tblPrEx>
        <w:trPr>
          <w:jc w:val="center"/>
        </w:trPr>
        <w:tc>
          <w:tcPr>
            <w:tcW w:w="2152" w:type="dxa"/>
            <w:vMerge w:val="continue"/>
            <w:tcBorders>
              <w:top w:val="outset" w:color="auto" w:sz="6" w:space="0"/>
              <w:left w:val="outset" w:color="auto" w:sz="6" w:space="0"/>
              <w:bottom w:val="outset" w:color="auto" w:sz="6" w:space="0"/>
              <w:right w:val="outset" w:color="auto" w:sz="6" w:space="0"/>
            </w:tcBorders>
            <w:shd w:val="clear" w:color="auto" w:fill="auto"/>
            <w:vAlign w:val="center"/>
          </w:tcPr>
          <w:p w14:paraId="5CC385DC">
            <w:pPr>
              <w:keepNext w:val="0"/>
              <w:keepLines w:val="0"/>
              <w:pageBreakBefore w:val="0"/>
              <w:kinsoku/>
              <w:wordWrap/>
              <w:overflowPunct/>
              <w:topLinePunct w:val="0"/>
              <w:autoSpaceDE/>
              <w:autoSpaceDN/>
              <w:bidi w:val="0"/>
              <w:adjustRightInd/>
              <w:snapToGrid/>
              <w:spacing w:afterAutospacing="0" w:line="240" w:lineRule="auto"/>
              <w:ind w:right="0" w:firstLine="560" w:firstLineChars="200"/>
              <w:jc w:val="center"/>
              <w:textAlignment w:val="auto"/>
              <w:rPr>
                <w:rFonts w:hint="eastAsia" w:ascii="宋体" w:hAnsi="宋体" w:eastAsia="宋体" w:cs="宋体"/>
                <w:color w:val="auto"/>
                <w:sz w:val="28"/>
                <w:szCs w:val="28"/>
              </w:rPr>
            </w:pP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1DC413A6">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color w:val="auto"/>
                <w:spacing w:val="12"/>
                <w:sz w:val="28"/>
                <w:szCs w:val="28"/>
              </w:rPr>
            </w:pPr>
            <w:r>
              <w:rPr>
                <w:rFonts w:hint="eastAsia" w:ascii="宋体" w:hAnsi="宋体" w:eastAsia="宋体" w:cs="宋体"/>
                <w:color w:val="auto"/>
                <w:spacing w:val="12"/>
                <w:sz w:val="28"/>
                <w:szCs w:val="28"/>
              </w:rPr>
              <w:t>各3%</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75F85ED6">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color w:val="auto"/>
                <w:spacing w:val="12"/>
                <w:sz w:val="28"/>
                <w:szCs w:val="28"/>
              </w:rPr>
            </w:pPr>
            <w:r>
              <w:rPr>
                <w:rFonts w:hint="eastAsia" w:ascii="宋体" w:hAnsi="宋体" w:eastAsia="宋体" w:cs="宋体"/>
                <w:color w:val="auto"/>
                <w:spacing w:val="12"/>
                <w:sz w:val="28"/>
                <w:szCs w:val="28"/>
              </w:rPr>
              <w:t>2216元</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5C1EF20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color w:val="auto"/>
                <w:spacing w:val="12"/>
                <w:sz w:val="28"/>
                <w:szCs w:val="28"/>
              </w:rPr>
            </w:pPr>
            <w:r>
              <w:rPr>
                <w:rFonts w:hint="eastAsia" w:ascii="宋体" w:hAnsi="宋体" w:eastAsia="宋体" w:cs="宋体"/>
                <w:color w:val="auto"/>
                <w:spacing w:val="12"/>
                <w:sz w:val="28"/>
                <w:szCs w:val="28"/>
              </w:rPr>
              <w:t>162元</w:t>
            </w:r>
          </w:p>
        </w:tc>
      </w:tr>
      <w:tr w14:paraId="6144C86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jc w:val="center"/>
        </w:trPr>
        <w:tc>
          <w:tcPr>
            <w:tcW w:w="2152" w:type="dxa"/>
            <w:vMerge w:val="continue"/>
            <w:tcBorders>
              <w:top w:val="outset" w:color="auto" w:sz="6" w:space="0"/>
              <w:left w:val="outset" w:color="auto" w:sz="6" w:space="0"/>
              <w:bottom w:val="outset" w:color="auto" w:sz="6" w:space="0"/>
              <w:right w:val="outset" w:color="auto" w:sz="6" w:space="0"/>
            </w:tcBorders>
            <w:shd w:val="clear" w:color="auto" w:fill="auto"/>
            <w:vAlign w:val="center"/>
          </w:tcPr>
          <w:p w14:paraId="513C255F">
            <w:pPr>
              <w:keepNext w:val="0"/>
              <w:keepLines w:val="0"/>
              <w:pageBreakBefore w:val="0"/>
              <w:kinsoku/>
              <w:wordWrap/>
              <w:overflowPunct/>
              <w:topLinePunct w:val="0"/>
              <w:autoSpaceDE/>
              <w:autoSpaceDN/>
              <w:bidi w:val="0"/>
              <w:adjustRightInd/>
              <w:snapToGrid/>
              <w:spacing w:afterAutospacing="0" w:line="240" w:lineRule="auto"/>
              <w:ind w:right="0" w:firstLine="560" w:firstLineChars="200"/>
              <w:jc w:val="center"/>
              <w:textAlignment w:val="auto"/>
              <w:rPr>
                <w:rFonts w:hint="eastAsia" w:ascii="宋体" w:hAnsi="宋体" w:eastAsia="宋体" w:cs="宋体"/>
                <w:color w:val="auto"/>
                <w:sz w:val="28"/>
                <w:szCs w:val="28"/>
              </w:rPr>
            </w:pP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65970087">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color w:val="auto"/>
                <w:spacing w:val="12"/>
                <w:sz w:val="28"/>
                <w:szCs w:val="28"/>
              </w:rPr>
            </w:pPr>
            <w:r>
              <w:rPr>
                <w:rFonts w:hint="eastAsia" w:ascii="宋体" w:hAnsi="宋体" w:eastAsia="宋体" w:cs="宋体"/>
                <w:color w:val="auto"/>
                <w:spacing w:val="12"/>
                <w:sz w:val="28"/>
                <w:szCs w:val="28"/>
              </w:rPr>
              <w:t>各2%</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4029A194">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color w:val="auto"/>
                <w:spacing w:val="12"/>
                <w:sz w:val="28"/>
                <w:szCs w:val="28"/>
              </w:rPr>
            </w:pPr>
            <w:r>
              <w:rPr>
                <w:rFonts w:hint="eastAsia" w:ascii="宋体" w:hAnsi="宋体" w:eastAsia="宋体" w:cs="宋体"/>
                <w:color w:val="auto"/>
                <w:spacing w:val="12"/>
                <w:sz w:val="28"/>
                <w:szCs w:val="28"/>
              </w:rPr>
              <w:t>1476元</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37557AE5">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color w:val="auto"/>
                <w:spacing w:val="12"/>
                <w:sz w:val="28"/>
                <w:szCs w:val="28"/>
              </w:rPr>
            </w:pPr>
            <w:r>
              <w:rPr>
                <w:rFonts w:hint="eastAsia" w:ascii="宋体" w:hAnsi="宋体" w:eastAsia="宋体" w:cs="宋体"/>
                <w:color w:val="auto"/>
                <w:spacing w:val="12"/>
                <w:sz w:val="28"/>
                <w:szCs w:val="28"/>
              </w:rPr>
              <w:t>108元</w:t>
            </w:r>
          </w:p>
        </w:tc>
      </w:tr>
      <w:tr w14:paraId="46FE402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auto"/>
          <w:tblCellMar>
            <w:top w:w="0" w:type="dxa"/>
            <w:left w:w="0" w:type="dxa"/>
            <w:bottom w:w="0" w:type="dxa"/>
            <w:right w:w="0" w:type="dxa"/>
          </w:tblCellMar>
        </w:tblPrEx>
        <w:trPr>
          <w:jc w:val="center"/>
        </w:trPr>
        <w:tc>
          <w:tcPr>
            <w:tcW w:w="2152" w:type="dxa"/>
            <w:vMerge w:val="continue"/>
            <w:tcBorders>
              <w:top w:val="outset" w:color="auto" w:sz="6" w:space="0"/>
              <w:left w:val="outset" w:color="auto" w:sz="6" w:space="0"/>
              <w:bottom w:val="outset" w:color="auto" w:sz="6" w:space="0"/>
              <w:right w:val="outset" w:color="auto" w:sz="6" w:space="0"/>
            </w:tcBorders>
            <w:shd w:val="clear" w:color="auto" w:fill="auto"/>
            <w:vAlign w:val="center"/>
          </w:tcPr>
          <w:p w14:paraId="51EF1839">
            <w:pPr>
              <w:keepNext w:val="0"/>
              <w:keepLines w:val="0"/>
              <w:pageBreakBefore w:val="0"/>
              <w:kinsoku/>
              <w:wordWrap/>
              <w:overflowPunct/>
              <w:topLinePunct w:val="0"/>
              <w:autoSpaceDE/>
              <w:autoSpaceDN/>
              <w:bidi w:val="0"/>
              <w:adjustRightInd/>
              <w:snapToGrid/>
              <w:spacing w:afterAutospacing="0" w:line="240" w:lineRule="auto"/>
              <w:ind w:right="0" w:firstLine="560" w:firstLineChars="200"/>
              <w:jc w:val="center"/>
              <w:textAlignment w:val="auto"/>
              <w:rPr>
                <w:rFonts w:hint="eastAsia" w:ascii="宋体" w:hAnsi="宋体" w:eastAsia="宋体" w:cs="宋体"/>
                <w:color w:val="auto"/>
                <w:sz w:val="28"/>
                <w:szCs w:val="28"/>
              </w:rPr>
            </w:pP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742725AD">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color w:val="auto"/>
                <w:spacing w:val="12"/>
                <w:sz w:val="28"/>
                <w:szCs w:val="28"/>
              </w:rPr>
            </w:pPr>
            <w:r>
              <w:rPr>
                <w:rFonts w:hint="eastAsia" w:ascii="宋体" w:hAnsi="宋体" w:eastAsia="宋体" w:cs="宋体"/>
                <w:color w:val="auto"/>
                <w:spacing w:val="12"/>
                <w:sz w:val="28"/>
                <w:szCs w:val="28"/>
              </w:rPr>
              <w:t>各1%</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4A96618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color w:val="auto"/>
                <w:spacing w:val="12"/>
                <w:sz w:val="28"/>
                <w:szCs w:val="28"/>
              </w:rPr>
            </w:pPr>
            <w:r>
              <w:rPr>
                <w:rFonts w:hint="eastAsia" w:ascii="宋体" w:hAnsi="宋体" w:eastAsia="宋体" w:cs="宋体"/>
                <w:color w:val="auto"/>
                <w:spacing w:val="12"/>
                <w:sz w:val="28"/>
                <w:szCs w:val="28"/>
              </w:rPr>
              <w:t>738元</w:t>
            </w:r>
          </w:p>
        </w:tc>
        <w:tc>
          <w:tcPr>
            <w:tcW w:w="0" w:type="auto"/>
            <w:tcBorders>
              <w:top w:val="outset" w:color="auto" w:sz="6" w:space="0"/>
              <w:left w:val="outset" w:color="auto" w:sz="6" w:space="0"/>
              <w:bottom w:val="outset" w:color="auto" w:sz="6" w:space="0"/>
              <w:right w:val="outset" w:color="auto" w:sz="6" w:space="0"/>
            </w:tcBorders>
            <w:shd w:val="clear" w:color="auto" w:fill="auto"/>
            <w:vAlign w:val="center"/>
          </w:tcPr>
          <w:p w14:paraId="3918C06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jc w:val="center"/>
              <w:textAlignment w:val="auto"/>
              <w:rPr>
                <w:rFonts w:hint="eastAsia" w:ascii="宋体" w:hAnsi="宋体" w:eastAsia="宋体" w:cs="宋体"/>
                <w:color w:val="auto"/>
                <w:spacing w:val="12"/>
                <w:sz w:val="28"/>
                <w:szCs w:val="28"/>
              </w:rPr>
            </w:pPr>
            <w:r>
              <w:rPr>
                <w:rFonts w:hint="eastAsia" w:ascii="宋体" w:hAnsi="宋体" w:eastAsia="宋体" w:cs="宋体"/>
                <w:color w:val="auto"/>
                <w:spacing w:val="12"/>
                <w:sz w:val="28"/>
                <w:szCs w:val="28"/>
              </w:rPr>
              <w:t>54元</w:t>
            </w:r>
          </w:p>
        </w:tc>
      </w:tr>
    </w:tbl>
    <w:p w14:paraId="169DFB21">
      <w:pPr>
        <w:keepNext w:val="0"/>
        <w:keepLines w:val="0"/>
        <w:pageBreakBefore w:val="0"/>
        <w:widowControl/>
        <w:suppressLineNumbers w:val="0"/>
        <w:pBdr>
          <w:top w:val="none" w:color="auto" w:sz="0" w:space="0"/>
          <w:left w:val="none" w:color="auto" w:sz="0" w:space="0"/>
          <w:bottom w:val="dotted" w:color="CCCCCC" w:sz="4" w:space="18"/>
          <w:right w:val="none" w:color="auto" w:sz="0" w:space="0"/>
        </w:pBdr>
        <w:kinsoku/>
        <w:wordWrap/>
        <w:overflowPunct/>
        <w:topLinePunct w:val="0"/>
        <w:autoSpaceDE/>
        <w:autoSpaceDN/>
        <w:bidi w:val="0"/>
        <w:adjustRightInd/>
        <w:snapToGrid/>
        <w:spacing w:afterAutospacing="0" w:line="240" w:lineRule="auto"/>
        <w:ind w:right="0"/>
        <w:jc w:val="left"/>
        <w:textAlignment w:val="auto"/>
        <w:rPr>
          <w:rFonts w:hint="eastAsia" w:ascii="宋体" w:hAnsi="宋体" w:eastAsia="宋体" w:cs="宋体"/>
          <w:i w:val="0"/>
          <w:iCs w:val="0"/>
          <w:caps w:val="0"/>
          <w:color w:val="auto"/>
          <w:spacing w:val="0"/>
          <w:sz w:val="28"/>
          <w:szCs w:val="28"/>
        </w:rPr>
      </w:pPr>
    </w:p>
    <w:p w14:paraId="66DE4038">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2.提取政策调整情况</w:t>
      </w:r>
    </w:p>
    <w:p w14:paraId="04446AE5">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一是</w:t>
      </w:r>
      <w:r>
        <w:rPr>
          <w:rFonts w:hint="eastAsia" w:ascii="宋体" w:hAnsi="宋体" w:eastAsia="宋体" w:cs="宋体"/>
          <w:i w:val="0"/>
          <w:iCs w:val="0"/>
          <w:caps w:val="0"/>
          <w:color w:val="auto"/>
          <w:spacing w:val="12"/>
          <w:sz w:val="28"/>
          <w:szCs w:val="28"/>
        </w:rPr>
        <w:t>2024年6月1日起实施长三角异地住房公积金贷款还贷提取支持政策。职工在江苏省、浙江省或安徽省使用住房公积金贷款购房，符合规定的购房情形和提取条件的，主贷人及配偶可以提取本市住房公积金账户余额偿还公积金贷款。</w:t>
      </w:r>
      <w:r>
        <w:rPr>
          <w:rStyle w:val="6"/>
          <w:rFonts w:hint="eastAsia" w:ascii="宋体" w:hAnsi="宋体" w:eastAsia="宋体" w:cs="宋体"/>
          <w:b/>
          <w:bCs/>
          <w:i w:val="0"/>
          <w:iCs w:val="0"/>
          <w:caps w:val="0"/>
          <w:color w:val="auto"/>
          <w:spacing w:val="12"/>
          <w:sz w:val="28"/>
          <w:szCs w:val="28"/>
        </w:rPr>
        <w:t>二是</w:t>
      </w:r>
      <w:r>
        <w:rPr>
          <w:rFonts w:hint="eastAsia" w:ascii="宋体" w:hAnsi="宋体" w:eastAsia="宋体" w:cs="宋体"/>
          <w:i w:val="0"/>
          <w:iCs w:val="0"/>
          <w:caps w:val="0"/>
          <w:color w:val="auto"/>
          <w:spacing w:val="12"/>
          <w:sz w:val="28"/>
          <w:szCs w:val="28"/>
        </w:rPr>
        <w:t>2024年11月1日起实施租房提取住房公积金新政。保障性租赁住房可按实际房租支出提取住房公积金；市场租赁住房提取限额提高至每月4000元；允许符合条件的新市民、青年人家庭按实际房租支出全额提取。同时采取调整提取频次、优化扣款规则、固定提取日期等举措提升业务办理便捷度。</w:t>
      </w:r>
    </w:p>
    <w:p w14:paraId="1DFBC3F2">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3.贷款政策调整情况</w:t>
      </w:r>
    </w:p>
    <w:p w14:paraId="2FFBB99A">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一是</w:t>
      </w:r>
      <w:r>
        <w:rPr>
          <w:rFonts w:hint="eastAsia" w:ascii="宋体" w:hAnsi="宋体" w:eastAsia="宋体" w:cs="宋体"/>
          <w:i w:val="0"/>
          <w:iCs w:val="0"/>
          <w:caps w:val="0"/>
          <w:color w:val="auto"/>
          <w:spacing w:val="12"/>
          <w:sz w:val="28"/>
          <w:szCs w:val="28"/>
        </w:rPr>
        <w:t>2024年1月3日起，优化改善型住房贷款认定标准，缴存职工家庭名下在本市已有一套住房，在全国未使用过住房公积金个人住房贷款或首次住房公积金个人住房贷款已经结清的，认定为第二套改善型住房。</w:t>
      </w:r>
      <w:r>
        <w:rPr>
          <w:rStyle w:val="6"/>
          <w:rFonts w:hint="eastAsia" w:ascii="宋体" w:hAnsi="宋体" w:eastAsia="宋体" w:cs="宋体"/>
          <w:b/>
          <w:bCs/>
          <w:i w:val="0"/>
          <w:iCs w:val="0"/>
          <w:caps w:val="0"/>
          <w:color w:val="auto"/>
          <w:spacing w:val="12"/>
          <w:sz w:val="28"/>
          <w:szCs w:val="28"/>
        </w:rPr>
        <w:t>二是</w:t>
      </w:r>
      <w:r>
        <w:rPr>
          <w:rFonts w:hint="eastAsia" w:ascii="宋体" w:hAnsi="宋体" w:eastAsia="宋体" w:cs="宋体"/>
          <w:i w:val="0"/>
          <w:iCs w:val="0"/>
          <w:caps w:val="0"/>
          <w:color w:val="auto"/>
          <w:spacing w:val="12"/>
          <w:sz w:val="28"/>
          <w:szCs w:val="28"/>
        </w:rPr>
        <w:t>自2024年5月28日起提高最高贷款额度，购买首套住房的，个人公积金（含补充公积金）最高贷款额度调整为80万元，家庭公积金（含补充公积金）最高贷款额度调整为160万元；购买第二套改善型住房的，个人公积金（含补充公积金）最高贷款额度调整为65万元，家庭公积金（含补充公积金）最高贷款额度调整为130万元。</w:t>
      </w:r>
      <w:r>
        <w:rPr>
          <w:rStyle w:val="6"/>
          <w:rFonts w:hint="eastAsia" w:ascii="宋体" w:hAnsi="宋体" w:eastAsia="宋体" w:cs="宋体"/>
          <w:b/>
          <w:bCs/>
          <w:i w:val="0"/>
          <w:iCs w:val="0"/>
          <w:caps w:val="0"/>
          <w:color w:val="auto"/>
          <w:spacing w:val="12"/>
          <w:sz w:val="28"/>
          <w:szCs w:val="28"/>
        </w:rPr>
        <w:t>三是</w:t>
      </w:r>
      <w:r>
        <w:rPr>
          <w:rFonts w:hint="eastAsia" w:ascii="宋体" w:hAnsi="宋体" w:eastAsia="宋体" w:cs="宋体"/>
          <w:i w:val="0"/>
          <w:iCs w:val="0"/>
          <w:caps w:val="0"/>
          <w:color w:val="auto"/>
          <w:spacing w:val="12"/>
          <w:sz w:val="28"/>
          <w:szCs w:val="28"/>
        </w:rPr>
        <w:t>下调住房公积金贷款最低首付比例要求，购买首套住房的，最低首付款比例为20%；购买第二套改善型住房的，最低首付款比例为25%，若贷款所购住房位于中国（上海）自由贸易试验区临港新片区以及嘉定、青浦、松江、奉贤、宝山、金山6个行政区全域的，最低首付款比例为20%。</w:t>
      </w:r>
      <w:r>
        <w:rPr>
          <w:rStyle w:val="6"/>
          <w:rFonts w:hint="eastAsia" w:ascii="宋体" w:hAnsi="宋体" w:eastAsia="宋体" w:cs="宋体"/>
          <w:b/>
          <w:bCs/>
          <w:i w:val="0"/>
          <w:iCs w:val="0"/>
          <w:caps w:val="0"/>
          <w:color w:val="auto"/>
          <w:spacing w:val="12"/>
          <w:sz w:val="28"/>
          <w:szCs w:val="28"/>
        </w:rPr>
        <w:t>四是</w:t>
      </w:r>
      <w:r>
        <w:rPr>
          <w:rFonts w:hint="eastAsia" w:ascii="宋体" w:hAnsi="宋体" w:eastAsia="宋体" w:cs="宋体"/>
          <w:i w:val="0"/>
          <w:iCs w:val="0"/>
          <w:caps w:val="0"/>
          <w:color w:val="auto"/>
          <w:spacing w:val="12"/>
          <w:sz w:val="28"/>
          <w:szCs w:val="28"/>
        </w:rPr>
        <w:t>根据中国人民银行决定，自2024年5月18日起下调个人住房公积金贷款利率，5年以下（含5年）和5年以上首套个人住房公积金贷款利率分别下调至2.35%和2.85%，5年以下（含5年）和5年以上第二套个人住房公积金贷款利率分别下调至2.775%和3.325%。</w:t>
      </w:r>
    </w:p>
    <w:p w14:paraId="05ABA8FA">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（三）业务服务优化情况</w:t>
      </w:r>
    </w:p>
    <w:p w14:paraId="4D96ED18">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1.持续优化营商环境，企业职工办事更便捷</w:t>
      </w:r>
    </w:p>
    <w:p w14:paraId="1055ABD2">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一是</w:t>
      </w:r>
      <w:r>
        <w:rPr>
          <w:rFonts w:hint="eastAsia" w:ascii="宋体" w:hAnsi="宋体" w:eastAsia="宋体" w:cs="宋体"/>
          <w:i w:val="0"/>
          <w:iCs w:val="0"/>
          <w:caps w:val="0"/>
          <w:color w:val="auto"/>
          <w:spacing w:val="12"/>
          <w:sz w:val="28"/>
          <w:szCs w:val="28"/>
        </w:rPr>
        <w:t>通过信息共享实现住房公积金缴费基数预填，提升企业纳税缴费便利度。</w:t>
      </w:r>
      <w:r>
        <w:rPr>
          <w:rStyle w:val="6"/>
          <w:rFonts w:hint="eastAsia" w:ascii="宋体" w:hAnsi="宋体" w:eastAsia="宋体" w:cs="宋体"/>
          <w:b/>
          <w:bCs/>
          <w:i w:val="0"/>
          <w:iCs w:val="0"/>
          <w:caps w:val="0"/>
          <w:color w:val="auto"/>
          <w:spacing w:val="12"/>
          <w:sz w:val="28"/>
          <w:szCs w:val="28"/>
        </w:rPr>
        <w:t>二是</w:t>
      </w:r>
      <w:r>
        <w:rPr>
          <w:rFonts w:hint="eastAsia" w:ascii="宋体" w:hAnsi="宋体" w:eastAsia="宋体" w:cs="宋体"/>
          <w:i w:val="0"/>
          <w:iCs w:val="0"/>
          <w:caps w:val="0"/>
          <w:color w:val="auto"/>
          <w:spacing w:val="12"/>
          <w:sz w:val="28"/>
          <w:szCs w:val="28"/>
        </w:rPr>
        <w:t>聚焦企业设立、变更、注销全周期，巩固推进改革优化举措，实现企业账户自动变更、注销等“一件事”，助力优化营商环境。</w:t>
      </w:r>
      <w:r>
        <w:rPr>
          <w:rStyle w:val="6"/>
          <w:rFonts w:hint="eastAsia" w:ascii="宋体" w:hAnsi="宋体" w:eastAsia="宋体" w:cs="宋体"/>
          <w:b/>
          <w:bCs/>
          <w:i w:val="0"/>
          <w:iCs w:val="0"/>
          <w:caps w:val="0"/>
          <w:color w:val="auto"/>
          <w:spacing w:val="12"/>
          <w:sz w:val="28"/>
          <w:szCs w:val="28"/>
        </w:rPr>
        <w:t>三是</w:t>
      </w:r>
      <w:r>
        <w:rPr>
          <w:rFonts w:hint="eastAsia" w:ascii="宋体" w:hAnsi="宋体" w:eastAsia="宋体" w:cs="宋体"/>
          <w:i w:val="0"/>
          <w:iCs w:val="0"/>
          <w:caps w:val="0"/>
          <w:color w:val="auto"/>
          <w:spacing w:val="12"/>
          <w:sz w:val="28"/>
          <w:szCs w:val="28"/>
        </w:rPr>
        <w:t>优化“企业职工退休一件事”“公民身故一件事”线上业务办理，拓展申请人员范围，精简提取材料，申请人办事更便利。</w:t>
      </w:r>
      <w:r>
        <w:rPr>
          <w:rStyle w:val="6"/>
          <w:rFonts w:hint="eastAsia" w:ascii="宋体" w:hAnsi="宋体" w:eastAsia="宋体" w:cs="宋体"/>
          <w:b/>
          <w:bCs/>
          <w:i w:val="0"/>
          <w:iCs w:val="0"/>
          <w:caps w:val="0"/>
          <w:color w:val="auto"/>
          <w:spacing w:val="12"/>
          <w:sz w:val="28"/>
          <w:szCs w:val="28"/>
        </w:rPr>
        <w:t>四是</w:t>
      </w:r>
      <w:r>
        <w:rPr>
          <w:rFonts w:hint="eastAsia" w:ascii="宋体" w:hAnsi="宋体" w:eastAsia="宋体" w:cs="宋体"/>
          <w:i w:val="0"/>
          <w:iCs w:val="0"/>
          <w:caps w:val="0"/>
          <w:color w:val="auto"/>
          <w:spacing w:val="12"/>
          <w:sz w:val="28"/>
          <w:szCs w:val="28"/>
        </w:rPr>
        <w:t>推进异地贷款受理流程改造，实现异地贷款外省市公积金缴存情况和贷款情况的核查“亮码可办”，有效减少职工跨省跑动。</w:t>
      </w:r>
    </w:p>
    <w:p w14:paraId="6202C462">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2.创新住房公积金数字化服务，深化“一网通办”应用</w:t>
      </w:r>
    </w:p>
    <w:p w14:paraId="6C97081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一是</w:t>
      </w:r>
      <w:r>
        <w:rPr>
          <w:rFonts w:hint="eastAsia" w:ascii="宋体" w:hAnsi="宋体" w:eastAsia="宋体" w:cs="宋体"/>
          <w:i w:val="0"/>
          <w:iCs w:val="0"/>
          <w:caps w:val="0"/>
          <w:color w:val="auto"/>
          <w:spacing w:val="12"/>
          <w:sz w:val="28"/>
          <w:szCs w:val="28"/>
        </w:rPr>
        <w:t>创新推动“一网通办”远程虚拟窗口视频客服应用，通过线上“屏对屏，面对面”，精准高效解决用户难题。</w:t>
      </w:r>
      <w:r>
        <w:rPr>
          <w:rStyle w:val="6"/>
          <w:rFonts w:hint="eastAsia" w:ascii="宋体" w:hAnsi="宋体" w:eastAsia="宋体" w:cs="宋体"/>
          <w:b/>
          <w:bCs/>
          <w:i w:val="0"/>
          <w:iCs w:val="0"/>
          <w:caps w:val="0"/>
          <w:color w:val="auto"/>
          <w:spacing w:val="12"/>
          <w:sz w:val="28"/>
          <w:szCs w:val="28"/>
        </w:rPr>
        <w:t>二是</w:t>
      </w:r>
      <w:r>
        <w:rPr>
          <w:rFonts w:hint="eastAsia" w:ascii="宋体" w:hAnsi="宋体" w:eastAsia="宋体" w:cs="宋体"/>
          <w:i w:val="0"/>
          <w:iCs w:val="0"/>
          <w:caps w:val="0"/>
          <w:color w:val="auto"/>
          <w:spacing w:val="12"/>
          <w:sz w:val="28"/>
          <w:szCs w:val="28"/>
        </w:rPr>
        <w:t>持续拓展“一网通办在线帮办”人工服务，实现一分钟响应率98.03%，满意度98.99%，服务水平全面提升。</w:t>
      </w:r>
      <w:r>
        <w:rPr>
          <w:rStyle w:val="6"/>
          <w:rFonts w:hint="eastAsia" w:ascii="宋体" w:hAnsi="宋体" w:eastAsia="宋体" w:cs="宋体"/>
          <w:b/>
          <w:bCs/>
          <w:i w:val="0"/>
          <w:iCs w:val="0"/>
          <w:caps w:val="0"/>
          <w:color w:val="auto"/>
          <w:spacing w:val="12"/>
          <w:sz w:val="28"/>
          <w:szCs w:val="28"/>
        </w:rPr>
        <w:t>三是</w:t>
      </w:r>
      <w:r>
        <w:rPr>
          <w:rFonts w:hint="eastAsia" w:ascii="宋体" w:hAnsi="宋体" w:eastAsia="宋体" w:cs="宋体"/>
          <w:i w:val="0"/>
          <w:iCs w:val="0"/>
          <w:caps w:val="0"/>
          <w:color w:val="auto"/>
          <w:spacing w:val="12"/>
          <w:sz w:val="28"/>
          <w:szCs w:val="28"/>
        </w:rPr>
        <w:t>全面完成上海公积金APP与随申办市民云和企业云融合，统一指尖上的住房公积金办理渠道。</w:t>
      </w:r>
    </w:p>
    <w:p w14:paraId="3AA71D4C">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3.优化综合服务平台，健全完善服务体系</w:t>
      </w:r>
    </w:p>
    <w:p w14:paraId="4D762BC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一是</w:t>
      </w:r>
      <w:r>
        <w:rPr>
          <w:rFonts w:hint="eastAsia" w:ascii="宋体" w:hAnsi="宋体" w:eastAsia="宋体" w:cs="宋体"/>
          <w:i w:val="0"/>
          <w:iCs w:val="0"/>
          <w:caps w:val="0"/>
          <w:color w:val="auto"/>
          <w:spacing w:val="12"/>
          <w:sz w:val="28"/>
          <w:szCs w:val="28"/>
        </w:rPr>
        <w:t>推进上海住房公积金网适老化改造，畅通无障碍浏览，改善特殊人群的使用体验。</w:t>
      </w:r>
      <w:r>
        <w:rPr>
          <w:rStyle w:val="6"/>
          <w:rFonts w:hint="eastAsia" w:ascii="宋体" w:hAnsi="宋体" w:eastAsia="宋体" w:cs="宋体"/>
          <w:b/>
          <w:bCs/>
          <w:i w:val="0"/>
          <w:iCs w:val="0"/>
          <w:caps w:val="0"/>
          <w:color w:val="auto"/>
          <w:spacing w:val="12"/>
          <w:sz w:val="28"/>
          <w:szCs w:val="28"/>
        </w:rPr>
        <w:t>二是</w:t>
      </w:r>
      <w:r>
        <w:rPr>
          <w:rFonts w:hint="eastAsia" w:ascii="宋体" w:hAnsi="宋体" w:eastAsia="宋体" w:cs="宋体"/>
          <w:i w:val="0"/>
          <w:iCs w:val="0"/>
          <w:caps w:val="0"/>
          <w:color w:val="auto"/>
          <w:spacing w:val="12"/>
          <w:sz w:val="28"/>
          <w:szCs w:val="28"/>
        </w:rPr>
        <w:t>全面升级住房公积金英文网站，重构页面设计和服务专栏，打造良好的营商环境，全面提升住房公积金国际化服务水平。</w:t>
      </w:r>
      <w:r>
        <w:rPr>
          <w:rStyle w:val="6"/>
          <w:rFonts w:hint="eastAsia" w:ascii="宋体" w:hAnsi="宋体" w:eastAsia="宋体" w:cs="宋体"/>
          <w:b/>
          <w:bCs/>
          <w:i w:val="0"/>
          <w:iCs w:val="0"/>
          <w:caps w:val="0"/>
          <w:color w:val="auto"/>
          <w:spacing w:val="12"/>
          <w:sz w:val="28"/>
          <w:szCs w:val="28"/>
        </w:rPr>
        <w:t>三是</w:t>
      </w:r>
      <w:r>
        <w:rPr>
          <w:rFonts w:hint="eastAsia" w:ascii="宋体" w:hAnsi="宋体" w:eastAsia="宋体" w:cs="宋体"/>
          <w:i w:val="0"/>
          <w:iCs w:val="0"/>
          <w:caps w:val="0"/>
          <w:color w:val="auto"/>
          <w:spacing w:val="12"/>
          <w:sz w:val="28"/>
          <w:szCs w:val="28"/>
        </w:rPr>
        <w:t>高度重视“好差评”以评促改。逐条梳理处置“好差评”、“办不成事”留言评价，统筹分类研判，定期总结分析，及时沟通协调，完成改进优化举措总计18项。</w:t>
      </w:r>
      <w:r>
        <w:rPr>
          <w:rStyle w:val="6"/>
          <w:rFonts w:hint="eastAsia" w:ascii="宋体" w:hAnsi="宋体" w:eastAsia="宋体" w:cs="宋体"/>
          <w:b/>
          <w:bCs/>
          <w:i w:val="0"/>
          <w:iCs w:val="0"/>
          <w:caps w:val="0"/>
          <w:color w:val="auto"/>
          <w:spacing w:val="12"/>
          <w:sz w:val="28"/>
          <w:szCs w:val="28"/>
        </w:rPr>
        <w:t>四是</w:t>
      </w:r>
      <w:r>
        <w:rPr>
          <w:rFonts w:hint="eastAsia" w:ascii="宋体" w:hAnsi="宋体" w:eastAsia="宋体" w:cs="宋体"/>
          <w:i w:val="0"/>
          <w:iCs w:val="0"/>
          <w:caps w:val="0"/>
          <w:color w:val="auto"/>
          <w:spacing w:val="12"/>
          <w:sz w:val="28"/>
          <w:szCs w:val="28"/>
        </w:rPr>
        <w:t>加强自助终端集成服务，推广覆盖至全市各区管理部。同时2024年推动6项业务新增接入“一网通办”自助终端，累计接入23项。</w:t>
      </w:r>
    </w:p>
    <w:p w14:paraId="537493A5">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（四）宣传培训情况</w:t>
      </w:r>
    </w:p>
    <w:p w14:paraId="12F16F51">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一是</w:t>
      </w:r>
      <w:r>
        <w:rPr>
          <w:rFonts w:hint="eastAsia" w:ascii="宋体" w:hAnsi="宋体" w:eastAsia="宋体" w:cs="宋体"/>
          <w:i w:val="0"/>
          <w:iCs w:val="0"/>
          <w:caps w:val="0"/>
          <w:color w:val="auto"/>
          <w:spacing w:val="12"/>
          <w:sz w:val="28"/>
          <w:szCs w:val="28"/>
        </w:rPr>
        <w:t>不断丰富新媒体宣传内容和形式，围绕企业和群众关注的热点，及时发布住房公积金相关新政、推出住房公积金执法系列、“一网通办智能导办”系列等专题，累计阅读量破百万。</w:t>
      </w:r>
      <w:r>
        <w:rPr>
          <w:rStyle w:val="6"/>
          <w:rFonts w:hint="eastAsia" w:ascii="宋体" w:hAnsi="宋体" w:eastAsia="宋体" w:cs="宋体"/>
          <w:b/>
          <w:bCs/>
          <w:i w:val="0"/>
          <w:iCs w:val="0"/>
          <w:caps w:val="0"/>
          <w:color w:val="auto"/>
          <w:spacing w:val="12"/>
          <w:sz w:val="28"/>
          <w:szCs w:val="28"/>
        </w:rPr>
        <w:t>二是</w:t>
      </w:r>
      <w:r>
        <w:rPr>
          <w:rFonts w:hint="eastAsia" w:ascii="宋体" w:hAnsi="宋体" w:eastAsia="宋体" w:cs="宋体"/>
          <w:i w:val="0"/>
          <w:iCs w:val="0"/>
          <w:caps w:val="0"/>
          <w:color w:val="auto"/>
          <w:spacing w:val="12"/>
          <w:sz w:val="28"/>
          <w:szCs w:val="28"/>
        </w:rPr>
        <w:t>积极组织开展政策培训宣讲，采取线上直播、线下互动等形式，与有关部门联合开展住房公积金政策宣讲工作，2024年总计组织开展培训138场次，取得了良好的社会效益。同时积极参与上海市“保租房毕业季进校园”系列专项活动，为高校毕业生提供住房公积金提取等一站式服务，助力高校毕业生安心选房租房。</w:t>
      </w:r>
    </w:p>
    <w:p w14:paraId="7EFF799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（五）执法推进情况</w:t>
      </w:r>
    </w:p>
    <w:p w14:paraId="3DA33C31">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一是</w:t>
      </w:r>
      <w:r>
        <w:rPr>
          <w:rFonts w:hint="eastAsia" w:ascii="宋体" w:hAnsi="宋体" w:eastAsia="宋体" w:cs="宋体"/>
          <w:i w:val="0"/>
          <w:iCs w:val="0"/>
          <w:caps w:val="0"/>
          <w:color w:val="auto"/>
          <w:spacing w:val="12"/>
          <w:sz w:val="28"/>
          <w:szCs w:val="28"/>
        </w:rPr>
        <w:t>强化行政执法社会信用管理，实现住房公积金行政执法公示信息与信用信息平台互联互通、实时对接，提高行政执法工作质效。同时，修改完善住房公积金领域公共信用信息修复制度，保障信用主体的公共信用信息修复权益。</w:t>
      </w:r>
      <w:r>
        <w:rPr>
          <w:rStyle w:val="6"/>
          <w:rFonts w:hint="eastAsia" w:ascii="宋体" w:hAnsi="宋体" w:eastAsia="宋体" w:cs="宋体"/>
          <w:b/>
          <w:bCs/>
          <w:i w:val="0"/>
          <w:iCs w:val="0"/>
          <w:caps w:val="0"/>
          <w:color w:val="auto"/>
          <w:spacing w:val="12"/>
          <w:sz w:val="28"/>
          <w:szCs w:val="28"/>
        </w:rPr>
        <w:t>二是</w:t>
      </w:r>
      <w:r>
        <w:rPr>
          <w:rFonts w:hint="eastAsia" w:ascii="宋体" w:hAnsi="宋体" w:eastAsia="宋体" w:cs="宋体"/>
          <w:i w:val="0"/>
          <w:iCs w:val="0"/>
          <w:caps w:val="0"/>
          <w:color w:val="auto"/>
          <w:spacing w:val="12"/>
          <w:sz w:val="28"/>
          <w:szCs w:val="28"/>
        </w:rPr>
        <w:t>积极维护职工合法权益，2024年全市共受理登记投诉举报3794件，经督促协调，2114件得以在立案前协调化解，立案前的协调化解率为58.14%。当年共发出《责令限期缴存通知书》305件，向人民法院申请强制执行163件,通过执法办案共为4700名职工追回住房公积金5355.02万元。</w:t>
      </w:r>
    </w:p>
    <w:p w14:paraId="63F6351B">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（六）风险防控情况</w:t>
      </w:r>
    </w:p>
    <w:p w14:paraId="79BA2F58">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一是</w:t>
      </w:r>
      <w:r>
        <w:rPr>
          <w:rFonts w:hint="eastAsia" w:ascii="宋体" w:hAnsi="宋体" w:eastAsia="宋体" w:cs="宋体"/>
          <w:i w:val="0"/>
          <w:iCs w:val="0"/>
          <w:caps w:val="0"/>
          <w:color w:val="auto"/>
          <w:spacing w:val="12"/>
          <w:sz w:val="28"/>
          <w:szCs w:val="28"/>
        </w:rPr>
        <w:t>完善风险防控系统提示机制，优化调整风险指标规则，强化风控检查结果运用,辅助日常业务安全有序开展，进一步提升精细化管理水平。</w:t>
      </w:r>
      <w:r>
        <w:rPr>
          <w:rStyle w:val="6"/>
          <w:rFonts w:hint="eastAsia" w:ascii="宋体" w:hAnsi="宋体" w:eastAsia="宋体" w:cs="宋体"/>
          <w:b/>
          <w:bCs/>
          <w:i w:val="0"/>
          <w:iCs w:val="0"/>
          <w:caps w:val="0"/>
          <w:color w:val="auto"/>
          <w:spacing w:val="12"/>
          <w:sz w:val="28"/>
          <w:szCs w:val="28"/>
        </w:rPr>
        <w:t>二是</w:t>
      </w:r>
      <w:r>
        <w:rPr>
          <w:rFonts w:hint="eastAsia" w:ascii="宋体" w:hAnsi="宋体" w:eastAsia="宋体" w:cs="宋体"/>
          <w:i w:val="0"/>
          <w:iCs w:val="0"/>
          <w:caps w:val="0"/>
          <w:color w:val="auto"/>
          <w:spacing w:val="12"/>
          <w:sz w:val="28"/>
          <w:szCs w:val="28"/>
        </w:rPr>
        <w:t>对业务风险点和防控措施进行再梳理、再分析、再检视、再优化，补齐漏洞短板。进一步用好技术手段，通过中心风险防控系统、内控平台等排查疑点数据和业务，完善风险防控措施，提高内控管理水平。</w:t>
      </w:r>
    </w:p>
    <w:p w14:paraId="16395527">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（七）信息化建设情况</w:t>
      </w:r>
    </w:p>
    <w:p w14:paraId="2C502DE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一是</w:t>
      </w:r>
      <w:r>
        <w:rPr>
          <w:rFonts w:hint="eastAsia" w:ascii="宋体" w:hAnsi="宋体" w:eastAsia="宋体" w:cs="宋体"/>
          <w:i w:val="0"/>
          <w:iCs w:val="0"/>
          <w:caps w:val="0"/>
          <w:color w:val="auto"/>
          <w:spacing w:val="12"/>
          <w:sz w:val="28"/>
          <w:szCs w:val="28"/>
        </w:rPr>
        <w:t>有序推进数据质量提升工作取得实效。制定中心数据质量提升工作方案，建立组织领导和工作推进机制，完善数据管理平台功能，多渠道聚合数据检核规则，多轮次实施数据治理，有效提升基础数据质量，不断夯实数据底座。</w:t>
      </w:r>
      <w:r>
        <w:rPr>
          <w:rStyle w:val="6"/>
          <w:rFonts w:hint="eastAsia" w:ascii="宋体" w:hAnsi="宋体" w:eastAsia="宋体" w:cs="宋体"/>
          <w:b/>
          <w:bCs/>
          <w:i w:val="0"/>
          <w:iCs w:val="0"/>
          <w:caps w:val="0"/>
          <w:color w:val="auto"/>
          <w:spacing w:val="12"/>
          <w:sz w:val="28"/>
          <w:szCs w:val="28"/>
        </w:rPr>
        <w:t>二是</w:t>
      </w:r>
      <w:r>
        <w:rPr>
          <w:rFonts w:hint="eastAsia" w:ascii="宋体" w:hAnsi="宋体" w:eastAsia="宋体" w:cs="宋体"/>
          <w:i w:val="0"/>
          <w:iCs w:val="0"/>
          <w:caps w:val="0"/>
          <w:color w:val="auto"/>
          <w:spacing w:val="12"/>
          <w:sz w:val="28"/>
          <w:szCs w:val="28"/>
        </w:rPr>
        <w:t>成功推动住房公积金个人住房贷款购房“一件事”上线。通过数字化支撑和集成服务改革，在购买预售商品房实现“一站式申请”“并联式审批”“不见面抵押”，帮助借款人实现线上办、简材料、减跑动，进一步提升住房公积金贷款服务的体验度。</w:t>
      </w:r>
      <w:r>
        <w:rPr>
          <w:rStyle w:val="6"/>
          <w:rFonts w:hint="eastAsia" w:ascii="宋体" w:hAnsi="宋体" w:eastAsia="宋体" w:cs="宋体"/>
          <w:b/>
          <w:bCs/>
          <w:i w:val="0"/>
          <w:iCs w:val="0"/>
          <w:caps w:val="0"/>
          <w:color w:val="auto"/>
          <w:spacing w:val="12"/>
          <w:sz w:val="28"/>
          <w:szCs w:val="28"/>
        </w:rPr>
        <w:t>三是</w:t>
      </w:r>
      <w:r>
        <w:rPr>
          <w:rFonts w:hint="eastAsia" w:ascii="宋体" w:hAnsi="宋体" w:eastAsia="宋体" w:cs="宋体"/>
          <w:i w:val="0"/>
          <w:iCs w:val="0"/>
          <w:caps w:val="0"/>
          <w:color w:val="auto"/>
          <w:spacing w:val="12"/>
          <w:sz w:val="28"/>
          <w:szCs w:val="28"/>
        </w:rPr>
        <w:t>如期完成电子档案系统建设任务。落实《住房公积金业务档案管理标准》，基本实现线上、线下业务档案“收、管、存、用”全流程管理功能，切实提高业务档案管理标准化、规范化水平。</w:t>
      </w:r>
    </w:p>
    <w:p w14:paraId="362F6B6D">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（八）荣誉获得情况</w:t>
      </w:r>
    </w:p>
    <w:p w14:paraId="45520EAA">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08" w:firstLineChars="200"/>
        <w:jc w:val="left"/>
        <w:textAlignment w:val="auto"/>
        <w:rPr>
          <w:rFonts w:hint="eastAsia" w:ascii="宋体" w:hAnsi="宋体" w:eastAsia="宋体" w:cs="宋体"/>
          <w:color w:val="auto"/>
          <w:spacing w:val="12"/>
          <w:sz w:val="28"/>
          <w:szCs w:val="28"/>
        </w:rPr>
      </w:pPr>
      <w:r>
        <w:rPr>
          <w:rFonts w:hint="eastAsia" w:ascii="宋体" w:hAnsi="宋体" w:eastAsia="宋体" w:cs="宋体"/>
          <w:i w:val="0"/>
          <w:iCs w:val="0"/>
          <w:caps w:val="0"/>
          <w:color w:val="auto"/>
          <w:spacing w:val="12"/>
          <w:sz w:val="28"/>
          <w:szCs w:val="28"/>
        </w:rPr>
        <w:t>2024年，中心、部门及职工共获得省部级以上荣誉12项，分别为：上海12329住房公积金热线荣获“2023年12345市民服务热线系统立功竞赛专业赛道奖项”；上海住房公积金网获评2023年度中国领先政务网站；上海公积金微博获评2023年度中国优秀政务新媒体；上海公积金“远程虚拟窗口”服务获评2024年中国“互联网+政务服务”十佳创新案例；中心1个部门获评2024年上海市巾帼文明岗；中心2个部门荣获2024年度市“一网通办”立功竞赛活动集体奖项，其中二等奖1个、三等奖1个；中心3名职工荣获2024年度市“一网通办”立功竞赛活动个人奖项，其中一等奖1名、二等奖1名、三等奖1名；中心退休党支部获评2022-2024年度“上海市离退休干部示范党支部”；“公积金妈咪小屋”获评2024年上海工会“五星级”爱心妈咪小屋。</w:t>
      </w:r>
    </w:p>
    <w:p w14:paraId="6BF489C3">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08" w:firstLineChars="200"/>
        <w:jc w:val="left"/>
        <w:textAlignment w:val="auto"/>
        <w:rPr>
          <w:rFonts w:hint="eastAsia" w:ascii="宋体" w:hAnsi="宋体" w:eastAsia="宋体" w:cs="宋体"/>
          <w:color w:val="auto"/>
          <w:spacing w:val="12"/>
          <w:sz w:val="28"/>
          <w:szCs w:val="28"/>
        </w:rPr>
      </w:pPr>
      <w:r>
        <w:rPr>
          <w:rFonts w:hint="eastAsia" w:ascii="宋体" w:hAnsi="宋体" w:eastAsia="宋体" w:cs="宋体"/>
          <w:i w:val="0"/>
          <w:iCs w:val="0"/>
          <w:caps w:val="0"/>
          <w:color w:val="auto"/>
          <w:spacing w:val="12"/>
          <w:sz w:val="28"/>
          <w:szCs w:val="28"/>
        </w:rPr>
        <w:t>　　</w:t>
      </w:r>
    </w:p>
    <w:p w14:paraId="5DB35FF8">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08" w:firstLineChars="200"/>
        <w:jc w:val="left"/>
        <w:textAlignment w:val="auto"/>
        <w:rPr>
          <w:rFonts w:hint="eastAsia" w:ascii="宋体" w:hAnsi="宋体" w:eastAsia="宋体" w:cs="宋体"/>
          <w:color w:val="auto"/>
          <w:spacing w:val="12"/>
          <w:sz w:val="28"/>
          <w:szCs w:val="28"/>
        </w:rPr>
      </w:pPr>
    </w:p>
    <w:p w14:paraId="2E4A5F36">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08" w:firstLineChars="200"/>
        <w:jc w:val="right"/>
        <w:textAlignment w:val="auto"/>
        <w:rPr>
          <w:rFonts w:hint="eastAsia" w:ascii="宋体" w:hAnsi="宋体" w:eastAsia="宋体" w:cs="宋体"/>
          <w:color w:val="auto"/>
          <w:spacing w:val="12"/>
          <w:sz w:val="28"/>
          <w:szCs w:val="28"/>
        </w:rPr>
      </w:pPr>
      <w:r>
        <w:rPr>
          <w:rFonts w:hint="eastAsia" w:ascii="宋体" w:hAnsi="宋体" w:eastAsia="宋体" w:cs="宋体"/>
          <w:i w:val="0"/>
          <w:iCs w:val="0"/>
          <w:caps w:val="0"/>
          <w:color w:val="auto"/>
          <w:spacing w:val="12"/>
          <w:sz w:val="28"/>
          <w:szCs w:val="28"/>
        </w:rPr>
        <w:t>上海市公积金管理中心</w:t>
      </w:r>
    </w:p>
    <w:p w14:paraId="43E803C7">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08" w:firstLineChars="200"/>
        <w:jc w:val="right"/>
        <w:textAlignment w:val="auto"/>
        <w:rPr>
          <w:rFonts w:hint="eastAsia" w:ascii="宋体" w:hAnsi="宋体" w:eastAsia="宋体" w:cs="宋体"/>
          <w:color w:val="auto"/>
          <w:spacing w:val="12"/>
          <w:sz w:val="28"/>
          <w:szCs w:val="28"/>
        </w:rPr>
      </w:pPr>
      <w:r>
        <w:rPr>
          <w:rFonts w:hint="eastAsia" w:ascii="宋体" w:hAnsi="宋体" w:eastAsia="宋体" w:cs="宋体"/>
          <w:i w:val="0"/>
          <w:iCs w:val="0"/>
          <w:caps w:val="0"/>
          <w:color w:val="auto"/>
          <w:spacing w:val="12"/>
          <w:sz w:val="28"/>
          <w:szCs w:val="28"/>
        </w:rPr>
        <w:t>2025年3月31日</w:t>
      </w:r>
    </w:p>
    <w:p w14:paraId="68803C81">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08" w:firstLineChars="200"/>
        <w:jc w:val="left"/>
        <w:textAlignment w:val="auto"/>
        <w:rPr>
          <w:rFonts w:hint="eastAsia" w:ascii="宋体" w:hAnsi="宋体" w:eastAsia="宋体" w:cs="宋体"/>
          <w:color w:val="auto"/>
          <w:spacing w:val="12"/>
          <w:sz w:val="28"/>
          <w:szCs w:val="28"/>
        </w:rPr>
      </w:pPr>
      <w:r>
        <w:rPr>
          <w:rFonts w:hint="eastAsia" w:ascii="宋体" w:hAnsi="宋体" w:eastAsia="宋体" w:cs="宋体"/>
          <w:i w:val="0"/>
          <w:iCs w:val="0"/>
          <w:caps w:val="0"/>
          <w:color w:val="auto"/>
          <w:spacing w:val="12"/>
          <w:sz w:val="28"/>
          <w:szCs w:val="28"/>
        </w:rPr>
        <w:t>　　</w:t>
      </w:r>
      <w:r>
        <w:rPr>
          <w:rFonts w:hint="eastAsia" w:ascii="宋体" w:hAnsi="宋体" w:eastAsia="宋体" w:cs="宋体"/>
          <w:i w:val="0"/>
          <w:iCs w:val="0"/>
          <w:caps w:val="0"/>
          <w:color w:val="auto"/>
          <w:spacing w:val="12"/>
          <w:sz w:val="28"/>
          <w:szCs w:val="28"/>
        </w:rPr>
        <w:br w:type="textWrapping"/>
      </w:r>
      <w:r>
        <w:rPr>
          <w:rFonts w:hint="eastAsia" w:ascii="宋体" w:hAnsi="宋体" w:eastAsia="宋体" w:cs="宋体"/>
          <w:i w:val="0"/>
          <w:iCs w:val="0"/>
          <w:caps w:val="0"/>
          <w:color w:val="auto"/>
          <w:spacing w:val="12"/>
          <w:sz w:val="28"/>
          <w:szCs w:val="28"/>
        </w:rPr>
        <w:t> </w:t>
      </w:r>
    </w:p>
    <w:p w14:paraId="5E9B4639">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住房和城乡建设部公布的住房公积金信息披露的指标解释口径：</w:t>
      </w:r>
    </w:p>
    <w:p w14:paraId="04DD9DFA">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1.实缴单位数：</w:t>
      </w:r>
      <w:r>
        <w:rPr>
          <w:rFonts w:hint="eastAsia" w:ascii="宋体" w:hAnsi="宋体" w:eastAsia="宋体" w:cs="宋体"/>
          <w:i w:val="0"/>
          <w:iCs w:val="0"/>
          <w:caps w:val="0"/>
          <w:color w:val="auto"/>
          <w:spacing w:val="12"/>
          <w:sz w:val="28"/>
          <w:szCs w:val="28"/>
        </w:rPr>
        <w:t>指实际发生过1次（含）以上汇缴、补缴住房公积金的单位数。</w:t>
      </w:r>
    </w:p>
    <w:p w14:paraId="56C8D845">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2.实缴职工人数：</w:t>
      </w:r>
      <w:r>
        <w:rPr>
          <w:rFonts w:hint="eastAsia" w:ascii="宋体" w:hAnsi="宋体" w:eastAsia="宋体" w:cs="宋体"/>
          <w:i w:val="0"/>
          <w:iCs w:val="0"/>
          <w:caps w:val="0"/>
          <w:color w:val="auto"/>
          <w:spacing w:val="12"/>
          <w:sz w:val="28"/>
          <w:szCs w:val="28"/>
        </w:rPr>
        <w:t>指实际发生过1次（含）以上汇缴、补缴住房公积金的职工人数。</w:t>
      </w:r>
    </w:p>
    <w:p w14:paraId="03701007">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3.缴存额：</w:t>
      </w:r>
      <w:r>
        <w:rPr>
          <w:rFonts w:hint="eastAsia" w:ascii="宋体" w:hAnsi="宋体" w:eastAsia="宋体" w:cs="宋体"/>
          <w:i w:val="0"/>
          <w:iCs w:val="0"/>
          <w:caps w:val="0"/>
          <w:color w:val="auto"/>
          <w:spacing w:val="12"/>
          <w:sz w:val="28"/>
          <w:szCs w:val="28"/>
        </w:rPr>
        <w:t>指当年实际缴存的住房公积金金额（包括实际汇缴、补缴金额和结转利息）。</w:t>
      </w:r>
    </w:p>
    <w:p w14:paraId="46B6C238">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4.缴存余额：</w:t>
      </w:r>
      <w:r>
        <w:rPr>
          <w:rFonts w:hint="eastAsia" w:ascii="宋体" w:hAnsi="宋体" w:eastAsia="宋体" w:cs="宋体"/>
          <w:i w:val="0"/>
          <w:iCs w:val="0"/>
          <w:caps w:val="0"/>
          <w:color w:val="auto"/>
          <w:spacing w:val="12"/>
          <w:sz w:val="28"/>
          <w:szCs w:val="28"/>
        </w:rPr>
        <w:t>指截至年末缴存总额（包括应付给职工的住房公积金结转利息）扣除累计提取额后的金额。</w:t>
      </w:r>
    </w:p>
    <w:p w14:paraId="03FF77CC">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5.新开户单位数：</w:t>
      </w:r>
      <w:r>
        <w:rPr>
          <w:rFonts w:hint="eastAsia" w:ascii="宋体" w:hAnsi="宋体" w:eastAsia="宋体" w:cs="宋体"/>
          <w:i w:val="0"/>
          <w:iCs w:val="0"/>
          <w:caps w:val="0"/>
          <w:color w:val="auto"/>
          <w:spacing w:val="12"/>
          <w:sz w:val="28"/>
          <w:szCs w:val="28"/>
        </w:rPr>
        <w:t>指新开立住房公积金账户（不含尚未缴存）的单位数。</w:t>
      </w:r>
    </w:p>
    <w:p w14:paraId="6B95423A">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6.新开户人数：</w:t>
      </w:r>
      <w:r>
        <w:rPr>
          <w:rFonts w:hint="eastAsia" w:ascii="宋体" w:hAnsi="宋体" w:eastAsia="宋体" w:cs="宋体"/>
          <w:i w:val="0"/>
          <w:iCs w:val="0"/>
          <w:caps w:val="0"/>
          <w:color w:val="auto"/>
          <w:spacing w:val="12"/>
          <w:sz w:val="28"/>
          <w:szCs w:val="28"/>
        </w:rPr>
        <w:t>指新开立住房公积金账户（不含尚未缴存）的职工人数。</w:t>
      </w:r>
    </w:p>
    <w:p w14:paraId="1FFB248D">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7.净增单位数：</w:t>
      </w:r>
      <w:r>
        <w:rPr>
          <w:rFonts w:hint="eastAsia" w:ascii="宋体" w:hAnsi="宋体" w:eastAsia="宋体" w:cs="宋体"/>
          <w:i w:val="0"/>
          <w:iCs w:val="0"/>
          <w:caps w:val="0"/>
          <w:color w:val="auto"/>
          <w:spacing w:val="12"/>
          <w:sz w:val="28"/>
          <w:szCs w:val="28"/>
        </w:rPr>
        <w:t>指当年实际缴存单位数与上年实际缴存单位数的差额。</w:t>
      </w:r>
    </w:p>
    <w:p w14:paraId="5B747687">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8.净增职工人数：</w:t>
      </w:r>
      <w:r>
        <w:rPr>
          <w:rFonts w:hint="eastAsia" w:ascii="宋体" w:hAnsi="宋体" w:eastAsia="宋体" w:cs="宋体"/>
          <w:i w:val="0"/>
          <w:iCs w:val="0"/>
          <w:caps w:val="0"/>
          <w:color w:val="auto"/>
          <w:spacing w:val="12"/>
          <w:sz w:val="28"/>
          <w:szCs w:val="28"/>
        </w:rPr>
        <w:t>指当年实际缴存职工人数与上年实际缴存职工人数的差额。</w:t>
      </w:r>
    </w:p>
    <w:p w14:paraId="0A04578F">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9.发放住房公积金贴息贷款金额：</w:t>
      </w:r>
      <w:r>
        <w:rPr>
          <w:rFonts w:hint="eastAsia" w:ascii="宋体" w:hAnsi="宋体" w:eastAsia="宋体" w:cs="宋体"/>
          <w:i w:val="0"/>
          <w:iCs w:val="0"/>
          <w:caps w:val="0"/>
          <w:color w:val="auto"/>
          <w:spacing w:val="12"/>
          <w:sz w:val="28"/>
          <w:szCs w:val="28"/>
        </w:rPr>
        <w:t>指由商业银行向缴存职工发放的个人住房贷款金额（包括中心以存量的公积金贷款资产出表转为商业贷款的金额），商业贷款和住房公积金贷款利息之差由住房公积金管理中心承担，所发放的个人住房贷款未计入住房公积金缴存使用情况表。</w:t>
      </w:r>
    </w:p>
    <w:p w14:paraId="5AEE35B5">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10.当年贴息额：</w:t>
      </w:r>
      <w:r>
        <w:rPr>
          <w:rFonts w:hint="eastAsia" w:ascii="宋体" w:hAnsi="宋体" w:eastAsia="宋体" w:cs="宋体"/>
          <w:i w:val="0"/>
          <w:iCs w:val="0"/>
          <w:caps w:val="0"/>
          <w:color w:val="auto"/>
          <w:spacing w:val="12"/>
          <w:sz w:val="28"/>
          <w:szCs w:val="28"/>
        </w:rPr>
        <w:t>指为以前年度发放和本年度发放的贴息贷款，在本年度内支付的贴息金额。</w:t>
      </w:r>
    </w:p>
    <w:p w14:paraId="7EE2745B">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11.个人住房贷款市场占有率：</w:t>
      </w:r>
      <w:r>
        <w:rPr>
          <w:rFonts w:hint="eastAsia" w:ascii="宋体" w:hAnsi="宋体" w:eastAsia="宋体" w:cs="宋体"/>
          <w:i w:val="0"/>
          <w:iCs w:val="0"/>
          <w:caps w:val="0"/>
          <w:color w:val="auto"/>
          <w:spacing w:val="12"/>
          <w:sz w:val="28"/>
          <w:szCs w:val="28"/>
        </w:rPr>
        <w:t>指年末住房公积金个人住房贷款余额占当地商业性和住房公积金个人住房贷款余额总和的比率。</w:t>
      </w:r>
    </w:p>
    <w:p w14:paraId="275D8F95">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12.个人住房贷款支持职工购建房面积：</w:t>
      </w:r>
      <w:r>
        <w:rPr>
          <w:rFonts w:hint="eastAsia" w:ascii="宋体" w:hAnsi="宋体" w:eastAsia="宋体" w:cs="宋体"/>
          <w:i w:val="0"/>
          <w:iCs w:val="0"/>
          <w:caps w:val="0"/>
          <w:color w:val="auto"/>
          <w:spacing w:val="12"/>
          <w:sz w:val="28"/>
          <w:szCs w:val="28"/>
        </w:rPr>
        <w:t>指利用住房公积金个人住房贷款（含组合贷款）支持职工购买（建造）住房的建筑面积。</w:t>
      </w:r>
    </w:p>
    <w:p w14:paraId="63474FFB">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13.住房公积金存款额：</w:t>
      </w:r>
      <w:r>
        <w:rPr>
          <w:rFonts w:hint="eastAsia" w:ascii="宋体" w:hAnsi="宋体" w:eastAsia="宋体" w:cs="宋体"/>
          <w:i w:val="0"/>
          <w:iCs w:val="0"/>
          <w:caps w:val="0"/>
          <w:color w:val="auto"/>
          <w:spacing w:val="12"/>
          <w:sz w:val="28"/>
          <w:szCs w:val="28"/>
        </w:rPr>
        <w:t>指年末住房公积金存放在银行的资金额，包括融资资金，不包括开发商保证金等不能用于提取、贷款的资金，不包括增值收益专户存款。</w:t>
      </w:r>
    </w:p>
    <w:p w14:paraId="7CD49296">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14.增值收益率：</w:t>
      </w:r>
      <w:r>
        <w:rPr>
          <w:rFonts w:hint="eastAsia" w:ascii="宋体" w:hAnsi="宋体" w:eastAsia="宋体" w:cs="宋体"/>
          <w:i w:val="0"/>
          <w:iCs w:val="0"/>
          <w:caps w:val="0"/>
          <w:color w:val="auto"/>
          <w:spacing w:val="12"/>
          <w:sz w:val="28"/>
          <w:szCs w:val="28"/>
        </w:rPr>
        <w:t>指增值收益与月均缴存余额的比率。月均缴存余额指当年内各月末住房公积金累计缴存余额之和除以12。</w:t>
      </w:r>
    </w:p>
    <w:p w14:paraId="7B128EF6">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15.个人住房贷款逾期额：</w:t>
      </w:r>
      <w:r>
        <w:rPr>
          <w:rFonts w:hint="eastAsia" w:ascii="宋体" w:hAnsi="宋体" w:eastAsia="宋体" w:cs="宋体"/>
          <w:i w:val="0"/>
          <w:iCs w:val="0"/>
          <w:caps w:val="0"/>
          <w:color w:val="auto"/>
          <w:spacing w:val="12"/>
          <w:sz w:val="28"/>
          <w:szCs w:val="28"/>
        </w:rPr>
        <w:t>指截至年末借款合同约定到期3个月（含）以上、6个月（不含）以内应还未还贷款本金额与合同约定到期6个月（含）以上未归还贷款的本金余额之和。</w:t>
      </w:r>
    </w:p>
    <w:p w14:paraId="1F2EDEB0">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16.缴存、提取、贷款职工按收入水平分类：</w:t>
      </w:r>
      <w:r>
        <w:rPr>
          <w:rFonts w:hint="eastAsia" w:ascii="宋体" w:hAnsi="宋体" w:eastAsia="宋体" w:cs="宋体"/>
          <w:i w:val="0"/>
          <w:iCs w:val="0"/>
          <w:caps w:val="0"/>
          <w:color w:val="auto"/>
          <w:spacing w:val="12"/>
          <w:sz w:val="28"/>
          <w:szCs w:val="28"/>
        </w:rPr>
        <w:t>中、低收入是指收入低于上年当地社会平均工资3倍，高收入是指收入高于上年当地社会平均工资3倍（含）。</w:t>
      </w:r>
    </w:p>
    <w:p w14:paraId="2537BAA1">
      <w:pPr>
        <w:pStyle w:val="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right="0" w:firstLine="610" w:firstLineChars="200"/>
        <w:jc w:val="left"/>
        <w:textAlignment w:val="auto"/>
        <w:rPr>
          <w:rFonts w:hint="eastAsia" w:ascii="宋体" w:hAnsi="宋体" w:eastAsia="宋体" w:cs="宋体"/>
          <w:color w:val="auto"/>
          <w:spacing w:val="12"/>
          <w:sz w:val="28"/>
          <w:szCs w:val="28"/>
        </w:rPr>
      </w:pPr>
      <w:r>
        <w:rPr>
          <w:rStyle w:val="6"/>
          <w:rFonts w:hint="eastAsia" w:ascii="宋体" w:hAnsi="宋体" w:eastAsia="宋体" w:cs="宋体"/>
          <w:b/>
          <w:bCs/>
          <w:i w:val="0"/>
          <w:iCs w:val="0"/>
          <w:caps w:val="0"/>
          <w:color w:val="auto"/>
          <w:spacing w:val="12"/>
          <w:sz w:val="28"/>
          <w:szCs w:val="28"/>
        </w:rPr>
        <w:t>17.可节约职工购房利息支出：</w:t>
      </w:r>
      <w:r>
        <w:rPr>
          <w:rFonts w:hint="eastAsia" w:ascii="宋体" w:hAnsi="宋体" w:eastAsia="宋体" w:cs="宋体"/>
          <w:i w:val="0"/>
          <w:iCs w:val="0"/>
          <w:caps w:val="0"/>
          <w:color w:val="auto"/>
          <w:spacing w:val="12"/>
          <w:sz w:val="28"/>
          <w:szCs w:val="28"/>
        </w:rPr>
        <w:t>当年获得住房公积金个人住房贷款的职工合同期内所需支付贷款利息总额与申请商业性住房贷款利息总额的差额。商业性住房贷款利率按照相应期限的最新贷款市场报价利率（LPR）测算。</w:t>
      </w:r>
    </w:p>
    <w:p w14:paraId="1DCD9D2B">
      <w:pPr>
        <w:rPr>
          <w:rFonts w:hint="eastAsia" w:ascii="宋体" w:hAnsi="宋体" w:eastAsia="宋体" w:cs="宋体"/>
          <w:color w:val="auto"/>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瀹嬩綋">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307B42"/>
    <w:multiLevelType w:val="multilevel"/>
    <w:tmpl w:val="4E307B4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6451E4"/>
    <w:rsid w:val="1BD3588D"/>
    <w:rsid w:val="2B87499D"/>
    <w:rsid w:val="31005165"/>
    <w:rsid w:val="3CA74168"/>
    <w:rsid w:val="50207E67"/>
    <w:rsid w:val="5A464AEA"/>
    <w:rsid w:val="5E3A6572"/>
    <w:rsid w:val="694D19F7"/>
    <w:rsid w:val="6A0D69E6"/>
    <w:rsid w:val="6E470A20"/>
    <w:rsid w:val="734E111A"/>
    <w:rsid w:val="78B06C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customXml" Target="../customXml/item1.xml"/><Relationship Id="rId3"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6" Type="http://schemas.openxmlformats.org/officeDocument/2006/relationships/image" Target="media/image3.png"/><Relationship Id="rId11" Type="http://schemas.openxmlformats.org/officeDocument/2006/relationships/numbering" Target="numbering.xml"/><Relationship Id="rId1" Type="http://schemas.openxmlformats.org/officeDocument/2006/relationships/styles" Target="styles.xml"/><Relationship Id="rId5" Type="http://schemas.openxmlformats.org/officeDocument/2006/relationships/image" Target="media/image2.png"/><Relationship Id="rId15" Type="http://schemas.openxmlformats.org/officeDocument/2006/relationships/customXml" Target="../customXml/item3.xml"/><Relationship Id="rId10" Type="http://schemas.openxmlformats.org/officeDocument/2006/relationships/image" Target="media/image7.png"/><Relationship Id="rId9" Type="http://schemas.openxmlformats.org/officeDocument/2006/relationships/image" Target="media/image6.png"/><Relationship Id="rId4" Type="http://schemas.openxmlformats.org/officeDocument/2006/relationships/image" Target="media/image1.png"/><Relationship Id="rId14" Type="http://schemas.openxmlformats.org/officeDocument/2006/relationships/customXml" Target="../customXml/item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28C7B6C620067247A35EF62A3E68EE62" ma:contentTypeVersion="2" ma:contentTypeDescription="新建文档。" ma:contentTypeScope="" ma:versionID="afb9c51b290a08b96651a149e23bf63d">
  <xsd:schema xmlns:xsd="http://www.w3.org/2001/XMLSchema" xmlns:xs="http://www.w3.org/2001/XMLSchema" xmlns:p="http://schemas.microsoft.com/office/2006/metadata/properties" xmlns:ns2="eca6eae4-1627-4e8d-9a6b-5b4dd91506e7" targetNamespace="http://schemas.microsoft.com/office/2006/metadata/properties" ma:root="true" ma:fieldsID="5c256d110dbc588a3a1a6b419ffcea87" ns2:_="">
    <xsd:import namespace="eca6eae4-1627-4e8d-9a6b-5b4dd91506e7"/>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a6eae4-1627-4e8d-9a6b-5b4dd91506e7"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33C37A-F388-41FA-A494-C0307F8CF7C6}"/>
</file>

<file path=customXml/itemProps2.xml><?xml version="1.0" encoding="utf-8"?>
<ds:datastoreItem xmlns:ds="http://schemas.openxmlformats.org/officeDocument/2006/customXml" ds:itemID="{5FD36E98-1EF2-4B4F-B044-9A3FC6396FFB}"/>
</file>

<file path=customXml/itemProps3.xml><?xml version="1.0" encoding="utf-8"?>
<ds:datastoreItem xmlns:ds="http://schemas.openxmlformats.org/officeDocument/2006/customXml" ds:itemID="{880FEC0C-0F8B-4EDF-9472-3EA73097E525}"/>
</file>

<file path=docProps/app.xml><?xml version="1.0" encoding="utf-8"?>
<Properties xmlns="http://schemas.openxmlformats.org/officeDocument/2006/extended-properties" xmlns:vt="http://schemas.openxmlformats.org/officeDocument/2006/docPropsVTypes">
  <Template>Normal.dotm</Template>
  <Pages>19</Pages>
  <Words>1616</Words>
  <Characters>2069</Characters>
  <Lines>0</Lines>
  <Paragraphs>0</Paragraphs>
  <TotalTime>6</TotalTime>
  <ScaleCrop>false</ScaleCrop>
  <LinksUpToDate>false</LinksUpToDate>
  <CharactersWithSpaces>2111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LUOMEI</dc:creator>
  <cp:lastModifiedBy>罗梅</cp:lastModifiedBy>
  <dcterms:created xsi:type="dcterms:W3CDTF">2025-03-31T02:37:00Z</dcterms:created>
  <dcterms:modified xsi:type="dcterms:W3CDTF">2025-07-26T11:38:26Z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6D0A5559053044809DED031A1F9FB034_12</vt:lpwstr>
  </property>
  <property fmtid="{D5CDD505-2E9C-101B-9397-08002B2CF9AE}" pid="4" name="KSOTemplateDocerSaveRecord">
    <vt:lpwstr>eyJoZGlkIjoiYWUyYjdhNzVkZGJkZDNjMjhiNWM0OWYyY2Q5YjcwNDMiLCJ1c2VySWQiOiIzODM3MDMyOTMifQ==</vt:lpwstr>
  </property>
  <property fmtid="{D5CDD505-2E9C-101B-9397-08002B2CF9AE}" pid="5" name="ContentTypeId">
    <vt:lpwstr>0x01010028C7B6C620067247A35EF62A3E68EE62</vt:lpwstr>
  </property>
</Properties>
</file>