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88694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line="240" w:lineRule="auto"/>
        <w:ind w:left="0" w:firstLine="0"/>
        <w:jc w:val="center"/>
        <w:textAlignment w:val="auto"/>
        <w:rPr>
          <w:rFonts w:hint="eastAsia" w:ascii="宋体" w:hAnsi="宋体" w:eastAsia="宋体" w:cs="宋体"/>
          <w:b/>
          <w:bCs/>
          <w:i w:val="0"/>
          <w:iCs w:val="0"/>
          <w:caps w:val="0"/>
          <w:color w:val="auto"/>
          <w:spacing w:val="0"/>
          <w:kern w:val="0"/>
          <w:sz w:val="44"/>
          <w:szCs w:val="44"/>
          <w:u w:val="none"/>
          <w:shd w:val="clear" w:fill="FFFFFF"/>
          <w:lang w:val="en-US" w:eastAsia="zh-CN" w:bidi="ar"/>
        </w:rPr>
      </w:pPr>
      <w:r>
        <w:rPr>
          <w:rFonts w:hint="eastAsia" w:ascii="宋体" w:hAnsi="宋体" w:eastAsia="宋体" w:cs="宋体"/>
          <w:b/>
          <w:bCs/>
          <w:i w:val="0"/>
          <w:iCs w:val="0"/>
          <w:caps w:val="0"/>
          <w:color w:val="auto"/>
          <w:spacing w:val="0"/>
          <w:kern w:val="0"/>
          <w:sz w:val="44"/>
          <w:szCs w:val="44"/>
          <w:u w:val="none"/>
          <w:shd w:val="clear" w:fill="FFFFFF"/>
          <w:lang w:val="en-US" w:eastAsia="zh-CN" w:bidi="ar"/>
        </w:rPr>
        <w:t>成都住房公积金2024年年度报告</w:t>
      </w:r>
    </w:p>
    <w:p w14:paraId="4045C16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line="240" w:lineRule="auto"/>
        <w:ind w:left="0" w:firstLine="0"/>
        <w:jc w:val="center"/>
        <w:textAlignment w:val="auto"/>
        <w:rPr>
          <w:rFonts w:hint="eastAsia" w:ascii="宋体" w:hAnsi="宋体" w:eastAsia="宋体" w:cs="宋体"/>
          <w:b/>
          <w:bCs/>
          <w:i w:val="0"/>
          <w:iCs w:val="0"/>
          <w:caps w:val="0"/>
          <w:color w:val="auto"/>
          <w:spacing w:val="0"/>
          <w:kern w:val="0"/>
          <w:sz w:val="44"/>
          <w:szCs w:val="44"/>
          <w:u w:val="none"/>
          <w:shd w:val="clear" w:fill="FFFFFF"/>
          <w:lang w:val="en-US" w:eastAsia="zh-CN" w:bidi="ar"/>
        </w:rPr>
      </w:pPr>
    </w:p>
    <w:p w14:paraId="44E63CF4">
      <w:pPr>
        <w:keepNext w:val="0"/>
        <w:keepLines w:val="0"/>
        <w:pageBreakBefore w:val="0"/>
        <w:widowControl/>
        <w:suppressLineNumbers w:val="0"/>
        <w:pBdr>
          <w:top w:val="none" w:color="auto" w:sz="0" w:space="0"/>
          <w:left w:val="none" w:color="auto" w:sz="0" w:space="0"/>
          <w:bottom w:val="none" w:color="F2F2F2" w:sz="0" w:space="0"/>
          <w:right w:val="none" w:color="auto" w:sz="0" w:space="0"/>
        </w:pBdr>
        <w:shd w:val="clear" w:fill="FFFFFF"/>
        <w:kinsoku/>
        <w:wordWrap/>
        <w:overflowPunct/>
        <w:topLinePunct w:val="0"/>
        <w:autoSpaceDE/>
        <w:autoSpaceDN/>
        <w:bidi w:val="0"/>
        <w:adjustRightInd/>
        <w:snapToGrid/>
        <w:spacing w:beforeAutospacing="0" w:line="240" w:lineRule="auto"/>
        <w:ind w:left="0" w:firstLine="528" w:firstLineChars="200"/>
        <w:jc w:val="left"/>
        <w:textAlignment w:val="auto"/>
        <w:rPr>
          <w:rFonts w:hint="eastAsia" w:ascii="宋体" w:hAnsi="宋体" w:eastAsia="宋体" w:cs="宋体"/>
          <w:i w:val="0"/>
          <w:iCs w:val="0"/>
          <w:caps w:val="0"/>
          <w:color w:val="auto"/>
          <w:spacing w:val="12"/>
          <w:sz w:val="16"/>
          <w:szCs w:val="16"/>
          <w:u w:val="none"/>
        </w:rPr>
      </w:pPr>
      <w:r>
        <w:rPr>
          <w:rFonts w:hint="eastAsia" w:ascii="宋体" w:hAnsi="宋体" w:eastAsia="宋体" w:cs="宋体"/>
          <w:i w:val="0"/>
          <w:iCs w:val="0"/>
          <w:caps w:val="0"/>
          <w:color w:val="auto"/>
          <w:spacing w:val="12"/>
          <w:kern w:val="0"/>
          <w:sz w:val="24"/>
          <w:szCs w:val="24"/>
          <w:u w:val="none"/>
          <w:shd w:val="clear" w:fill="FFFFFF"/>
          <w:lang w:val="en-US" w:eastAsia="zh-CN" w:bidi="ar"/>
        </w:rPr>
        <w:t>供稿：成都住房公积金管理中心 更新时间： 2025-03-28 17:00</w:t>
      </w:r>
      <w:r>
        <w:rPr>
          <w:rFonts w:hint="eastAsia" w:ascii="宋体" w:hAnsi="宋体" w:eastAsia="宋体" w:cs="宋体"/>
          <w:i w:val="0"/>
          <w:iCs w:val="0"/>
          <w:caps w:val="0"/>
          <w:color w:val="auto"/>
          <w:spacing w:val="12"/>
          <w:kern w:val="0"/>
          <w:sz w:val="16"/>
          <w:szCs w:val="16"/>
          <w:u w:val="none"/>
          <w:shd w:val="clear" w:fill="FFFFFF"/>
          <w:lang w:val="en-US" w:eastAsia="zh-CN" w:bidi="ar"/>
        </w:rPr>
        <w:fldChar w:fldCharType="begin"/>
      </w:r>
      <w:r>
        <w:rPr>
          <w:rFonts w:hint="eastAsia" w:ascii="宋体" w:hAnsi="宋体" w:eastAsia="宋体" w:cs="宋体"/>
          <w:i w:val="0"/>
          <w:iCs w:val="0"/>
          <w:caps w:val="0"/>
          <w:color w:val="auto"/>
          <w:spacing w:val="12"/>
          <w:kern w:val="0"/>
          <w:sz w:val="16"/>
          <w:szCs w:val="16"/>
          <w:u w:val="none"/>
          <w:shd w:val="clear" w:fill="FFFFFF"/>
          <w:lang w:val="en-US" w:eastAsia="zh-CN" w:bidi="ar"/>
        </w:rPr>
        <w:instrText xml:space="preserve"> HYPERLINK "javascript:window.open('http://v.t.sina.com.cn/share/share.php?title='+encodeURIComponent(document.title.substring(0,76))+'&amp;url='+encodeURIComponent(location.href)+'&amp;rcontent=','_blank','scrollbars=no,width=600,height=450,left=75,top=20,status=no,resizable=yes'); void 0" \o "分享到新浪微博" </w:instrText>
      </w:r>
      <w:r>
        <w:rPr>
          <w:rFonts w:hint="eastAsia" w:ascii="宋体" w:hAnsi="宋体" w:eastAsia="宋体" w:cs="宋体"/>
          <w:i w:val="0"/>
          <w:iCs w:val="0"/>
          <w:caps w:val="0"/>
          <w:color w:val="auto"/>
          <w:spacing w:val="12"/>
          <w:kern w:val="0"/>
          <w:sz w:val="16"/>
          <w:szCs w:val="16"/>
          <w:u w:val="none"/>
          <w:shd w:val="clear" w:fill="FFFFFF"/>
          <w:lang w:val="en-US" w:eastAsia="zh-CN" w:bidi="ar"/>
        </w:rPr>
        <w:fldChar w:fldCharType="separate"/>
      </w:r>
      <w:r>
        <w:rPr>
          <w:rFonts w:hint="eastAsia" w:ascii="宋体" w:hAnsi="宋体" w:eastAsia="宋体" w:cs="宋体"/>
          <w:i w:val="0"/>
          <w:iCs w:val="0"/>
          <w:caps w:val="0"/>
          <w:color w:val="auto"/>
          <w:spacing w:val="12"/>
          <w:kern w:val="0"/>
          <w:sz w:val="16"/>
          <w:szCs w:val="16"/>
          <w:u w:val="none"/>
          <w:shd w:val="clear" w:fill="FFFFFF"/>
          <w:lang w:val="en-US" w:eastAsia="zh-CN" w:bidi="ar"/>
        </w:rPr>
        <w:fldChar w:fldCharType="end"/>
      </w:r>
      <w:r>
        <w:rPr>
          <w:rFonts w:hint="eastAsia" w:ascii="宋体" w:hAnsi="宋体" w:eastAsia="宋体" w:cs="宋体"/>
          <w:i w:val="0"/>
          <w:iCs w:val="0"/>
          <w:caps w:val="0"/>
          <w:color w:val="auto"/>
          <w:spacing w:val="12"/>
          <w:kern w:val="0"/>
          <w:sz w:val="16"/>
          <w:szCs w:val="16"/>
          <w:u w:val="none"/>
          <w:shd w:val="clear" w:fill="FFFFFF"/>
          <w:lang w:val="en-US" w:eastAsia="zh-CN" w:bidi="ar"/>
        </w:rPr>
        <w:fldChar w:fldCharType="begin"/>
      </w:r>
      <w:r>
        <w:rPr>
          <w:rFonts w:hint="eastAsia" w:ascii="宋体" w:hAnsi="宋体" w:eastAsia="宋体" w:cs="宋体"/>
          <w:i w:val="0"/>
          <w:iCs w:val="0"/>
          <w:caps w:val="0"/>
          <w:color w:val="auto"/>
          <w:spacing w:val="12"/>
          <w:kern w:val="0"/>
          <w:sz w:val="16"/>
          <w:szCs w:val="16"/>
          <w:u w:val="none"/>
          <w:shd w:val="clear" w:fill="FFFFFF"/>
          <w:lang w:val="en-US" w:eastAsia="zh-CN" w:bidi="ar"/>
        </w:rPr>
        <w:instrText xml:space="preserve"> HYPERLINK "javascript:void(0);" \o "分享到微信" </w:instrText>
      </w:r>
      <w:r>
        <w:rPr>
          <w:rFonts w:hint="eastAsia" w:ascii="宋体" w:hAnsi="宋体" w:eastAsia="宋体" w:cs="宋体"/>
          <w:i w:val="0"/>
          <w:iCs w:val="0"/>
          <w:caps w:val="0"/>
          <w:color w:val="auto"/>
          <w:spacing w:val="12"/>
          <w:kern w:val="0"/>
          <w:sz w:val="16"/>
          <w:szCs w:val="16"/>
          <w:u w:val="none"/>
          <w:shd w:val="clear" w:fill="FFFFFF"/>
          <w:lang w:val="en-US" w:eastAsia="zh-CN" w:bidi="ar"/>
        </w:rPr>
        <w:fldChar w:fldCharType="separate"/>
      </w:r>
      <w:r>
        <w:rPr>
          <w:rFonts w:hint="eastAsia" w:ascii="宋体" w:hAnsi="宋体" w:eastAsia="宋体" w:cs="宋体"/>
          <w:i w:val="0"/>
          <w:iCs w:val="0"/>
          <w:caps w:val="0"/>
          <w:color w:val="auto"/>
          <w:spacing w:val="12"/>
          <w:kern w:val="0"/>
          <w:sz w:val="16"/>
          <w:szCs w:val="16"/>
          <w:u w:val="none"/>
          <w:shd w:val="clear" w:fill="FFFFFF"/>
          <w:lang w:val="en-US" w:eastAsia="zh-CN" w:bidi="ar"/>
        </w:rPr>
        <w:fldChar w:fldCharType="end"/>
      </w:r>
    </w:p>
    <w:p w14:paraId="080833E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240" w:lineRule="auto"/>
        <w:ind w:left="0" w:right="0" w:firstLine="560" w:firstLineChars="200"/>
        <w:jc w:val="left"/>
        <w:textAlignment w:val="auto"/>
        <w:rPr>
          <w:rFonts w:hint="eastAsia" w:ascii="宋体" w:hAnsi="宋体" w:eastAsia="宋体" w:cs="宋体"/>
          <w:color w:val="auto"/>
          <w:sz w:val="28"/>
          <w:szCs w:val="28"/>
          <w:u w:val="none"/>
        </w:rPr>
      </w:pPr>
      <w:r>
        <w:rPr>
          <w:rFonts w:hint="eastAsia" w:ascii="宋体" w:hAnsi="宋体" w:eastAsia="宋体" w:cs="宋体"/>
          <w:i w:val="0"/>
          <w:iCs w:val="0"/>
          <w:caps w:val="0"/>
          <w:color w:val="auto"/>
          <w:spacing w:val="0"/>
          <w:kern w:val="0"/>
          <w:sz w:val="28"/>
          <w:szCs w:val="28"/>
          <w:u w:val="none"/>
          <w:shd w:val="clear" w:fill="FFFFFF"/>
          <w:lang w:val="en-US" w:eastAsia="zh-CN" w:bidi="ar"/>
        </w:rPr>
        <w:t>根据国务院《住房公积金管理条例》和住房和城乡建设部、财政部、人民银行《关于健全住房公积金信息披露制度的通知》（建金〔2015〕26号）的规定，经成都住房公积金管理委员会审议通过，现将成都住房公积金2024年年度报告公布如下：</w:t>
      </w:r>
    </w:p>
    <w:p w14:paraId="18D7235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240" w:lineRule="auto"/>
        <w:ind w:left="0" w:right="0" w:firstLine="602" w:firstLineChars="200"/>
        <w:jc w:val="left"/>
        <w:textAlignment w:val="auto"/>
        <w:rPr>
          <w:rFonts w:hint="eastAsia" w:ascii="宋体" w:hAnsi="宋体" w:eastAsia="宋体" w:cs="宋体"/>
          <w:b/>
          <w:bCs/>
          <w:color w:val="auto"/>
          <w:sz w:val="30"/>
          <w:szCs w:val="30"/>
          <w:u w:val="none"/>
        </w:rPr>
      </w:pPr>
      <w:r>
        <w:rPr>
          <w:rFonts w:hint="eastAsia" w:ascii="宋体" w:hAnsi="宋体" w:eastAsia="宋体" w:cs="宋体"/>
          <w:b/>
          <w:bCs/>
          <w:i w:val="0"/>
          <w:iCs w:val="0"/>
          <w:caps w:val="0"/>
          <w:color w:val="auto"/>
          <w:spacing w:val="0"/>
          <w:kern w:val="0"/>
          <w:sz w:val="30"/>
          <w:szCs w:val="30"/>
          <w:u w:val="none"/>
          <w:shd w:val="clear" w:fill="FFFFFF"/>
          <w:lang w:val="en-US" w:eastAsia="zh-CN" w:bidi="ar"/>
        </w:rPr>
        <w:t>一、机构概况</w:t>
      </w:r>
    </w:p>
    <w:p w14:paraId="00B809C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240" w:lineRule="auto"/>
        <w:ind w:left="0" w:right="0" w:firstLine="560" w:firstLineChars="200"/>
        <w:jc w:val="left"/>
        <w:textAlignment w:val="auto"/>
        <w:rPr>
          <w:rFonts w:hint="eastAsia" w:ascii="宋体" w:hAnsi="宋体" w:eastAsia="宋体" w:cs="宋体"/>
          <w:color w:val="auto"/>
          <w:sz w:val="28"/>
          <w:szCs w:val="28"/>
          <w:u w:val="none"/>
        </w:rPr>
      </w:pPr>
      <w:r>
        <w:rPr>
          <w:rFonts w:hint="eastAsia" w:ascii="宋体" w:hAnsi="宋体" w:eastAsia="宋体" w:cs="宋体"/>
          <w:b w:val="0"/>
          <w:bCs w:val="0"/>
          <w:i w:val="0"/>
          <w:iCs w:val="0"/>
          <w:caps w:val="0"/>
          <w:color w:val="auto"/>
          <w:spacing w:val="0"/>
          <w:kern w:val="0"/>
          <w:sz w:val="28"/>
          <w:szCs w:val="28"/>
          <w:u w:val="none"/>
          <w:shd w:val="clear" w:fill="FFFFFF"/>
          <w:lang w:val="en-US" w:eastAsia="zh-CN" w:bidi="ar"/>
        </w:rPr>
        <w:t>（一）住房公积金管理委员会</w:t>
      </w:r>
      <w:r>
        <w:rPr>
          <w:rFonts w:hint="eastAsia" w:ascii="宋体" w:hAnsi="宋体" w:eastAsia="宋体" w:cs="宋体"/>
          <w:i w:val="0"/>
          <w:iCs w:val="0"/>
          <w:caps w:val="0"/>
          <w:color w:val="auto"/>
          <w:spacing w:val="0"/>
          <w:kern w:val="0"/>
          <w:sz w:val="28"/>
          <w:szCs w:val="28"/>
          <w:u w:val="none"/>
          <w:shd w:val="clear" w:fill="FFFFFF"/>
          <w:lang w:val="en-US" w:eastAsia="zh-CN" w:bidi="ar"/>
        </w:rPr>
        <w:t>：成都住房公积金管理委员会有31名委员，2024年召开2次全体委员会议，审议通过的事项主要包括：《关于调整住房公积金有关政策的通知》《成都市灵活就业人员参加住房公积金制度试点管理办法》《关于部分合作银行增加归集业务事项的请示》《成都住房公积金管理中心2023年年度报告》《成都住房公积金管理中心2023年住房公积金计划执行及增值收益分配情况和2024年计划及增值收益分配预案》《成都住房公积金管理中心省级分中心2023年住房公积金计划执行及增值收益分配情况和2024年计划及增值收益分配预案》。书面审议通过的事项主要包括：《关于提高多子女家庭首套房住房公积金最高贷款额度的通知》《关于公布2024年成都住房公积金缴存基数及缴存比例执行标准的通知》《关于进一步优化住房公积金有关政策促进房地产市场平稳健康发展的通知》《成都商业性个人住房贷款转住房公积金个人住房贷款管理办法》《关于完善在蓉外籍人士参与住房公积金制度的通知》《关于成攀住房公积金一体化发展有关政策的通知》。</w:t>
      </w:r>
    </w:p>
    <w:p w14:paraId="593ABD4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240" w:lineRule="auto"/>
        <w:ind w:left="0" w:right="0" w:firstLine="560" w:firstLineChars="200"/>
        <w:jc w:val="left"/>
        <w:textAlignment w:val="auto"/>
        <w:rPr>
          <w:rFonts w:hint="eastAsia" w:ascii="宋体" w:hAnsi="宋体" w:eastAsia="宋体" w:cs="宋体"/>
          <w:color w:val="auto"/>
          <w:sz w:val="28"/>
          <w:szCs w:val="28"/>
          <w:u w:val="none"/>
        </w:rPr>
      </w:pPr>
      <w:r>
        <w:rPr>
          <w:rFonts w:hint="eastAsia" w:ascii="宋体" w:hAnsi="宋体" w:eastAsia="宋体" w:cs="宋体"/>
          <w:i w:val="0"/>
          <w:iCs w:val="0"/>
          <w:caps w:val="0"/>
          <w:color w:val="auto"/>
          <w:spacing w:val="0"/>
          <w:kern w:val="0"/>
          <w:sz w:val="28"/>
          <w:szCs w:val="28"/>
          <w:u w:val="none"/>
          <w:shd w:val="clear" w:fill="FFFFFF"/>
          <w:lang w:val="en-US" w:eastAsia="zh-CN" w:bidi="ar"/>
        </w:rPr>
        <w:t>（二）住房公积金管理中心：成都住房公积金管理中心（以下简称市中心）为成都市政府直属公益二类事业单位，设16个正处级内设机构，7个正处级业务经办管理机构（分中心），业务经办管理机构下设22个正科级业务经办机构（服务部）。四川省省级住房公积金管理中心（以下简称省级分中心）、四川石油管理局住房公积金管理中心（以下简称石油分中心）加挂成都住房公积金管理中心分中心牌子，在授权管理下独立运作。从业人员548人，其中，在编199人，非在编349人。</w:t>
      </w:r>
    </w:p>
    <w:p w14:paraId="0D71D7F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240" w:lineRule="auto"/>
        <w:ind w:left="0" w:right="0" w:firstLine="562" w:firstLineChars="200"/>
        <w:jc w:val="left"/>
        <w:textAlignment w:val="auto"/>
        <w:rPr>
          <w:rFonts w:hint="eastAsia" w:ascii="宋体" w:hAnsi="宋体" w:eastAsia="宋体" w:cs="宋体"/>
          <w:b/>
          <w:bCs/>
          <w:color w:val="auto"/>
          <w:sz w:val="28"/>
          <w:szCs w:val="28"/>
          <w:u w:val="none"/>
        </w:rPr>
      </w:pPr>
      <w:r>
        <w:rPr>
          <w:rFonts w:hint="eastAsia" w:ascii="宋体" w:hAnsi="宋体" w:eastAsia="宋体" w:cs="宋体"/>
          <w:b/>
          <w:bCs/>
          <w:i w:val="0"/>
          <w:iCs w:val="0"/>
          <w:caps w:val="0"/>
          <w:color w:val="auto"/>
          <w:spacing w:val="0"/>
          <w:kern w:val="0"/>
          <w:sz w:val="28"/>
          <w:szCs w:val="28"/>
          <w:u w:val="none"/>
          <w:shd w:val="clear" w:fill="FFFFFF"/>
          <w:lang w:val="en-US" w:eastAsia="zh-CN" w:bidi="ar"/>
        </w:rPr>
        <w:t>二、业务运行情况</w:t>
      </w:r>
    </w:p>
    <w:p w14:paraId="3A87C0F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240" w:lineRule="auto"/>
        <w:ind w:left="0" w:right="0" w:firstLine="560" w:firstLineChars="200"/>
        <w:jc w:val="left"/>
        <w:textAlignment w:val="auto"/>
        <w:rPr>
          <w:rFonts w:hint="eastAsia" w:ascii="宋体" w:hAnsi="宋体" w:eastAsia="宋体" w:cs="宋体"/>
          <w:color w:val="auto"/>
          <w:sz w:val="28"/>
          <w:szCs w:val="28"/>
          <w:u w:val="none"/>
        </w:rPr>
      </w:pPr>
      <w:r>
        <w:rPr>
          <w:rFonts w:hint="eastAsia" w:ascii="宋体" w:hAnsi="宋体" w:eastAsia="宋体" w:cs="宋体"/>
          <w:i w:val="0"/>
          <w:iCs w:val="0"/>
          <w:caps w:val="0"/>
          <w:color w:val="auto"/>
          <w:spacing w:val="0"/>
          <w:kern w:val="0"/>
          <w:sz w:val="28"/>
          <w:szCs w:val="28"/>
          <w:u w:val="none"/>
          <w:shd w:val="clear" w:fill="FFFFFF"/>
          <w:lang w:val="en-US" w:eastAsia="zh-CN" w:bidi="ar"/>
        </w:rPr>
        <w:t>（一）缴存：2024年，新开户单位21,981家，净增单位10,635家；新开户人数48.93万人，净增人数4.37万人；实缴单位128,527家，实缴人数464.82万人，</w:t>
      </w:r>
      <w:r>
        <w:rPr>
          <w:rFonts w:hint="eastAsia" w:ascii="宋体" w:hAnsi="宋体" w:eastAsia="宋体" w:cs="宋体"/>
          <w:i w:val="0"/>
          <w:iCs w:val="0"/>
          <w:caps w:val="0"/>
          <w:color w:val="auto"/>
          <w:spacing w:val="0"/>
          <w:kern w:val="0"/>
          <w:sz w:val="28"/>
          <w:szCs w:val="28"/>
          <w:highlight w:val="yellow"/>
          <w:u w:val="none"/>
          <w:shd w:val="clear" w:fill="FFFFFF"/>
          <w:lang w:val="en-US" w:eastAsia="zh-CN" w:bidi="ar"/>
        </w:rPr>
        <w:t>缴存额855.96亿元，</w:t>
      </w:r>
      <w:r>
        <w:rPr>
          <w:rFonts w:hint="eastAsia" w:ascii="宋体" w:hAnsi="宋体" w:eastAsia="宋体" w:cs="宋体"/>
          <w:i w:val="0"/>
          <w:iCs w:val="0"/>
          <w:caps w:val="0"/>
          <w:color w:val="auto"/>
          <w:spacing w:val="0"/>
          <w:kern w:val="0"/>
          <w:sz w:val="28"/>
          <w:szCs w:val="28"/>
          <w:u w:val="none"/>
          <w:shd w:val="clear" w:fill="FFFFFF"/>
          <w:lang w:val="en-US" w:eastAsia="zh-CN" w:bidi="ar"/>
        </w:rPr>
        <w:t>分别同比增长9.02%、0.95%、6.73%。2024年末，缴存总额7,094.25亿元，比上年末增长13.72%；缴存余额2,281.73亿元，同比增长7.68%。受委托办理住房公积金缴存业务的银行16家。</w:t>
      </w:r>
    </w:p>
    <w:p w14:paraId="60F40ED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240" w:lineRule="auto"/>
        <w:ind w:left="0" w:right="0" w:firstLine="560" w:firstLineChars="200"/>
        <w:jc w:val="left"/>
        <w:textAlignment w:val="auto"/>
        <w:rPr>
          <w:rFonts w:hint="eastAsia" w:ascii="宋体" w:hAnsi="宋体" w:eastAsia="宋体" w:cs="宋体"/>
          <w:i w:val="0"/>
          <w:iCs w:val="0"/>
          <w:caps w:val="0"/>
          <w:color w:val="auto"/>
          <w:spacing w:val="0"/>
          <w:kern w:val="0"/>
          <w:sz w:val="28"/>
          <w:szCs w:val="28"/>
          <w:u w:val="none"/>
          <w:shd w:val="clear" w:fill="FFFFFF"/>
          <w:lang w:val="en-US" w:eastAsia="zh-CN" w:bidi="ar"/>
        </w:rPr>
      </w:pPr>
      <w:r>
        <w:rPr>
          <w:rFonts w:hint="eastAsia" w:ascii="宋体" w:hAnsi="宋体" w:eastAsia="宋体" w:cs="宋体"/>
          <w:i w:val="0"/>
          <w:iCs w:val="0"/>
          <w:caps w:val="0"/>
          <w:color w:val="auto"/>
          <w:spacing w:val="0"/>
          <w:kern w:val="0"/>
          <w:sz w:val="28"/>
          <w:szCs w:val="28"/>
          <w:u w:val="none"/>
          <w:shd w:val="clear" w:fill="FFFFFF"/>
          <w:lang w:val="en-US" w:eastAsia="zh-CN" w:bidi="ar"/>
        </w:rPr>
        <w:t>（二）提取：2024年，224.88万名缴存人提取住房公积金；提取额693.19亿元，同比增长6.41%；提取额占当年缴存额的80.98%，比上年减少0.25个百分点。2024年末，提取总额4,812.51亿元，比上年末增长16.83%。</w:t>
      </w:r>
    </w:p>
    <w:p w14:paraId="61DE523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240" w:lineRule="auto"/>
        <w:ind w:left="0" w:right="0" w:firstLine="560" w:firstLineChars="200"/>
        <w:jc w:val="left"/>
        <w:textAlignment w:val="auto"/>
        <w:rPr>
          <w:rFonts w:hint="eastAsia" w:ascii="宋体" w:hAnsi="宋体" w:eastAsia="宋体" w:cs="宋体"/>
          <w:i w:val="0"/>
          <w:iCs w:val="0"/>
          <w:caps w:val="0"/>
          <w:color w:val="auto"/>
          <w:spacing w:val="0"/>
          <w:kern w:val="0"/>
          <w:sz w:val="28"/>
          <w:szCs w:val="28"/>
          <w:u w:val="none"/>
          <w:shd w:val="clear" w:fill="FFFFFF"/>
          <w:lang w:val="en-US" w:eastAsia="zh-CN" w:bidi="ar"/>
        </w:rPr>
      </w:pPr>
    </w:p>
    <w:p w14:paraId="1BDFD80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240" w:lineRule="auto"/>
        <w:ind w:left="0" w:right="0" w:firstLine="560" w:firstLineChars="200"/>
        <w:jc w:val="left"/>
        <w:textAlignment w:val="auto"/>
        <w:rPr>
          <w:rFonts w:hint="eastAsia" w:ascii="宋体" w:hAnsi="宋体" w:eastAsia="宋体" w:cs="宋体"/>
          <w:i w:val="0"/>
          <w:iCs w:val="0"/>
          <w:caps w:val="0"/>
          <w:color w:val="auto"/>
          <w:spacing w:val="0"/>
          <w:kern w:val="0"/>
          <w:sz w:val="28"/>
          <w:szCs w:val="28"/>
          <w:u w:val="none"/>
          <w:shd w:val="clear" w:fill="FFFFFF"/>
          <w:lang w:val="en-US" w:eastAsia="zh-CN" w:bidi="ar"/>
        </w:rPr>
      </w:pPr>
    </w:p>
    <w:p w14:paraId="2E9596A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240" w:lineRule="auto"/>
        <w:ind w:left="0" w:right="0" w:firstLine="560" w:firstLineChars="200"/>
        <w:jc w:val="left"/>
        <w:textAlignment w:val="auto"/>
        <w:rPr>
          <w:rFonts w:hint="eastAsia" w:ascii="宋体" w:hAnsi="宋体" w:eastAsia="宋体" w:cs="宋体"/>
          <w:i w:val="0"/>
          <w:iCs w:val="0"/>
          <w:caps w:val="0"/>
          <w:color w:val="auto"/>
          <w:spacing w:val="0"/>
          <w:kern w:val="0"/>
          <w:sz w:val="28"/>
          <w:szCs w:val="28"/>
          <w:u w:val="none"/>
          <w:shd w:val="clear" w:fill="FFFFFF"/>
          <w:lang w:val="en-US" w:eastAsia="zh-CN" w:bidi="ar"/>
        </w:rPr>
      </w:pPr>
    </w:p>
    <w:p w14:paraId="481F6A9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240" w:lineRule="auto"/>
        <w:ind w:left="0" w:right="0" w:firstLine="562" w:firstLineChars="200"/>
        <w:jc w:val="left"/>
        <w:textAlignment w:val="auto"/>
        <w:rPr>
          <w:rFonts w:hint="eastAsia" w:ascii="宋体" w:hAnsi="宋体" w:eastAsia="宋体" w:cs="宋体"/>
          <w:b/>
          <w:bCs/>
          <w:i w:val="0"/>
          <w:iCs w:val="0"/>
          <w:caps w:val="0"/>
          <w:color w:val="auto"/>
          <w:spacing w:val="0"/>
          <w:kern w:val="0"/>
          <w:sz w:val="28"/>
          <w:szCs w:val="28"/>
          <w:u w:val="none"/>
          <w:shd w:val="clear" w:fill="FFFFFF"/>
          <w:lang w:val="en-US" w:eastAsia="zh-CN" w:bidi="ar"/>
        </w:rPr>
      </w:pPr>
      <w:r>
        <w:rPr>
          <w:rFonts w:hint="eastAsia" w:ascii="宋体" w:hAnsi="宋体" w:eastAsia="宋体" w:cs="宋体"/>
          <w:b/>
          <w:bCs/>
          <w:i w:val="0"/>
          <w:iCs w:val="0"/>
          <w:caps w:val="0"/>
          <w:color w:val="auto"/>
          <w:spacing w:val="0"/>
          <w:kern w:val="0"/>
          <w:sz w:val="28"/>
          <w:szCs w:val="28"/>
          <w:u w:val="none"/>
          <w:shd w:val="clear" w:fill="FFFFFF"/>
          <w:lang w:val="en-US" w:eastAsia="zh-CN" w:bidi="ar"/>
        </w:rPr>
        <w:t>（三）贷款</w:t>
      </w:r>
    </w:p>
    <w:p w14:paraId="27A76D1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240" w:lineRule="auto"/>
        <w:ind w:left="0" w:right="0" w:firstLine="560" w:firstLineChars="200"/>
        <w:jc w:val="left"/>
        <w:textAlignment w:val="auto"/>
        <w:rPr>
          <w:rFonts w:hint="eastAsia" w:ascii="宋体" w:hAnsi="宋体" w:eastAsia="宋体" w:cs="宋体"/>
          <w:color w:val="auto"/>
          <w:sz w:val="28"/>
          <w:szCs w:val="28"/>
          <w:u w:val="none"/>
        </w:rPr>
      </w:pPr>
      <w:r>
        <w:rPr>
          <w:rFonts w:hint="eastAsia" w:ascii="宋体" w:hAnsi="宋体" w:eastAsia="宋体" w:cs="宋体"/>
          <w:i w:val="0"/>
          <w:iCs w:val="0"/>
          <w:caps w:val="0"/>
          <w:color w:val="auto"/>
          <w:spacing w:val="0"/>
          <w:kern w:val="0"/>
          <w:sz w:val="28"/>
          <w:szCs w:val="28"/>
          <w:u w:val="none"/>
          <w:shd w:val="clear" w:fill="FFFFFF"/>
          <w:lang w:val="en-US" w:eastAsia="zh-CN" w:bidi="ar"/>
        </w:rPr>
        <w:t>1．个人住房贷款：单缴存人个人住房贷款最高额度60万元，双缴存人个人住房贷款最高额度100万元，多子女家庭、“以旧换新”购房最高贷款额度对应上浮20%。</w:t>
      </w:r>
    </w:p>
    <w:p w14:paraId="2300F17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240" w:lineRule="auto"/>
        <w:ind w:left="0" w:right="0" w:firstLine="560" w:firstLineChars="200"/>
        <w:jc w:val="left"/>
        <w:textAlignment w:val="auto"/>
        <w:rPr>
          <w:rFonts w:hint="eastAsia" w:ascii="宋体" w:hAnsi="宋体" w:eastAsia="宋体" w:cs="宋体"/>
          <w:color w:val="auto"/>
          <w:sz w:val="28"/>
          <w:szCs w:val="28"/>
          <w:u w:val="none"/>
        </w:rPr>
      </w:pPr>
      <w:r>
        <w:rPr>
          <w:rFonts w:hint="eastAsia" w:ascii="宋体" w:hAnsi="宋体" w:eastAsia="宋体" w:cs="宋体"/>
          <w:i w:val="0"/>
          <w:iCs w:val="0"/>
          <w:caps w:val="0"/>
          <w:color w:val="auto"/>
          <w:spacing w:val="0"/>
          <w:kern w:val="0"/>
          <w:sz w:val="28"/>
          <w:szCs w:val="28"/>
          <w:u w:val="none"/>
          <w:shd w:val="clear" w:fill="FFFFFF"/>
          <w:lang w:val="en-US" w:eastAsia="zh-CN" w:bidi="ar"/>
        </w:rPr>
        <w:t>2024年，发放个人住房贷款5.05万笔256.50亿元，同比分别下降32.58%、27.40%。其中，市中心发放个人住房贷款4.54万笔229.51亿元，省级分中心发放个人住房贷款0.49万笔25.84亿元，石油分中心发放个人住房贷款0.02万笔1.15亿元。</w:t>
      </w:r>
    </w:p>
    <w:p w14:paraId="345772F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240" w:lineRule="auto"/>
        <w:ind w:left="0" w:right="0" w:firstLine="560" w:firstLineChars="200"/>
        <w:jc w:val="left"/>
        <w:textAlignment w:val="auto"/>
        <w:rPr>
          <w:rFonts w:hint="eastAsia" w:ascii="宋体" w:hAnsi="宋体" w:eastAsia="宋体" w:cs="宋体"/>
          <w:color w:val="auto"/>
          <w:sz w:val="28"/>
          <w:szCs w:val="28"/>
          <w:u w:val="none"/>
        </w:rPr>
      </w:pPr>
      <w:r>
        <w:rPr>
          <w:rFonts w:hint="eastAsia" w:ascii="宋体" w:hAnsi="宋体" w:eastAsia="宋体" w:cs="宋体"/>
          <w:i w:val="0"/>
          <w:iCs w:val="0"/>
          <w:caps w:val="0"/>
          <w:color w:val="auto"/>
          <w:spacing w:val="0"/>
          <w:kern w:val="0"/>
          <w:sz w:val="28"/>
          <w:szCs w:val="28"/>
          <w:u w:val="none"/>
          <w:shd w:val="clear" w:fill="FFFFFF"/>
          <w:lang w:val="en-US" w:eastAsia="zh-CN" w:bidi="ar"/>
        </w:rPr>
        <w:t>2024年，回收个人住房贷款216.29亿元。其中，市中心191.91亿元，省级分中心23.61亿元，石油分中心0.77亿元。</w:t>
      </w:r>
    </w:p>
    <w:p w14:paraId="349BD74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240" w:lineRule="auto"/>
        <w:ind w:left="0" w:right="0" w:firstLine="560" w:firstLineChars="200"/>
        <w:jc w:val="left"/>
        <w:textAlignment w:val="auto"/>
        <w:rPr>
          <w:rFonts w:hint="eastAsia" w:ascii="宋体" w:hAnsi="宋体" w:eastAsia="宋体" w:cs="宋体"/>
          <w:color w:val="auto"/>
          <w:sz w:val="28"/>
          <w:szCs w:val="28"/>
          <w:u w:val="none"/>
        </w:rPr>
      </w:pPr>
      <w:r>
        <w:rPr>
          <w:rFonts w:hint="eastAsia" w:ascii="宋体" w:hAnsi="宋体" w:eastAsia="宋体" w:cs="宋体"/>
          <w:i w:val="0"/>
          <w:iCs w:val="0"/>
          <w:caps w:val="0"/>
          <w:color w:val="auto"/>
          <w:spacing w:val="0"/>
          <w:kern w:val="0"/>
          <w:sz w:val="28"/>
          <w:szCs w:val="28"/>
          <w:u w:val="none"/>
          <w:shd w:val="clear" w:fill="FFFFFF"/>
          <w:lang w:val="en-US" w:eastAsia="zh-CN" w:bidi="ar"/>
        </w:rPr>
        <w:t>2024年末，累计发放个人住房贷款90.65万笔3,339.48亿元，贷款余额1,878.11亿元，分别比上年末增长5.91%、8.32%、2.19%。个人住房贷款余额占缴存余额的82.31%，比上年末减少4.43个百分点。受委托办理住房公积金个人住房贷款业务的银行18家。</w:t>
      </w:r>
    </w:p>
    <w:p w14:paraId="0281F04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240" w:lineRule="auto"/>
        <w:ind w:left="0" w:right="25" w:firstLine="560" w:firstLineChars="200"/>
        <w:jc w:val="left"/>
        <w:textAlignment w:val="auto"/>
        <w:rPr>
          <w:rFonts w:hint="eastAsia" w:ascii="宋体" w:hAnsi="宋体" w:eastAsia="宋体" w:cs="宋体"/>
          <w:color w:val="auto"/>
          <w:sz w:val="28"/>
          <w:szCs w:val="28"/>
          <w:u w:val="none"/>
        </w:rPr>
      </w:pPr>
      <w:r>
        <w:rPr>
          <w:rFonts w:hint="eastAsia" w:ascii="宋体" w:hAnsi="宋体" w:eastAsia="宋体" w:cs="宋体"/>
          <w:i w:val="0"/>
          <w:iCs w:val="0"/>
          <w:caps w:val="0"/>
          <w:color w:val="auto"/>
          <w:spacing w:val="0"/>
          <w:kern w:val="0"/>
          <w:sz w:val="28"/>
          <w:szCs w:val="28"/>
          <w:u w:val="none"/>
          <w:shd w:val="clear" w:fill="FFFFFF"/>
          <w:lang w:val="en-US" w:eastAsia="zh-CN" w:bidi="ar"/>
        </w:rPr>
        <w:t>2．异地贷款：2024年，发放异地贷款8,232笔489,473.90万元。2024年末，发放异地贷款总额3,275,327.11万元，异地贷款余额1,765,297.30万元。</w:t>
      </w:r>
    </w:p>
    <w:p w14:paraId="4D74D44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240" w:lineRule="auto"/>
        <w:ind w:left="0" w:right="0" w:firstLine="560" w:firstLineChars="200"/>
        <w:jc w:val="left"/>
        <w:textAlignment w:val="auto"/>
        <w:rPr>
          <w:rFonts w:hint="eastAsia" w:ascii="宋体" w:hAnsi="宋体" w:eastAsia="宋体" w:cs="宋体"/>
          <w:color w:val="auto"/>
          <w:sz w:val="28"/>
          <w:szCs w:val="28"/>
          <w:u w:val="none"/>
        </w:rPr>
      </w:pPr>
      <w:r>
        <w:rPr>
          <w:rFonts w:hint="eastAsia" w:ascii="宋体" w:hAnsi="宋体" w:eastAsia="宋体" w:cs="宋体"/>
          <w:i w:val="0"/>
          <w:iCs w:val="0"/>
          <w:caps w:val="0"/>
          <w:color w:val="auto"/>
          <w:spacing w:val="0"/>
          <w:kern w:val="0"/>
          <w:sz w:val="28"/>
          <w:szCs w:val="28"/>
          <w:u w:val="none"/>
          <w:shd w:val="clear" w:fill="FFFFFF"/>
          <w:lang w:val="en-US" w:eastAsia="zh-CN" w:bidi="ar"/>
        </w:rPr>
        <w:t>3．公转商贴息贷款：2024年，未发放公转商贴息贷款，当年贴息额66.23万元。2024年末，累计发放公转商贴息贷款419笔13,352.20万元，累计贴息687.68万元。</w:t>
      </w:r>
    </w:p>
    <w:p w14:paraId="1AF6775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240" w:lineRule="auto"/>
        <w:ind w:left="0" w:right="0" w:firstLine="560" w:firstLineChars="200"/>
        <w:jc w:val="left"/>
        <w:textAlignment w:val="auto"/>
        <w:rPr>
          <w:rFonts w:hint="eastAsia" w:ascii="宋体" w:hAnsi="宋体" w:eastAsia="宋体" w:cs="宋体"/>
          <w:color w:val="auto"/>
          <w:sz w:val="28"/>
          <w:szCs w:val="28"/>
          <w:u w:val="none"/>
        </w:rPr>
      </w:pPr>
      <w:r>
        <w:rPr>
          <w:rFonts w:hint="eastAsia" w:ascii="宋体" w:hAnsi="宋体" w:eastAsia="宋体" w:cs="宋体"/>
          <w:i w:val="0"/>
          <w:iCs w:val="0"/>
          <w:caps w:val="0"/>
          <w:color w:val="auto"/>
          <w:spacing w:val="0"/>
          <w:kern w:val="0"/>
          <w:sz w:val="28"/>
          <w:szCs w:val="28"/>
          <w:u w:val="none"/>
          <w:shd w:val="clear" w:fill="FFFFFF"/>
          <w:lang w:val="en-US" w:eastAsia="zh-CN" w:bidi="ar"/>
        </w:rPr>
        <w:t>（四）购买国债：2024年，未购买国债，无国债余额。</w:t>
      </w:r>
    </w:p>
    <w:p w14:paraId="2F86638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240" w:lineRule="auto"/>
        <w:ind w:left="17" w:right="0" w:firstLine="560" w:firstLineChars="200"/>
        <w:jc w:val="left"/>
        <w:textAlignment w:val="auto"/>
        <w:rPr>
          <w:rFonts w:hint="eastAsia" w:ascii="宋体" w:hAnsi="宋体" w:eastAsia="宋体" w:cs="宋体"/>
          <w:color w:val="auto"/>
          <w:sz w:val="28"/>
          <w:szCs w:val="28"/>
          <w:u w:val="none"/>
        </w:rPr>
      </w:pPr>
      <w:r>
        <w:rPr>
          <w:rFonts w:hint="eastAsia" w:ascii="宋体" w:hAnsi="宋体" w:eastAsia="宋体" w:cs="宋体"/>
          <w:i w:val="0"/>
          <w:iCs w:val="0"/>
          <w:caps w:val="0"/>
          <w:color w:val="auto"/>
          <w:spacing w:val="0"/>
          <w:kern w:val="0"/>
          <w:sz w:val="28"/>
          <w:szCs w:val="28"/>
          <w:u w:val="none"/>
          <w:shd w:val="clear" w:fill="FFFFFF"/>
          <w:lang w:val="en-US" w:eastAsia="zh-CN" w:bidi="ar"/>
        </w:rPr>
        <w:t>（五）资金存储：2024年末，住房公积金存款443.11亿元。其中，活期0.03亿元，1年（含）以下定期147.50亿元，1年以上定期180.90亿元，其他(协定、通知存款等)114.68亿元。</w:t>
      </w:r>
    </w:p>
    <w:p w14:paraId="6708403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240" w:lineRule="auto"/>
        <w:ind w:left="0" w:right="0" w:firstLine="560" w:firstLineChars="200"/>
        <w:jc w:val="left"/>
        <w:textAlignment w:val="auto"/>
        <w:rPr>
          <w:rFonts w:hint="eastAsia" w:ascii="宋体" w:hAnsi="宋体" w:eastAsia="宋体" w:cs="宋体"/>
          <w:color w:val="auto"/>
          <w:sz w:val="28"/>
          <w:szCs w:val="28"/>
          <w:u w:val="none"/>
        </w:rPr>
      </w:pPr>
      <w:r>
        <w:rPr>
          <w:rFonts w:hint="eastAsia" w:ascii="宋体" w:hAnsi="宋体" w:eastAsia="宋体" w:cs="宋体"/>
          <w:i w:val="0"/>
          <w:iCs w:val="0"/>
          <w:caps w:val="0"/>
          <w:color w:val="auto"/>
          <w:spacing w:val="0"/>
          <w:kern w:val="0"/>
          <w:sz w:val="28"/>
          <w:szCs w:val="28"/>
          <w:u w:val="none"/>
          <w:shd w:val="clear" w:fill="FFFFFF"/>
          <w:lang w:val="en-US" w:eastAsia="zh-CN" w:bidi="ar"/>
        </w:rPr>
        <w:t>（六）资金运用率：2024年末，住房公积金个人住房贷款余额、项目贷款余额和购买国债余额的总和占缴存余额的82.31%，比上年末减少4.43个百分点。</w:t>
      </w:r>
    </w:p>
    <w:p w14:paraId="4D0015C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240" w:lineRule="auto"/>
        <w:ind w:left="0" w:right="0" w:firstLine="562" w:firstLineChars="200"/>
        <w:jc w:val="left"/>
        <w:textAlignment w:val="auto"/>
        <w:rPr>
          <w:rFonts w:hint="eastAsia" w:ascii="宋体" w:hAnsi="宋体" w:eastAsia="宋体" w:cs="宋体"/>
          <w:b/>
          <w:bCs/>
          <w:color w:val="auto"/>
          <w:sz w:val="28"/>
          <w:szCs w:val="28"/>
          <w:u w:val="none"/>
        </w:rPr>
      </w:pPr>
      <w:r>
        <w:rPr>
          <w:rFonts w:hint="eastAsia" w:ascii="宋体" w:hAnsi="宋体" w:eastAsia="宋体" w:cs="宋体"/>
          <w:b/>
          <w:bCs/>
          <w:i w:val="0"/>
          <w:iCs w:val="0"/>
          <w:caps w:val="0"/>
          <w:color w:val="auto"/>
          <w:spacing w:val="0"/>
          <w:kern w:val="0"/>
          <w:sz w:val="28"/>
          <w:szCs w:val="28"/>
          <w:u w:val="none"/>
          <w:shd w:val="clear" w:fill="FFFFFF"/>
          <w:lang w:val="en-US" w:eastAsia="zh-CN" w:bidi="ar"/>
        </w:rPr>
        <w:t>三、主要财务数据</w:t>
      </w:r>
    </w:p>
    <w:p w14:paraId="55A40BE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240" w:lineRule="auto"/>
        <w:ind w:left="0" w:right="0" w:firstLine="560" w:firstLineChars="200"/>
        <w:jc w:val="left"/>
        <w:textAlignment w:val="auto"/>
        <w:rPr>
          <w:rFonts w:hint="eastAsia" w:ascii="宋体" w:hAnsi="宋体" w:eastAsia="宋体" w:cs="宋体"/>
          <w:color w:val="auto"/>
          <w:sz w:val="28"/>
          <w:szCs w:val="28"/>
          <w:u w:val="none"/>
        </w:rPr>
      </w:pPr>
      <w:r>
        <w:rPr>
          <w:rFonts w:hint="eastAsia" w:ascii="宋体" w:hAnsi="宋体" w:eastAsia="宋体" w:cs="宋体"/>
          <w:i w:val="0"/>
          <w:iCs w:val="0"/>
          <w:caps w:val="0"/>
          <w:color w:val="auto"/>
          <w:spacing w:val="0"/>
          <w:kern w:val="0"/>
          <w:sz w:val="28"/>
          <w:szCs w:val="28"/>
          <w:u w:val="none"/>
          <w:shd w:val="clear" w:fill="FFFFFF"/>
          <w:lang w:val="en-US" w:eastAsia="zh-CN" w:bidi="ar"/>
        </w:rPr>
        <w:t>（一）业务收入：2024年，业务收入679,153.24万元，同比增长3.92%，其中，市中心583,235.13万元，省级分中心80,184.50万元，石油分中心15,733.61万元。存款利息87,412.21万元，委托贷款利息591,531.04万元，其他209.99万元。</w:t>
      </w:r>
    </w:p>
    <w:p w14:paraId="56F0FE3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240" w:lineRule="auto"/>
        <w:ind w:left="0" w:right="0" w:firstLine="560" w:firstLineChars="200"/>
        <w:jc w:val="left"/>
        <w:textAlignment w:val="auto"/>
        <w:rPr>
          <w:rFonts w:hint="eastAsia" w:ascii="宋体" w:hAnsi="宋体" w:eastAsia="宋体" w:cs="宋体"/>
          <w:color w:val="auto"/>
          <w:sz w:val="28"/>
          <w:szCs w:val="28"/>
          <w:u w:val="none"/>
        </w:rPr>
      </w:pPr>
      <w:r>
        <w:rPr>
          <w:rFonts w:hint="eastAsia" w:ascii="宋体" w:hAnsi="宋体" w:eastAsia="宋体" w:cs="宋体"/>
          <w:i w:val="0"/>
          <w:iCs w:val="0"/>
          <w:caps w:val="0"/>
          <w:color w:val="auto"/>
          <w:spacing w:val="0"/>
          <w:kern w:val="0"/>
          <w:sz w:val="28"/>
          <w:szCs w:val="28"/>
          <w:u w:val="none"/>
          <w:shd w:val="clear" w:fill="FFFFFF"/>
          <w:lang w:val="en-US" w:eastAsia="zh-CN" w:bidi="ar"/>
        </w:rPr>
        <w:t>（二）业务支出：2024年，业务支出349,660.91万元，同比增长7.73%，其中，市中心299,147.63万元，省级分中心42,527.76万元，石油分中心7,985.52万元。支付缴存人住房公积金利息333,047.34万元，归集手续费153.51万元，委托贷款手续费16,379.66万元，其他80.40万元。</w:t>
      </w:r>
    </w:p>
    <w:p w14:paraId="1228902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240" w:lineRule="auto"/>
        <w:ind w:left="0" w:right="0" w:firstLine="560" w:firstLineChars="200"/>
        <w:jc w:val="left"/>
        <w:textAlignment w:val="auto"/>
        <w:rPr>
          <w:rFonts w:hint="eastAsia" w:ascii="宋体" w:hAnsi="宋体" w:eastAsia="宋体" w:cs="宋体"/>
          <w:color w:val="auto"/>
          <w:sz w:val="28"/>
          <w:szCs w:val="28"/>
          <w:u w:val="none"/>
        </w:rPr>
      </w:pPr>
      <w:r>
        <w:rPr>
          <w:rFonts w:hint="eastAsia" w:ascii="宋体" w:hAnsi="宋体" w:eastAsia="宋体" w:cs="宋体"/>
          <w:i w:val="0"/>
          <w:iCs w:val="0"/>
          <w:caps w:val="0"/>
          <w:color w:val="auto"/>
          <w:spacing w:val="0"/>
          <w:kern w:val="0"/>
          <w:sz w:val="28"/>
          <w:szCs w:val="28"/>
          <w:u w:val="none"/>
          <w:shd w:val="clear" w:fill="FFFFFF"/>
          <w:lang w:val="en-US" w:eastAsia="zh-CN" w:bidi="ar"/>
        </w:rPr>
        <w:t>（三）增值收益：2024年，增值收益329,492.33万元，同比增长0.16%。其中，市中心284,087.50万元，省级分中心37,656.74万元，石油分中心7,748.09万元；增值收益率1.50%，比上年减少0.11个百分点。</w:t>
      </w:r>
    </w:p>
    <w:p w14:paraId="0ABC131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240" w:lineRule="auto"/>
        <w:ind w:left="0" w:right="0" w:firstLine="560" w:firstLineChars="200"/>
        <w:jc w:val="left"/>
        <w:textAlignment w:val="auto"/>
        <w:rPr>
          <w:rFonts w:hint="eastAsia" w:ascii="宋体" w:hAnsi="宋体" w:eastAsia="宋体" w:cs="宋体"/>
          <w:color w:val="auto"/>
          <w:sz w:val="28"/>
          <w:szCs w:val="28"/>
          <w:u w:val="none"/>
        </w:rPr>
      </w:pPr>
      <w:r>
        <w:rPr>
          <w:rFonts w:hint="eastAsia" w:ascii="宋体" w:hAnsi="宋体" w:eastAsia="宋体" w:cs="宋体"/>
          <w:i w:val="0"/>
          <w:iCs w:val="0"/>
          <w:caps w:val="0"/>
          <w:color w:val="auto"/>
          <w:spacing w:val="0"/>
          <w:kern w:val="0"/>
          <w:sz w:val="28"/>
          <w:szCs w:val="28"/>
          <w:u w:val="none"/>
          <w:shd w:val="clear" w:fill="FFFFFF"/>
          <w:lang w:val="en-US" w:eastAsia="zh-CN" w:bidi="ar"/>
        </w:rPr>
        <w:t>（四）增值收益分配：2024年，实际分配增值收益329,683.60万元（含已计提尚未实际支付的灵活就业人员缴存补贴191.27万元），其中，计提贷款风险准备金4,021.09万元，计提管理费用21,185.38万元，计提城市廉租住房（公共租赁住房）建设补充资金304,477.13万元。</w:t>
      </w:r>
    </w:p>
    <w:p w14:paraId="1713B90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240" w:lineRule="auto"/>
        <w:ind w:left="0" w:right="0" w:firstLine="560" w:firstLineChars="200"/>
        <w:jc w:val="left"/>
        <w:textAlignment w:val="auto"/>
        <w:rPr>
          <w:rFonts w:hint="eastAsia" w:ascii="宋体" w:hAnsi="宋体" w:eastAsia="宋体" w:cs="宋体"/>
          <w:color w:val="auto"/>
          <w:sz w:val="28"/>
          <w:szCs w:val="28"/>
          <w:u w:val="none"/>
        </w:rPr>
      </w:pPr>
      <w:r>
        <w:rPr>
          <w:rFonts w:hint="eastAsia" w:ascii="宋体" w:hAnsi="宋体" w:eastAsia="宋体" w:cs="宋体"/>
          <w:i w:val="0"/>
          <w:iCs w:val="0"/>
          <w:caps w:val="0"/>
          <w:color w:val="auto"/>
          <w:spacing w:val="0"/>
          <w:kern w:val="0"/>
          <w:sz w:val="28"/>
          <w:szCs w:val="28"/>
          <w:u w:val="none"/>
          <w:shd w:val="clear" w:fill="FFFFFF"/>
          <w:lang w:val="en-US" w:eastAsia="zh-CN" w:bidi="ar"/>
        </w:rPr>
        <w:t>2024年，上交管理费用21,673.26万元。上缴城市廉租住房（公共租赁住房）建设补充资金297,875.55万元，其中，市中心上缴市财政247,165.18万元，省级分中心上缴省财政28,095.06万元，石油分中心上缴四川石油管理局有限公司22,615.31万元。</w:t>
      </w:r>
    </w:p>
    <w:p w14:paraId="7411B7B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240" w:lineRule="auto"/>
        <w:ind w:left="0" w:right="0" w:firstLine="560" w:firstLineChars="200"/>
        <w:jc w:val="left"/>
        <w:textAlignment w:val="auto"/>
        <w:rPr>
          <w:rFonts w:hint="eastAsia" w:ascii="宋体" w:hAnsi="宋体" w:eastAsia="宋体" w:cs="宋体"/>
          <w:color w:val="auto"/>
          <w:sz w:val="28"/>
          <w:szCs w:val="28"/>
          <w:u w:val="none"/>
        </w:rPr>
      </w:pPr>
      <w:r>
        <w:rPr>
          <w:rFonts w:hint="eastAsia" w:ascii="宋体" w:hAnsi="宋体" w:eastAsia="宋体" w:cs="宋体"/>
          <w:i w:val="0"/>
          <w:iCs w:val="0"/>
          <w:caps w:val="0"/>
          <w:color w:val="auto"/>
          <w:spacing w:val="0"/>
          <w:kern w:val="0"/>
          <w:sz w:val="28"/>
          <w:szCs w:val="28"/>
          <w:u w:val="none"/>
          <w:shd w:val="clear" w:fill="FFFFFF"/>
          <w:lang w:val="en-US" w:eastAsia="zh-CN" w:bidi="ar"/>
        </w:rPr>
        <w:t>2024年末，贷款风险准备金余额294,967.87万元（2024年石油分中心冲减以往年度多计提的贷款风险准备金6,516.61万元）。累计计提城市廉租住房（公共租赁住房）建设补充资金2,394,418.22万元。其中，市中心计提2,087,058.50万元，省级分中心计提246,843.84万元，石油分中心计提60,515.88万元。</w:t>
      </w:r>
    </w:p>
    <w:p w14:paraId="1E9D471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240" w:lineRule="auto"/>
        <w:ind w:left="0" w:right="0" w:firstLine="560" w:firstLineChars="200"/>
        <w:jc w:val="left"/>
        <w:textAlignment w:val="auto"/>
        <w:rPr>
          <w:rFonts w:hint="eastAsia" w:ascii="宋体" w:hAnsi="宋体" w:eastAsia="宋体" w:cs="宋体"/>
          <w:color w:val="auto"/>
          <w:sz w:val="28"/>
          <w:szCs w:val="28"/>
          <w:u w:val="none"/>
        </w:rPr>
      </w:pPr>
      <w:r>
        <w:rPr>
          <w:rFonts w:hint="eastAsia" w:ascii="宋体" w:hAnsi="宋体" w:eastAsia="宋体" w:cs="宋体"/>
          <w:i w:val="0"/>
          <w:iCs w:val="0"/>
          <w:caps w:val="0"/>
          <w:color w:val="auto"/>
          <w:spacing w:val="0"/>
          <w:kern w:val="0"/>
          <w:sz w:val="28"/>
          <w:szCs w:val="28"/>
          <w:u w:val="none"/>
          <w:shd w:val="clear" w:fill="FFFFFF"/>
          <w:lang w:val="en-US" w:eastAsia="zh-CN" w:bidi="ar"/>
        </w:rPr>
        <w:t>（五）管理费用支出：2024年，管理费用支出21,054.13万元，同比下降0.58%。其中，人员经费13,260.36万元，公用经费777.40万元，专项经费7,016.37万元。</w:t>
      </w:r>
    </w:p>
    <w:p w14:paraId="0F193FC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240" w:lineRule="auto"/>
        <w:ind w:left="0" w:right="0" w:firstLine="560" w:firstLineChars="200"/>
        <w:jc w:val="left"/>
        <w:textAlignment w:val="auto"/>
        <w:rPr>
          <w:rFonts w:hint="eastAsia" w:ascii="宋体" w:hAnsi="宋体" w:eastAsia="宋体" w:cs="宋体"/>
          <w:i w:val="0"/>
          <w:iCs w:val="0"/>
          <w:caps w:val="0"/>
          <w:color w:val="auto"/>
          <w:spacing w:val="0"/>
          <w:kern w:val="0"/>
          <w:sz w:val="28"/>
          <w:szCs w:val="28"/>
          <w:u w:val="none"/>
          <w:shd w:val="clear" w:fill="FFFFFF"/>
          <w:lang w:val="en-US" w:eastAsia="zh-CN" w:bidi="ar"/>
        </w:rPr>
      </w:pPr>
      <w:r>
        <w:rPr>
          <w:rFonts w:hint="eastAsia" w:ascii="宋体" w:hAnsi="宋体" w:eastAsia="宋体" w:cs="宋体"/>
          <w:i w:val="0"/>
          <w:iCs w:val="0"/>
          <w:caps w:val="0"/>
          <w:color w:val="auto"/>
          <w:spacing w:val="0"/>
          <w:kern w:val="0"/>
          <w:sz w:val="28"/>
          <w:szCs w:val="28"/>
          <w:u w:val="none"/>
          <w:shd w:val="clear" w:fill="FFFFFF"/>
          <w:lang w:val="en-US" w:eastAsia="zh-CN" w:bidi="ar"/>
        </w:rPr>
        <w:t>市中心管理费用支出18,578.32万元，其中，人员、公用、专项经费分别为11,895.40万元、490.24万元、6,192.68万元；省级分中心管理费用支出2,068.76万元，其中，人员、公用、专项经费分别为1,050.49万元、271.01万元、747.26万元；石油分中心管理费用支出407.05万元，其中，人员、公用、专项经费分别为314.47万元、16.15万元、76.43万元。</w:t>
      </w:r>
    </w:p>
    <w:p w14:paraId="137582E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240" w:lineRule="auto"/>
        <w:ind w:left="0" w:right="0" w:firstLine="560" w:firstLineChars="200"/>
        <w:jc w:val="left"/>
        <w:textAlignment w:val="auto"/>
        <w:rPr>
          <w:rFonts w:hint="eastAsia" w:ascii="宋体" w:hAnsi="宋体" w:eastAsia="宋体" w:cs="宋体"/>
          <w:i w:val="0"/>
          <w:iCs w:val="0"/>
          <w:caps w:val="0"/>
          <w:color w:val="auto"/>
          <w:spacing w:val="0"/>
          <w:kern w:val="0"/>
          <w:sz w:val="28"/>
          <w:szCs w:val="28"/>
          <w:u w:val="none"/>
          <w:shd w:val="clear" w:fill="FFFFFF"/>
          <w:lang w:val="en-US" w:eastAsia="zh-CN" w:bidi="ar"/>
        </w:rPr>
      </w:pPr>
    </w:p>
    <w:p w14:paraId="68BB094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240" w:lineRule="auto"/>
        <w:ind w:left="0" w:right="0" w:firstLine="562" w:firstLineChars="200"/>
        <w:jc w:val="left"/>
        <w:textAlignment w:val="auto"/>
        <w:rPr>
          <w:rFonts w:hint="eastAsia" w:ascii="宋体" w:hAnsi="宋体" w:eastAsia="宋体" w:cs="宋体"/>
          <w:b/>
          <w:bCs/>
          <w:color w:val="auto"/>
          <w:sz w:val="28"/>
          <w:szCs w:val="28"/>
          <w:u w:val="none"/>
        </w:rPr>
      </w:pPr>
      <w:r>
        <w:rPr>
          <w:rFonts w:hint="eastAsia" w:ascii="宋体" w:hAnsi="宋体" w:eastAsia="宋体" w:cs="宋体"/>
          <w:b/>
          <w:bCs/>
          <w:i w:val="0"/>
          <w:iCs w:val="0"/>
          <w:caps w:val="0"/>
          <w:color w:val="auto"/>
          <w:spacing w:val="0"/>
          <w:kern w:val="0"/>
          <w:sz w:val="28"/>
          <w:szCs w:val="28"/>
          <w:u w:val="none"/>
          <w:shd w:val="clear" w:fill="FFFFFF"/>
          <w:lang w:val="en-US" w:eastAsia="zh-CN" w:bidi="ar"/>
        </w:rPr>
        <w:t>四、资产风险状况</w:t>
      </w:r>
    </w:p>
    <w:p w14:paraId="6010FC4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240" w:lineRule="auto"/>
        <w:ind w:left="0" w:right="0" w:firstLine="560" w:firstLineChars="200"/>
        <w:jc w:val="left"/>
        <w:textAlignment w:val="auto"/>
        <w:rPr>
          <w:rFonts w:hint="eastAsia" w:ascii="宋体" w:hAnsi="宋体" w:eastAsia="宋体" w:cs="宋体"/>
          <w:color w:val="auto"/>
          <w:sz w:val="28"/>
          <w:szCs w:val="28"/>
          <w:u w:val="none"/>
        </w:rPr>
      </w:pPr>
      <w:r>
        <w:rPr>
          <w:rFonts w:hint="eastAsia" w:ascii="宋体" w:hAnsi="宋体" w:eastAsia="宋体" w:cs="宋体"/>
          <w:i w:val="0"/>
          <w:iCs w:val="0"/>
          <w:caps w:val="0"/>
          <w:color w:val="auto"/>
          <w:spacing w:val="0"/>
          <w:kern w:val="0"/>
          <w:sz w:val="28"/>
          <w:szCs w:val="28"/>
          <w:u w:val="none"/>
          <w:shd w:val="clear" w:fill="FFFFFF"/>
          <w:lang w:val="en-US" w:eastAsia="zh-CN" w:bidi="ar"/>
        </w:rPr>
        <w:t>个人住房贷款：2024年末，个人住房贷款逾期额1,548.90万元，逾期率0.08‰，其中，市中心0.07‰，省级分中心0.21‰。个人贷款风险准备金余额291,479.87万元。2024年未使用个人贷款风险准备金核销呆坏账。</w:t>
      </w:r>
    </w:p>
    <w:p w14:paraId="1ED2F61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240" w:lineRule="auto"/>
        <w:ind w:left="0" w:right="0" w:firstLine="562" w:firstLineChars="200"/>
        <w:jc w:val="left"/>
        <w:textAlignment w:val="auto"/>
        <w:rPr>
          <w:rFonts w:hint="eastAsia" w:ascii="宋体" w:hAnsi="宋体" w:eastAsia="宋体" w:cs="宋体"/>
          <w:b/>
          <w:bCs/>
          <w:color w:val="auto"/>
          <w:sz w:val="28"/>
          <w:szCs w:val="28"/>
          <w:u w:val="none"/>
        </w:rPr>
      </w:pPr>
      <w:r>
        <w:rPr>
          <w:rFonts w:hint="eastAsia" w:ascii="宋体" w:hAnsi="宋体" w:eastAsia="宋体" w:cs="宋体"/>
          <w:b/>
          <w:bCs/>
          <w:i w:val="0"/>
          <w:iCs w:val="0"/>
          <w:caps w:val="0"/>
          <w:color w:val="auto"/>
          <w:spacing w:val="0"/>
          <w:kern w:val="0"/>
          <w:sz w:val="28"/>
          <w:szCs w:val="28"/>
          <w:u w:val="none"/>
          <w:shd w:val="clear" w:fill="FFFFFF"/>
          <w:lang w:val="en-US" w:eastAsia="zh-CN" w:bidi="ar"/>
        </w:rPr>
        <w:t>五、社会经济效益</w:t>
      </w:r>
    </w:p>
    <w:p w14:paraId="6194786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240" w:lineRule="auto"/>
        <w:ind w:left="0" w:right="0" w:firstLine="560" w:firstLineChars="200"/>
        <w:jc w:val="left"/>
        <w:textAlignment w:val="auto"/>
        <w:rPr>
          <w:rFonts w:hint="eastAsia" w:ascii="宋体" w:hAnsi="宋体" w:eastAsia="宋体" w:cs="宋体"/>
          <w:color w:val="auto"/>
          <w:sz w:val="28"/>
          <w:szCs w:val="28"/>
          <w:u w:val="none"/>
        </w:rPr>
      </w:pPr>
      <w:r>
        <w:rPr>
          <w:rFonts w:hint="eastAsia" w:ascii="宋体" w:hAnsi="宋体" w:eastAsia="宋体" w:cs="宋体"/>
          <w:i w:val="0"/>
          <w:iCs w:val="0"/>
          <w:caps w:val="0"/>
          <w:color w:val="auto"/>
          <w:spacing w:val="0"/>
          <w:kern w:val="0"/>
          <w:sz w:val="28"/>
          <w:szCs w:val="28"/>
          <w:u w:val="none"/>
          <w:shd w:val="clear" w:fill="FFFFFF"/>
          <w:lang w:val="en-US" w:eastAsia="zh-CN" w:bidi="ar"/>
        </w:rPr>
        <w:t>（一）缴存业务</w:t>
      </w:r>
    </w:p>
    <w:p w14:paraId="5207228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240" w:lineRule="auto"/>
        <w:ind w:left="0" w:right="0" w:firstLine="560" w:firstLineChars="200"/>
        <w:jc w:val="left"/>
        <w:textAlignment w:val="auto"/>
        <w:rPr>
          <w:rFonts w:hint="eastAsia" w:ascii="宋体" w:hAnsi="宋体" w:eastAsia="宋体" w:cs="宋体"/>
          <w:color w:val="auto"/>
          <w:sz w:val="28"/>
          <w:szCs w:val="28"/>
          <w:u w:val="none"/>
        </w:rPr>
      </w:pPr>
      <w:r>
        <w:rPr>
          <w:rFonts w:hint="eastAsia" w:ascii="宋体" w:hAnsi="宋体" w:eastAsia="宋体" w:cs="宋体"/>
          <w:i w:val="0"/>
          <w:iCs w:val="0"/>
          <w:caps w:val="0"/>
          <w:color w:val="auto"/>
          <w:spacing w:val="0"/>
          <w:kern w:val="0"/>
          <w:sz w:val="28"/>
          <w:szCs w:val="28"/>
          <w:u w:val="none"/>
          <w:shd w:val="clear" w:fill="FFFFFF"/>
          <w:lang w:val="en-US" w:eastAsia="zh-CN" w:bidi="ar"/>
        </w:rPr>
        <w:t>实缴人数中，国家机关和事业单位占15.73%，国有企业占11.12%，城镇集体企业占0.39%，外商投资企业占6.11%，城镇私营企业及其他城镇企业占59.47%，民办非企业单位和社会团体占2.00%，灵活就业人员占0.72%，其他占4.46%；中、低收入占95.37%，高收入占4.63%。</w:t>
      </w:r>
    </w:p>
    <w:p w14:paraId="5EDE64D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240" w:lineRule="auto"/>
        <w:ind w:left="0" w:right="0" w:firstLine="560" w:firstLineChars="200"/>
        <w:jc w:val="left"/>
        <w:textAlignment w:val="auto"/>
        <w:rPr>
          <w:rFonts w:hint="eastAsia" w:ascii="宋体" w:hAnsi="宋体" w:eastAsia="宋体" w:cs="宋体"/>
          <w:color w:val="auto"/>
          <w:sz w:val="28"/>
          <w:szCs w:val="28"/>
          <w:u w:val="none"/>
        </w:rPr>
      </w:pPr>
      <w:r>
        <w:rPr>
          <w:rFonts w:hint="eastAsia" w:ascii="宋体" w:hAnsi="宋体" w:eastAsia="宋体" w:cs="宋体"/>
          <w:i w:val="0"/>
          <w:iCs w:val="0"/>
          <w:caps w:val="0"/>
          <w:color w:val="auto"/>
          <w:spacing w:val="0"/>
          <w:kern w:val="0"/>
          <w:sz w:val="28"/>
          <w:szCs w:val="28"/>
          <w:u w:val="none"/>
          <w:shd w:val="clear" w:fill="FFFFFF"/>
          <w:lang w:val="en-US" w:eastAsia="zh-CN" w:bidi="ar"/>
        </w:rPr>
        <w:t>新开户缴存人中，国家机关和事业单位占9.12%，国有企业占6.56%，城镇集体企业占0.30%，外商投资企业占6.05%，城镇私营企业及其他城镇企业占65.60%，民办非企业单位和社会团体占2.53%，灵活就业人员占3.25%，其他占6.59%；中、低收入占99.01%，高收入占0.99%。</w:t>
      </w:r>
    </w:p>
    <w:p w14:paraId="0C9C552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240" w:lineRule="auto"/>
        <w:ind w:left="0" w:right="0" w:firstLine="560" w:firstLineChars="200"/>
        <w:jc w:val="left"/>
        <w:textAlignment w:val="auto"/>
        <w:rPr>
          <w:rFonts w:hint="eastAsia" w:ascii="宋体" w:hAnsi="宋体" w:eastAsia="宋体" w:cs="宋体"/>
          <w:color w:val="auto"/>
          <w:sz w:val="28"/>
          <w:szCs w:val="28"/>
          <w:u w:val="none"/>
        </w:rPr>
      </w:pPr>
      <w:r>
        <w:rPr>
          <w:rFonts w:hint="eastAsia" w:ascii="宋体" w:hAnsi="宋体" w:eastAsia="宋体" w:cs="宋体"/>
          <w:i w:val="0"/>
          <w:iCs w:val="0"/>
          <w:caps w:val="0"/>
          <w:color w:val="auto"/>
          <w:spacing w:val="0"/>
          <w:kern w:val="0"/>
          <w:sz w:val="28"/>
          <w:szCs w:val="28"/>
          <w:u w:val="none"/>
          <w:shd w:val="clear" w:fill="FFFFFF"/>
          <w:lang w:val="en-US" w:eastAsia="zh-CN" w:bidi="ar"/>
        </w:rPr>
        <w:t>（二）提取业务 </w:t>
      </w:r>
    </w:p>
    <w:p w14:paraId="34C3847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240" w:lineRule="auto"/>
        <w:ind w:left="0" w:right="0" w:firstLine="560" w:firstLineChars="200"/>
        <w:jc w:val="left"/>
        <w:textAlignment w:val="auto"/>
        <w:rPr>
          <w:rFonts w:hint="eastAsia" w:ascii="宋体" w:hAnsi="宋体" w:eastAsia="宋体" w:cs="宋体"/>
          <w:color w:val="auto"/>
          <w:sz w:val="28"/>
          <w:szCs w:val="28"/>
          <w:u w:val="none"/>
        </w:rPr>
      </w:pPr>
      <w:r>
        <w:rPr>
          <w:rFonts w:hint="eastAsia" w:ascii="宋体" w:hAnsi="宋体" w:eastAsia="宋体" w:cs="宋体"/>
          <w:i w:val="0"/>
          <w:iCs w:val="0"/>
          <w:caps w:val="0"/>
          <w:color w:val="auto"/>
          <w:spacing w:val="0"/>
          <w:kern w:val="0"/>
          <w:sz w:val="28"/>
          <w:szCs w:val="28"/>
          <w:highlight w:val="yellow"/>
          <w:u w:val="none"/>
          <w:shd w:val="clear" w:fill="FFFFFF"/>
          <w:lang w:val="en-US" w:eastAsia="zh-CN" w:bidi="ar"/>
        </w:rPr>
        <w:t>提取金额中，购买、建造、翻建、大修自住住房占22.87%，偿还购房贷款本息占49.11%，租赁住房占7.33%，</w:t>
      </w:r>
      <w:r>
        <w:rPr>
          <w:rFonts w:hint="eastAsia" w:ascii="宋体" w:hAnsi="宋体" w:eastAsia="宋体" w:cs="宋体"/>
          <w:i w:val="0"/>
          <w:iCs w:val="0"/>
          <w:caps w:val="0"/>
          <w:color w:val="auto"/>
          <w:spacing w:val="0"/>
          <w:kern w:val="0"/>
          <w:sz w:val="28"/>
          <w:szCs w:val="28"/>
          <w:u w:val="none"/>
          <w:shd w:val="clear" w:fill="FFFFFF"/>
          <w:lang w:val="en-US" w:eastAsia="zh-CN" w:bidi="ar"/>
        </w:rPr>
        <w:t>支持老旧小区改造占0.03%，离休和退休提取占14.84%，完全丧失劳动能力并与单位终止劳动关系提取占1.76%，出境定居占0.01%，其他占4.05%。提取人数中，中、低收入占94.08%，高收入占5.92%。</w:t>
      </w:r>
    </w:p>
    <w:p w14:paraId="33D1251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240" w:lineRule="auto"/>
        <w:ind w:left="0" w:right="0" w:firstLine="560" w:firstLineChars="200"/>
        <w:jc w:val="left"/>
        <w:textAlignment w:val="auto"/>
        <w:rPr>
          <w:rFonts w:hint="eastAsia" w:ascii="宋体" w:hAnsi="宋体" w:eastAsia="宋体" w:cs="宋体"/>
          <w:color w:val="auto"/>
          <w:sz w:val="28"/>
          <w:szCs w:val="28"/>
          <w:u w:val="none"/>
        </w:rPr>
      </w:pPr>
      <w:r>
        <w:rPr>
          <w:rFonts w:hint="eastAsia" w:ascii="宋体" w:hAnsi="宋体" w:eastAsia="宋体" w:cs="宋体"/>
          <w:i w:val="0"/>
          <w:iCs w:val="0"/>
          <w:caps w:val="0"/>
          <w:color w:val="auto"/>
          <w:spacing w:val="0"/>
          <w:kern w:val="0"/>
          <w:sz w:val="28"/>
          <w:szCs w:val="28"/>
          <w:u w:val="none"/>
          <w:shd w:val="clear" w:fill="FFFFFF"/>
          <w:lang w:val="en-US" w:eastAsia="zh-CN" w:bidi="ar"/>
        </w:rPr>
        <w:t>（三）贷款业务</w:t>
      </w:r>
    </w:p>
    <w:p w14:paraId="1E4A96F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240" w:lineRule="auto"/>
        <w:ind w:left="0" w:right="25" w:firstLine="560" w:firstLineChars="200"/>
        <w:jc w:val="left"/>
        <w:textAlignment w:val="auto"/>
        <w:rPr>
          <w:rFonts w:hint="eastAsia" w:ascii="宋体" w:hAnsi="宋体" w:eastAsia="宋体" w:cs="宋体"/>
          <w:color w:val="auto"/>
          <w:sz w:val="28"/>
          <w:szCs w:val="28"/>
          <w:u w:val="none"/>
        </w:rPr>
      </w:pPr>
      <w:bookmarkStart w:id="0" w:name="_GoBack"/>
      <w:r>
        <w:rPr>
          <w:rFonts w:hint="eastAsia" w:ascii="宋体" w:hAnsi="宋体" w:eastAsia="宋体" w:cs="宋体"/>
          <w:i w:val="0"/>
          <w:iCs w:val="0"/>
          <w:caps w:val="0"/>
          <w:color w:val="auto"/>
          <w:spacing w:val="0"/>
          <w:kern w:val="0"/>
          <w:sz w:val="28"/>
          <w:szCs w:val="28"/>
          <w:highlight w:val="yellow"/>
          <w:u w:val="none"/>
          <w:shd w:val="clear" w:fill="FFFFFF"/>
          <w:lang w:val="en-US" w:eastAsia="zh-CN" w:bidi="ar"/>
        </w:rPr>
        <w:t>个人住房贷款：2024年，支持缴存人购建房537.46万平方米，年末个人住房贷款市场占有率（含公转商贴息贷款）为15.13%，</w:t>
      </w:r>
      <w:bookmarkEnd w:id="0"/>
      <w:r>
        <w:rPr>
          <w:rFonts w:hint="eastAsia" w:ascii="宋体" w:hAnsi="宋体" w:eastAsia="宋体" w:cs="宋体"/>
          <w:i w:val="0"/>
          <w:iCs w:val="0"/>
          <w:caps w:val="0"/>
          <w:color w:val="auto"/>
          <w:spacing w:val="0"/>
          <w:kern w:val="0"/>
          <w:sz w:val="28"/>
          <w:szCs w:val="28"/>
          <w:u w:val="none"/>
          <w:shd w:val="clear" w:fill="FFFFFF"/>
          <w:lang w:val="en-US" w:eastAsia="zh-CN" w:bidi="ar"/>
        </w:rPr>
        <w:t>比上年末减少0.75个百分点。通过申请住房公积金个人住房贷款，可节约缴存人购房利息支出458,133.20万元。</w:t>
      </w:r>
    </w:p>
    <w:p w14:paraId="6E80DB4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240" w:lineRule="auto"/>
        <w:ind w:left="0" w:right="0" w:firstLine="560" w:firstLineChars="200"/>
        <w:jc w:val="left"/>
        <w:textAlignment w:val="auto"/>
        <w:rPr>
          <w:rFonts w:hint="eastAsia" w:ascii="宋体" w:hAnsi="宋体" w:eastAsia="宋体" w:cs="宋体"/>
          <w:color w:val="auto"/>
          <w:sz w:val="28"/>
          <w:szCs w:val="28"/>
          <w:u w:val="none"/>
        </w:rPr>
      </w:pPr>
      <w:r>
        <w:rPr>
          <w:rFonts w:hint="eastAsia" w:ascii="宋体" w:hAnsi="宋体" w:eastAsia="宋体" w:cs="宋体"/>
          <w:i w:val="0"/>
          <w:iCs w:val="0"/>
          <w:caps w:val="0"/>
          <w:color w:val="auto"/>
          <w:spacing w:val="0"/>
          <w:kern w:val="0"/>
          <w:sz w:val="28"/>
          <w:szCs w:val="28"/>
          <w:u w:val="none"/>
          <w:shd w:val="clear" w:fill="FFFFFF"/>
          <w:lang w:val="en-US" w:eastAsia="zh-CN" w:bidi="ar"/>
        </w:rPr>
        <w:t>贷款笔数中，购房建筑面积90（含）平方米以下占32.87%，90－144（含）平方米占61.44%，144平方米以上占5.69%。购买新房占38.46%，购买二手房占61.16%，其他占0.38%。单缴存人申请贷款占64.93%，双缴存人申请贷款占34.95%，三人及以上缴存人共同申请贷款占0.12%。</w:t>
      </w:r>
    </w:p>
    <w:p w14:paraId="64DDBFD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240" w:lineRule="auto"/>
        <w:ind w:left="0" w:right="0" w:firstLine="560" w:firstLineChars="200"/>
        <w:jc w:val="left"/>
        <w:textAlignment w:val="auto"/>
        <w:rPr>
          <w:rFonts w:hint="eastAsia" w:ascii="宋体" w:hAnsi="宋体" w:eastAsia="宋体" w:cs="宋体"/>
          <w:color w:val="auto"/>
          <w:sz w:val="28"/>
          <w:szCs w:val="28"/>
          <w:u w:val="none"/>
        </w:rPr>
      </w:pPr>
      <w:r>
        <w:rPr>
          <w:rFonts w:hint="eastAsia" w:ascii="宋体" w:hAnsi="宋体" w:eastAsia="宋体" w:cs="宋体"/>
          <w:i w:val="0"/>
          <w:iCs w:val="0"/>
          <w:caps w:val="0"/>
          <w:color w:val="auto"/>
          <w:spacing w:val="0"/>
          <w:kern w:val="0"/>
          <w:sz w:val="28"/>
          <w:szCs w:val="28"/>
          <w:u w:val="none"/>
          <w:shd w:val="clear" w:fill="FFFFFF"/>
          <w:lang w:val="en-US" w:eastAsia="zh-CN" w:bidi="ar"/>
        </w:rPr>
        <w:t>贷款缴存人中，30岁（含）以下占42.41%，30岁－40岁（含）占45.12%，40岁－50岁（含）占10.28%，50岁以上占2.19%；购买首套住房申请贷款占87.64%，购买二套及以上申请贷款占12.36%；中、低收入占93.59%，高收入占6.41%。    </w:t>
      </w:r>
    </w:p>
    <w:p w14:paraId="023417F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240" w:lineRule="auto"/>
        <w:ind w:left="0" w:right="0" w:firstLine="560" w:firstLineChars="200"/>
        <w:jc w:val="left"/>
        <w:textAlignment w:val="auto"/>
        <w:rPr>
          <w:rFonts w:hint="eastAsia" w:ascii="宋体" w:hAnsi="宋体" w:eastAsia="宋体" w:cs="宋体"/>
          <w:color w:val="auto"/>
          <w:sz w:val="28"/>
          <w:szCs w:val="28"/>
          <w:u w:val="none"/>
        </w:rPr>
      </w:pPr>
      <w:r>
        <w:rPr>
          <w:rFonts w:hint="eastAsia" w:ascii="宋体" w:hAnsi="宋体" w:eastAsia="宋体" w:cs="宋体"/>
          <w:i w:val="0"/>
          <w:iCs w:val="0"/>
          <w:caps w:val="0"/>
          <w:color w:val="auto"/>
          <w:spacing w:val="0"/>
          <w:kern w:val="0"/>
          <w:sz w:val="28"/>
          <w:szCs w:val="28"/>
          <w:u w:val="none"/>
          <w:shd w:val="clear" w:fill="FFFFFF"/>
          <w:lang w:val="en-US" w:eastAsia="zh-CN" w:bidi="ar"/>
        </w:rPr>
        <w:t>（四）住房贡献率</w:t>
      </w:r>
    </w:p>
    <w:p w14:paraId="377AD9E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240" w:lineRule="auto"/>
        <w:ind w:left="0" w:right="0" w:firstLine="560" w:firstLineChars="200"/>
        <w:jc w:val="left"/>
        <w:textAlignment w:val="auto"/>
        <w:rPr>
          <w:rFonts w:hint="eastAsia" w:ascii="宋体" w:hAnsi="宋体" w:eastAsia="宋体" w:cs="宋体"/>
          <w:color w:val="auto"/>
          <w:sz w:val="28"/>
          <w:szCs w:val="28"/>
          <w:u w:val="none"/>
        </w:rPr>
      </w:pPr>
      <w:r>
        <w:rPr>
          <w:rFonts w:hint="eastAsia" w:ascii="宋体" w:hAnsi="宋体" w:eastAsia="宋体" w:cs="宋体"/>
          <w:i w:val="0"/>
          <w:iCs w:val="0"/>
          <w:caps w:val="0"/>
          <w:color w:val="auto"/>
          <w:spacing w:val="0"/>
          <w:kern w:val="0"/>
          <w:sz w:val="28"/>
          <w:szCs w:val="28"/>
          <w:u w:val="none"/>
          <w:shd w:val="clear" w:fill="FFFFFF"/>
          <w:lang w:val="en-US" w:eastAsia="zh-CN" w:bidi="ar"/>
        </w:rPr>
        <w:t>2024年，个人住房贷款发放额、公转商贴息贷款发放额、项目贷款发放额、住房消费提取额的总和与当年缴存额的比率为94.22%，比上年减少13.66个百分点。</w:t>
      </w:r>
    </w:p>
    <w:p w14:paraId="58453B1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240" w:lineRule="auto"/>
        <w:ind w:left="0" w:right="0" w:firstLine="562" w:firstLineChars="200"/>
        <w:jc w:val="left"/>
        <w:textAlignment w:val="auto"/>
        <w:rPr>
          <w:rFonts w:hint="eastAsia" w:ascii="宋体" w:hAnsi="宋体" w:eastAsia="宋体" w:cs="宋体"/>
          <w:b/>
          <w:bCs/>
          <w:color w:val="auto"/>
          <w:sz w:val="28"/>
          <w:szCs w:val="28"/>
          <w:u w:val="none"/>
        </w:rPr>
      </w:pPr>
      <w:r>
        <w:rPr>
          <w:rFonts w:hint="eastAsia" w:ascii="宋体" w:hAnsi="宋体" w:eastAsia="宋体" w:cs="宋体"/>
          <w:b/>
          <w:bCs/>
          <w:i w:val="0"/>
          <w:iCs w:val="0"/>
          <w:caps w:val="0"/>
          <w:color w:val="auto"/>
          <w:spacing w:val="0"/>
          <w:kern w:val="0"/>
          <w:sz w:val="28"/>
          <w:szCs w:val="28"/>
          <w:u w:val="none"/>
          <w:shd w:val="clear" w:fill="FFFFFF"/>
          <w:lang w:val="en-US" w:eastAsia="zh-CN" w:bidi="ar"/>
        </w:rPr>
        <w:t>六、其他重要事项</w:t>
      </w:r>
    </w:p>
    <w:p w14:paraId="59983B9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240" w:lineRule="auto"/>
        <w:ind w:left="0" w:right="0" w:firstLine="560" w:firstLineChars="200"/>
        <w:jc w:val="left"/>
        <w:textAlignment w:val="auto"/>
        <w:rPr>
          <w:rFonts w:hint="eastAsia" w:ascii="宋体" w:hAnsi="宋体" w:eastAsia="宋体" w:cs="宋体"/>
          <w:color w:val="auto"/>
          <w:sz w:val="28"/>
          <w:szCs w:val="28"/>
          <w:u w:val="none"/>
        </w:rPr>
      </w:pPr>
      <w:r>
        <w:rPr>
          <w:rFonts w:hint="eastAsia" w:ascii="宋体" w:hAnsi="宋体" w:eastAsia="宋体" w:cs="宋体"/>
          <w:i w:val="0"/>
          <w:iCs w:val="0"/>
          <w:caps w:val="0"/>
          <w:color w:val="auto"/>
          <w:spacing w:val="0"/>
          <w:kern w:val="0"/>
          <w:sz w:val="28"/>
          <w:szCs w:val="28"/>
          <w:u w:val="none"/>
          <w:shd w:val="clear" w:fill="FFFFFF"/>
          <w:lang w:val="en-US" w:eastAsia="zh-CN" w:bidi="ar"/>
        </w:rPr>
        <w:t>（一）精准优化政策</w:t>
      </w:r>
    </w:p>
    <w:p w14:paraId="010D544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240" w:lineRule="auto"/>
        <w:ind w:left="0" w:right="0" w:firstLine="560" w:firstLineChars="200"/>
        <w:jc w:val="left"/>
        <w:textAlignment w:val="auto"/>
        <w:rPr>
          <w:rFonts w:hint="eastAsia" w:ascii="宋体" w:hAnsi="宋体" w:eastAsia="宋体" w:cs="宋体"/>
          <w:color w:val="auto"/>
          <w:sz w:val="28"/>
          <w:szCs w:val="28"/>
          <w:u w:val="none"/>
        </w:rPr>
      </w:pPr>
      <w:r>
        <w:rPr>
          <w:rFonts w:hint="eastAsia" w:ascii="宋体" w:hAnsi="宋体" w:eastAsia="宋体" w:cs="宋体"/>
          <w:i w:val="0"/>
          <w:iCs w:val="0"/>
          <w:caps w:val="0"/>
          <w:color w:val="auto"/>
          <w:spacing w:val="0"/>
          <w:kern w:val="0"/>
          <w:sz w:val="28"/>
          <w:szCs w:val="28"/>
          <w:u w:val="none"/>
          <w:shd w:val="clear" w:fill="FFFFFF"/>
          <w:lang w:val="en-US" w:eastAsia="zh-CN" w:bidi="ar"/>
        </w:rPr>
        <w:t>1.加大贷款支持力度。全面执行人民银行关于下调个人住房公积金贷款利率0.25个百分点要求；提高单、双缴存人最高贷款额度分别提高至60万元、100万元，多子女家庭、“以旧换新”购房最高贷款额度上浮20%，“天府英才卡”A卡持卡人可申请最高贷款额度；实施“商转公”“带押过户”等政策，助力房地产市场止跌回稳。</w:t>
      </w:r>
    </w:p>
    <w:p w14:paraId="763AD7C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240" w:lineRule="auto"/>
        <w:ind w:left="0" w:right="0" w:firstLine="560" w:firstLineChars="200"/>
        <w:jc w:val="left"/>
        <w:textAlignment w:val="auto"/>
        <w:rPr>
          <w:rFonts w:hint="eastAsia" w:ascii="宋体" w:hAnsi="宋体" w:eastAsia="宋体" w:cs="宋体"/>
          <w:color w:val="auto"/>
          <w:sz w:val="28"/>
          <w:szCs w:val="28"/>
          <w:u w:val="none"/>
        </w:rPr>
      </w:pPr>
      <w:r>
        <w:rPr>
          <w:rFonts w:hint="eastAsia" w:ascii="宋体" w:hAnsi="宋体" w:eastAsia="宋体" w:cs="宋体"/>
          <w:i w:val="0"/>
          <w:iCs w:val="0"/>
          <w:caps w:val="0"/>
          <w:color w:val="auto"/>
          <w:spacing w:val="0"/>
          <w:kern w:val="0"/>
          <w:sz w:val="28"/>
          <w:szCs w:val="28"/>
          <w:u w:val="none"/>
          <w:shd w:val="clear" w:fill="FFFFFF"/>
          <w:lang w:val="en-US" w:eastAsia="zh-CN" w:bidi="ar"/>
        </w:rPr>
        <w:t>2.扩大提取使用范围。提高无备案租房提取额度至1,200元/月，多子女家庭租房提取额度上浮50%，“天府英才卡”A卡持卡人按实提取；按月直付房租项目增至11个，全年支持72.34万缴存人提取住房公积金50.82亿元用于支付房租，同比分别增长13.90%、26.04%。实施提取住房公积金直付购房款和由租转购，阶段性支持购房提取代际互助，老旧小区加装电梯提取范围扩大至其子女及子女配偶。放宽异地购房提取条件，缴存人在重庆和四川省内购房提取不受户籍或工作所在地限制。</w:t>
      </w:r>
    </w:p>
    <w:p w14:paraId="67919CA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240" w:lineRule="auto"/>
        <w:ind w:left="0" w:right="0" w:firstLine="560" w:firstLineChars="200"/>
        <w:jc w:val="left"/>
        <w:textAlignment w:val="auto"/>
        <w:rPr>
          <w:rFonts w:hint="eastAsia" w:ascii="宋体" w:hAnsi="宋体" w:eastAsia="宋体" w:cs="宋体"/>
          <w:color w:val="auto"/>
          <w:sz w:val="28"/>
          <w:szCs w:val="28"/>
          <w:u w:val="none"/>
        </w:rPr>
      </w:pPr>
      <w:r>
        <w:rPr>
          <w:rFonts w:hint="eastAsia" w:ascii="宋体" w:hAnsi="宋体" w:eastAsia="宋体" w:cs="宋体"/>
          <w:i w:val="0"/>
          <w:iCs w:val="0"/>
          <w:caps w:val="0"/>
          <w:color w:val="auto"/>
          <w:spacing w:val="0"/>
          <w:kern w:val="0"/>
          <w:sz w:val="28"/>
          <w:szCs w:val="28"/>
          <w:u w:val="none"/>
          <w:shd w:val="clear" w:fill="FFFFFF"/>
          <w:lang w:val="en-US" w:eastAsia="zh-CN" w:bidi="ar"/>
        </w:rPr>
        <w:t>3.优化调整缴存措施。放宽外籍人士参与条件，从持《外国人永久居留身份证》扩大至持《外国人工作许可证》及护照。调整年度缴存基数上限，2024年我市住房公积金缴存基数上限调整为31,362元；缴存基数下限保持不变，分区域为2,100元和1,970元。</w:t>
      </w:r>
    </w:p>
    <w:p w14:paraId="5AAC111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240" w:lineRule="auto"/>
        <w:ind w:left="0" w:right="0" w:firstLine="560" w:firstLineChars="200"/>
        <w:jc w:val="left"/>
        <w:textAlignment w:val="auto"/>
        <w:rPr>
          <w:rFonts w:hint="eastAsia" w:ascii="宋体" w:hAnsi="宋体" w:eastAsia="宋体" w:cs="宋体"/>
          <w:color w:val="auto"/>
          <w:sz w:val="28"/>
          <w:szCs w:val="28"/>
          <w:u w:val="none"/>
        </w:rPr>
      </w:pPr>
      <w:r>
        <w:rPr>
          <w:rFonts w:hint="eastAsia" w:ascii="宋体" w:hAnsi="宋体" w:eastAsia="宋体" w:cs="宋体"/>
          <w:i w:val="0"/>
          <w:iCs w:val="0"/>
          <w:caps w:val="0"/>
          <w:color w:val="auto"/>
          <w:spacing w:val="0"/>
          <w:kern w:val="0"/>
          <w:sz w:val="28"/>
          <w:szCs w:val="28"/>
          <w:u w:val="none"/>
          <w:shd w:val="clear" w:fill="FFFFFF"/>
          <w:lang w:val="en-US" w:eastAsia="zh-CN" w:bidi="ar"/>
        </w:rPr>
        <w:t>（二）加快推动区域协同发展</w:t>
      </w:r>
    </w:p>
    <w:p w14:paraId="648788A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240" w:lineRule="auto"/>
        <w:ind w:left="0" w:right="0" w:firstLine="560" w:firstLineChars="200"/>
        <w:jc w:val="left"/>
        <w:textAlignment w:val="auto"/>
        <w:rPr>
          <w:rFonts w:hint="eastAsia" w:ascii="宋体" w:hAnsi="宋体" w:eastAsia="宋体" w:cs="宋体"/>
          <w:color w:val="auto"/>
          <w:sz w:val="28"/>
          <w:szCs w:val="28"/>
          <w:u w:val="none"/>
        </w:rPr>
      </w:pPr>
      <w:r>
        <w:rPr>
          <w:rFonts w:hint="eastAsia" w:ascii="宋体" w:hAnsi="宋体" w:eastAsia="宋体" w:cs="宋体"/>
          <w:i w:val="0"/>
          <w:iCs w:val="0"/>
          <w:caps w:val="0"/>
          <w:color w:val="auto"/>
          <w:spacing w:val="0"/>
          <w:kern w:val="0"/>
          <w:sz w:val="28"/>
          <w:szCs w:val="28"/>
          <w:u w:val="none"/>
          <w:shd w:val="clear" w:fill="FFFFFF"/>
          <w:lang w:val="en-US" w:eastAsia="zh-CN" w:bidi="ar"/>
        </w:rPr>
        <w:t>1．深化成渝住房公积金双核联动联建。联合重庆中心共建“小金·成渝通”品牌，加快推进政策、试点、数字、服务、治理“五个融合”，打造成都“城北、龙泉驿服务部”和重庆“江北、渝北办事处”4个跨域优质服务专窗，实现“单位缴存登记”等4项服务标准统一。品牌被川渝两省市机关工委评为机关党建服务新时代西部大开发、双城经济圈建设“优秀案例”。</w:t>
      </w:r>
    </w:p>
    <w:p w14:paraId="351C21B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240" w:lineRule="auto"/>
        <w:ind w:left="0" w:right="0" w:firstLine="560" w:firstLineChars="200"/>
        <w:jc w:val="left"/>
        <w:textAlignment w:val="auto"/>
        <w:rPr>
          <w:rFonts w:hint="eastAsia" w:ascii="宋体" w:hAnsi="宋体" w:eastAsia="宋体" w:cs="宋体"/>
          <w:color w:val="auto"/>
          <w:sz w:val="28"/>
          <w:szCs w:val="28"/>
          <w:u w:val="none"/>
        </w:rPr>
      </w:pPr>
      <w:r>
        <w:rPr>
          <w:rFonts w:hint="eastAsia" w:ascii="宋体" w:hAnsi="宋体" w:eastAsia="宋体" w:cs="宋体"/>
          <w:i w:val="0"/>
          <w:iCs w:val="0"/>
          <w:caps w:val="0"/>
          <w:color w:val="auto"/>
          <w:spacing w:val="0"/>
          <w:kern w:val="0"/>
          <w:sz w:val="28"/>
          <w:szCs w:val="28"/>
          <w:u w:val="none"/>
          <w:shd w:val="clear" w:fill="FFFFFF"/>
          <w:lang w:val="en-US" w:eastAsia="zh-CN" w:bidi="ar"/>
        </w:rPr>
        <w:t>2．深化成德眉资住房公积金同城化发展。纵深推进成德眉资住房公积金“1+2”示范，实现“异地转移接续”等11个事项成德眉资政务服务“同城化无差别”受理，“离职提取”“提前部分还款”2个自选事项成德眉资“四市通办”。</w:t>
      </w:r>
    </w:p>
    <w:p w14:paraId="410C6B3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240" w:lineRule="auto"/>
        <w:ind w:left="0" w:right="0" w:firstLine="560" w:firstLineChars="200"/>
        <w:jc w:val="left"/>
        <w:textAlignment w:val="auto"/>
        <w:rPr>
          <w:rFonts w:hint="eastAsia" w:ascii="宋体" w:hAnsi="宋体" w:eastAsia="宋体" w:cs="宋体"/>
          <w:color w:val="auto"/>
          <w:sz w:val="28"/>
          <w:szCs w:val="28"/>
          <w:u w:val="none"/>
        </w:rPr>
      </w:pPr>
      <w:r>
        <w:rPr>
          <w:rFonts w:hint="eastAsia" w:ascii="宋体" w:hAnsi="宋体" w:eastAsia="宋体" w:cs="宋体"/>
          <w:i w:val="0"/>
          <w:iCs w:val="0"/>
          <w:caps w:val="0"/>
          <w:color w:val="auto"/>
          <w:spacing w:val="0"/>
          <w:kern w:val="0"/>
          <w:sz w:val="28"/>
          <w:szCs w:val="28"/>
          <w:u w:val="none"/>
          <w:shd w:val="clear" w:fill="FFFFFF"/>
          <w:lang w:val="en-US" w:eastAsia="zh-CN" w:bidi="ar"/>
        </w:rPr>
        <w:t>3．深化区域住房公积金联动互助。创新“区域合作贷款”，建立起“购房地中心受理、审核、发放贷款，缴存地中心提供贷款资金”的新模式，协同甘孜中心发放“区域合作贷款”43笔、3,200.60万元。持续深化与西藏“结对子”，通过驻点帮扶等方式，帮助西藏持续提升风险管理水平。</w:t>
      </w:r>
    </w:p>
    <w:p w14:paraId="25DAC36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240" w:lineRule="auto"/>
        <w:ind w:left="0" w:right="0" w:firstLine="560" w:firstLineChars="200"/>
        <w:jc w:val="left"/>
        <w:textAlignment w:val="auto"/>
        <w:rPr>
          <w:rFonts w:hint="eastAsia" w:ascii="宋体" w:hAnsi="宋体" w:eastAsia="宋体" w:cs="宋体"/>
          <w:color w:val="auto"/>
          <w:sz w:val="28"/>
          <w:szCs w:val="28"/>
          <w:u w:val="none"/>
        </w:rPr>
      </w:pPr>
      <w:r>
        <w:rPr>
          <w:rFonts w:hint="eastAsia" w:ascii="宋体" w:hAnsi="宋体" w:eastAsia="宋体" w:cs="宋体"/>
          <w:i w:val="0"/>
          <w:iCs w:val="0"/>
          <w:caps w:val="0"/>
          <w:color w:val="auto"/>
          <w:spacing w:val="0"/>
          <w:kern w:val="0"/>
          <w:sz w:val="28"/>
          <w:szCs w:val="28"/>
          <w:u w:val="none"/>
          <w:shd w:val="clear" w:fill="FFFFFF"/>
          <w:lang w:val="en-US" w:eastAsia="zh-CN" w:bidi="ar"/>
        </w:rPr>
        <w:t>（三）持续推进灵活就业人员制度试点</w:t>
      </w:r>
    </w:p>
    <w:p w14:paraId="7C04C22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240" w:lineRule="auto"/>
        <w:ind w:left="0" w:right="0" w:firstLine="560" w:firstLineChars="200"/>
        <w:jc w:val="left"/>
        <w:textAlignment w:val="auto"/>
        <w:rPr>
          <w:rFonts w:hint="eastAsia" w:ascii="宋体" w:hAnsi="宋体" w:eastAsia="宋体" w:cs="宋体"/>
          <w:color w:val="auto"/>
          <w:sz w:val="28"/>
          <w:szCs w:val="28"/>
          <w:u w:val="none"/>
        </w:rPr>
      </w:pPr>
      <w:r>
        <w:rPr>
          <w:rFonts w:hint="eastAsia" w:ascii="宋体" w:hAnsi="宋体" w:eastAsia="宋体" w:cs="宋体"/>
          <w:i w:val="0"/>
          <w:iCs w:val="0"/>
          <w:caps w:val="0"/>
          <w:color w:val="auto"/>
          <w:spacing w:val="0"/>
          <w:kern w:val="0"/>
          <w:sz w:val="28"/>
          <w:szCs w:val="28"/>
          <w:u w:val="none"/>
          <w:shd w:val="clear" w:fill="FFFFFF"/>
          <w:lang w:val="en-US" w:eastAsia="zh-CN" w:bidi="ar"/>
        </w:rPr>
        <w:t>1.加大政策吸引力。立足支持“灵活缴、灵活提、灵活贷”，继续执行好个税抵扣、缴存补贴等存量措施，进一步深化区域合作，优化异地权益转移接续，实现异地互认互提互贷。</w:t>
      </w:r>
    </w:p>
    <w:p w14:paraId="3EFFB73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240" w:lineRule="auto"/>
        <w:ind w:left="0" w:right="0" w:firstLine="560" w:firstLineChars="200"/>
        <w:jc w:val="left"/>
        <w:textAlignment w:val="auto"/>
        <w:rPr>
          <w:rFonts w:hint="eastAsia" w:ascii="宋体" w:hAnsi="宋体" w:eastAsia="宋体" w:cs="宋体"/>
          <w:color w:val="auto"/>
          <w:sz w:val="28"/>
          <w:szCs w:val="28"/>
          <w:u w:val="none"/>
        </w:rPr>
      </w:pPr>
      <w:r>
        <w:rPr>
          <w:rFonts w:hint="eastAsia" w:ascii="宋体" w:hAnsi="宋体" w:eastAsia="宋体" w:cs="宋体"/>
          <w:i w:val="0"/>
          <w:iCs w:val="0"/>
          <w:caps w:val="0"/>
          <w:color w:val="auto"/>
          <w:spacing w:val="0"/>
          <w:kern w:val="0"/>
          <w:sz w:val="28"/>
          <w:szCs w:val="28"/>
          <w:u w:val="none"/>
          <w:shd w:val="clear" w:fill="FFFFFF"/>
          <w:lang w:val="en-US" w:eastAsia="zh-CN" w:bidi="ar"/>
        </w:rPr>
        <w:t>2.扩大制度覆盖面。深入产业园区、大学校园、重点商圈等精准宣介试点政策，扩大灵活就业人员参加住房公积金制度覆盖面，全年新增开户2.01万人、缴存金额1.76亿元，累计向2,238户灵活就业人员家庭发放贷款10.33亿元。</w:t>
      </w:r>
    </w:p>
    <w:p w14:paraId="79BB447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240" w:lineRule="auto"/>
        <w:ind w:left="0" w:right="0" w:firstLine="560" w:firstLineChars="200"/>
        <w:jc w:val="left"/>
        <w:textAlignment w:val="auto"/>
        <w:rPr>
          <w:rFonts w:hint="eastAsia" w:ascii="宋体" w:hAnsi="宋体" w:eastAsia="宋体" w:cs="宋体"/>
          <w:color w:val="auto"/>
          <w:sz w:val="28"/>
          <w:szCs w:val="28"/>
          <w:u w:val="none"/>
        </w:rPr>
      </w:pPr>
      <w:r>
        <w:rPr>
          <w:rFonts w:hint="eastAsia" w:ascii="宋体" w:hAnsi="宋体" w:eastAsia="宋体" w:cs="宋体"/>
          <w:i w:val="0"/>
          <w:iCs w:val="0"/>
          <w:caps w:val="0"/>
          <w:color w:val="auto"/>
          <w:spacing w:val="0"/>
          <w:kern w:val="0"/>
          <w:sz w:val="28"/>
          <w:szCs w:val="28"/>
          <w:u w:val="none"/>
          <w:shd w:val="clear" w:fill="FFFFFF"/>
          <w:lang w:val="en-US" w:eastAsia="zh-CN" w:bidi="ar"/>
        </w:rPr>
        <w:t>（四）全面提升服务质效</w:t>
      </w:r>
    </w:p>
    <w:p w14:paraId="456A963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240" w:lineRule="auto"/>
        <w:ind w:left="0" w:right="0" w:firstLine="560" w:firstLineChars="200"/>
        <w:jc w:val="left"/>
        <w:textAlignment w:val="auto"/>
        <w:rPr>
          <w:rFonts w:hint="eastAsia" w:ascii="宋体" w:hAnsi="宋体" w:eastAsia="宋体" w:cs="宋体"/>
          <w:color w:val="auto"/>
          <w:sz w:val="28"/>
          <w:szCs w:val="28"/>
          <w:u w:val="none"/>
        </w:rPr>
      </w:pPr>
      <w:r>
        <w:rPr>
          <w:rFonts w:hint="eastAsia" w:ascii="宋体" w:hAnsi="宋体" w:eastAsia="宋体" w:cs="宋体"/>
          <w:i w:val="0"/>
          <w:iCs w:val="0"/>
          <w:caps w:val="0"/>
          <w:color w:val="auto"/>
          <w:spacing w:val="0"/>
          <w:kern w:val="0"/>
          <w:sz w:val="28"/>
          <w:szCs w:val="28"/>
          <w:u w:val="none"/>
          <w:shd w:val="clear" w:fill="FFFFFF"/>
          <w:lang w:val="en-US" w:eastAsia="zh-CN" w:bidi="ar"/>
        </w:rPr>
        <w:t>1.助力优化营商环境。认真落实“立园满园”和“进解优促”工作部署，深入开展企业全生命周期服务，切实推动住房公积金信息纳入全市首批信用报告实施领域，指导企业用好降比缓缴、差异化缴存等政策，累计支持4,000余家企业缓解阶段性资金压力11.58亿元。</w:t>
      </w:r>
    </w:p>
    <w:p w14:paraId="083FD43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240" w:lineRule="auto"/>
        <w:ind w:left="0" w:right="0" w:firstLine="560" w:firstLineChars="200"/>
        <w:jc w:val="left"/>
        <w:textAlignment w:val="auto"/>
        <w:rPr>
          <w:rFonts w:hint="eastAsia" w:ascii="宋体" w:hAnsi="宋体" w:eastAsia="宋体" w:cs="宋体"/>
          <w:color w:val="auto"/>
          <w:sz w:val="28"/>
          <w:szCs w:val="28"/>
          <w:u w:val="none"/>
        </w:rPr>
      </w:pPr>
      <w:r>
        <w:rPr>
          <w:rFonts w:hint="eastAsia" w:ascii="宋体" w:hAnsi="宋体" w:eastAsia="宋体" w:cs="宋体"/>
          <w:i w:val="0"/>
          <w:iCs w:val="0"/>
          <w:caps w:val="0"/>
          <w:color w:val="auto"/>
          <w:spacing w:val="0"/>
          <w:kern w:val="0"/>
          <w:sz w:val="28"/>
          <w:szCs w:val="28"/>
          <w:u w:val="none"/>
          <w:shd w:val="clear" w:fill="FFFFFF"/>
          <w:lang w:val="en-US" w:eastAsia="zh-CN" w:bidi="ar"/>
        </w:rPr>
        <w:t>2.加快推进全程网办。市中心深化数据共建共享，创新“后台办”“后台审”服务新模式，实现贷款自动审查审批，支持80余项业务线上办，网办率超97%。省级分中心以综合服务平台为抓手，拓展应用微信小程序等平台，43 个服务事项已全部实现线上办理。</w:t>
      </w:r>
    </w:p>
    <w:p w14:paraId="22D1702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240" w:lineRule="auto"/>
        <w:ind w:left="0" w:right="0" w:firstLine="560" w:firstLineChars="200"/>
        <w:jc w:val="left"/>
        <w:textAlignment w:val="auto"/>
        <w:rPr>
          <w:rFonts w:hint="eastAsia" w:ascii="宋体" w:hAnsi="宋体" w:eastAsia="宋体" w:cs="宋体"/>
          <w:color w:val="auto"/>
          <w:sz w:val="28"/>
          <w:szCs w:val="28"/>
          <w:u w:val="none"/>
        </w:rPr>
      </w:pPr>
      <w:r>
        <w:rPr>
          <w:rFonts w:hint="eastAsia" w:ascii="宋体" w:hAnsi="宋体" w:eastAsia="宋体" w:cs="宋体"/>
          <w:i w:val="0"/>
          <w:iCs w:val="0"/>
          <w:caps w:val="0"/>
          <w:color w:val="auto"/>
          <w:spacing w:val="0"/>
          <w:kern w:val="0"/>
          <w:sz w:val="28"/>
          <w:szCs w:val="28"/>
          <w:u w:val="none"/>
          <w:shd w:val="clear" w:fill="FFFFFF"/>
          <w:lang w:val="en-US" w:eastAsia="zh-CN" w:bidi="ar"/>
        </w:rPr>
        <w:t>3.不断提升服务效能。市中心实现14项业务“易申快享”和社保“一卡（码）通”场景应用，新增6项“高效办成一件事”。推动川渝服务事项标准化清单落地，实现18项服务事项“川渝通办”。省级分中心新增“退休一件事”等“高效办成一件事”，为群众和企业提供了更加便捷、高效的政务服务体验。推动“住房公积金转移接续”“住房公积金单位账户注销”“出具单位住房公积金缴存证明”等第四批“川渝通办”事项入驻省政务服务一体化平台专区。</w:t>
      </w:r>
    </w:p>
    <w:p w14:paraId="59E9838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240" w:lineRule="auto"/>
        <w:ind w:left="0" w:right="0" w:firstLine="560" w:firstLineChars="200"/>
        <w:jc w:val="left"/>
        <w:textAlignment w:val="auto"/>
        <w:rPr>
          <w:rFonts w:hint="eastAsia" w:ascii="宋体" w:hAnsi="宋体" w:eastAsia="宋体" w:cs="宋体"/>
          <w:color w:val="auto"/>
          <w:sz w:val="28"/>
          <w:szCs w:val="28"/>
          <w:u w:val="none"/>
        </w:rPr>
      </w:pPr>
      <w:r>
        <w:rPr>
          <w:rFonts w:hint="eastAsia" w:ascii="宋体" w:hAnsi="宋体" w:eastAsia="宋体" w:cs="宋体"/>
          <w:i w:val="0"/>
          <w:iCs w:val="0"/>
          <w:caps w:val="0"/>
          <w:color w:val="auto"/>
          <w:spacing w:val="0"/>
          <w:kern w:val="0"/>
          <w:sz w:val="28"/>
          <w:szCs w:val="28"/>
          <w:u w:val="none"/>
          <w:shd w:val="clear" w:fill="FFFFFF"/>
          <w:lang w:val="en-US" w:eastAsia="zh-CN" w:bidi="ar"/>
        </w:rPr>
        <w:t>（五）不断提高风险防控能力</w:t>
      </w:r>
    </w:p>
    <w:p w14:paraId="02DB8AF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240" w:lineRule="auto"/>
        <w:ind w:left="0" w:right="0" w:firstLine="560" w:firstLineChars="200"/>
        <w:jc w:val="left"/>
        <w:textAlignment w:val="auto"/>
        <w:rPr>
          <w:rFonts w:hint="eastAsia" w:ascii="宋体" w:hAnsi="宋体" w:eastAsia="宋体" w:cs="宋体"/>
          <w:color w:val="auto"/>
          <w:sz w:val="28"/>
          <w:szCs w:val="28"/>
          <w:u w:val="none"/>
        </w:rPr>
      </w:pPr>
      <w:r>
        <w:rPr>
          <w:rFonts w:hint="eastAsia" w:ascii="宋体" w:hAnsi="宋体" w:eastAsia="宋体" w:cs="宋体"/>
          <w:i w:val="0"/>
          <w:iCs w:val="0"/>
          <w:caps w:val="0"/>
          <w:color w:val="auto"/>
          <w:spacing w:val="0"/>
          <w:kern w:val="0"/>
          <w:sz w:val="28"/>
          <w:szCs w:val="28"/>
          <w:u w:val="none"/>
          <w:shd w:val="clear" w:fill="FFFFFF"/>
          <w:lang w:val="en-US" w:eastAsia="zh-CN" w:bidi="ar"/>
        </w:rPr>
        <w:t>1．加强业务资金管理。深化关键环节审计稽核，强化违规提取源头治理，加强征信合规应用管理和贷款逾期催收，优化资金存储机制，确保资金安全、流动性可控和保值增值。</w:t>
      </w:r>
    </w:p>
    <w:p w14:paraId="143AC09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240" w:lineRule="auto"/>
        <w:ind w:left="0" w:right="0" w:firstLine="560" w:firstLineChars="200"/>
        <w:jc w:val="left"/>
        <w:textAlignment w:val="auto"/>
        <w:rPr>
          <w:rFonts w:hint="eastAsia" w:ascii="宋体" w:hAnsi="宋体" w:eastAsia="宋体" w:cs="宋体"/>
          <w:color w:val="auto"/>
          <w:sz w:val="28"/>
          <w:szCs w:val="28"/>
          <w:u w:val="none"/>
        </w:rPr>
      </w:pPr>
      <w:r>
        <w:rPr>
          <w:rFonts w:hint="eastAsia" w:ascii="宋体" w:hAnsi="宋体" w:eastAsia="宋体" w:cs="宋体"/>
          <w:i w:val="0"/>
          <w:iCs w:val="0"/>
          <w:caps w:val="0"/>
          <w:color w:val="auto"/>
          <w:spacing w:val="0"/>
          <w:kern w:val="0"/>
          <w:sz w:val="28"/>
          <w:szCs w:val="28"/>
          <w:u w:val="none"/>
          <w:shd w:val="clear" w:fill="FFFFFF"/>
          <w:lang w:val="en-US" w:eastAsia="zh-CN" w:bidi="ar"/>
        </w:rPr>
        <w:t>2．加强信息安全管理。市中心圆满完成应用系统政务云迁移工作，提高网络安全防护能力。省级分中心积极开展核心业务系统密码改造工作，成为全省首家完成商用密码改造的住房公积金系统。</w:t>
      </w:r>
    </w:p>
    <w:p w14:paraId="30EA344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240" w:lineRule="auto"/>
        <w:ind w:left="0" w:right="0" w:firstLine="560" w:firstLineChars="200"/>
        <w:jc w:val="left"/>
        <w:textAlignment w:val="auto"/>
        <w:rPr>
          <w:rFonts w:hint="eastAsia" w:ascii="宋体" w:hAnsi="宋体" w:eastAsia="宋体" w:cs="宋体"/>
          <w:color w:val="auto"/>
          <w:sz w:val="28"/>
          <w:szCs w:val="28"/>
          <w:u w:val="none"/>
        </w:rPr>
      </w:pPr>
      <w:r>
        <w:rPr>
          <w:rFonts w:hint="eastAsia" w:ascii="宋体" w:hAnsi="宋体" w:eastAsia="宋体" w:cs="宋体"/>
          <w:i w:val="0"/>
          <w:iCs w:val="0"/>
          <w:caps w:val="0"/>
          <w:color w:val="auto"/>
          <w:spacing w:val="0"/>
          <w:kern w:val="0"/>
          <w:sz w:val="28"/>
          <w:szCs w:val="28"/>
          <w:u w:val="none"/>
          <w:shd w:val="clear" w:fill="FFFFFF"/>
          <w:lang w:val="en-US" w:eastAsia="zh-CN" w:bidi="ar"/>
        </w:rPr>
        <w:t>（六）全面完成石油行业住房公积金分支机构调整工作</w:t>
      </w:r>
    </w:p>
    <w:p w14:paraId="39775FA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240" w:lineRule="auto"/>
        <w:ind w:left="0" w:right="0" w:firstLine="560" w:firstLineChars="200"/>
        <w:jc w:val="left"/>
        <w:textAlignment w:val="auto"/>
        <w:rPr>
          <w:rFonts w:hint="eastAsia" w:ascii="宋体" w:hAnsi="宋体" w:eastAsia="宋体" w:cs="宋体"/>
          <w:color w:val="auto"/>
          <w:sz w:val="28"/>
          <w:szCs w:val="28"/>
          <w:u w:val="none"/>
        </w:rPr>
      </w:pPr>
      <w:r>
        <w:rPr>
          <w:rFonts w:hint="eastAsia" w:ascii="宋体" w:hAnsi="宋体" w:eastAsia="宋体" w:cs="宋体"/>
          <w:i w:val="0"/>
          <w:iCs w:val="0"/>
          <w:caps w:val="0"/>
          <w:color w:val="auto"/>
          <w:spacing w:val="0"/>
          <w:kern w:val="0"/>
          <w:sz w:val="28"/>
          <w:szCs w:val="28"/>
          <w:u w:val="none"/>
          <w:shd w:val="clear" w:fill="FFFFFF"/>
          <w:lang w:val="en-US" w:eastAsia="zh-CN" w:bidi="ar"/>
        </w:rPr>
        <w:t>在住房和城乡建设部、省住房和城乡建设厅的监督指导下，成都公积金中心于2024年底完成四川石油管理局住房公积金管理中心移交接收工作，2025年1月1日起全面承接石油缴存单位和职工管理服务职能，实现我市住房公积金的行业分支机构统一管理。</w:t>
      </w:r>
    </w:p>
    <w:p w14:paraId="3EEB022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240" w:lineRule="auto"/>
        <w:ind w:left="0" w:right="0" w:firstLine="560" w:firstLineChars="200"/>
        <w:jc w:val="left"/>
        <w:textAlignment w:val="auto"/>
        <w:rPr>
          <w:rFonts w:hint="eastAsia" w:ascii="宋体" w:hAnsi="宋体" w:eastAsia="宋体" w:cs="宋体"/>
          <w:color w:val="auto"/>
          <w:sz w:val="28"/>
          <w:szCs w:val="28"/>
          <w:u w:val="none"/>
        </w:rPr>
      </w:pPr>
      <w:r>
        <w:rPr>
          <w:rFonts w:hint="eastAsia" w:ascii="宋体" w:hAnsi="宋体" w:eastAsia="宋体" w:cs="宋体"/>
          <w:i w:val="0"/>
          <w:iCs w:val="0"/>
          <w:caps w:val="0"/>
          <w:color w:val="auto"/>
          <w:spacing w:val="0"/>
          <w:kern w:val="0"/>
          <w:sz w:val="28"/>
          <w:szCs w:val="28"/>
          <w:u w:val="none"/>
          <w:shd w:val="clear" w:fill="FFFFFF"/>
          <w:lang w:val="en-US" w:eastAsia="zh-CN" w:bidi="ar"/>
        </w:rPr>
        <w:t>（七）受委托办理缴存业务金融机构变更情况</w:t>
      </w:r>
    </w:p>
    <w:p w14:paraId="4B26F1C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240" w:lineRule="auto"/>
        <w:ind w:left="0" w:right="0" w:firstLine="560" w:firstLineChars="200"/>
        <w:jc w:val="left"/>
        <w:textAlignment w:val="auto"/>
        <w:rPr>
          <w:rFonts w:hint="eastAsia" w:ascii="宋体" w:hAnsi="宋体" w:eastAsia="宋体" w:cs="宋体"/>
          <w:color w:val="auto"/>
          <w:sz w:val="28"/>
          <w:szCs w:val="28"/>
          <w:u w:val="none"/>
        </w:rPr>
      </w:pPr>
      <w:r>
        <w:rPr>
          <w:rFonts w:hint="eastAsia" w:ascii="宋体" w:hAnsi="宋体" w:eastAsia="宋体" w:cs="宋体"/>
          <w:i w:val="0"/>
          <w:iCs w:val="0"/>
          <w:caps w:val="0"/>
          <w:color w:val="auto"/>
          <w:spacing w:val="0"/>
          <w:kern w:val="0"/>
          <w:sz w:val="28"/>
          <w:szCs w:val="28"/>
          <w:u w:val="none"/>
          <w:shd w:val="clear" w:fill="FFFFFF"/>
          <w:lang w:val="en-US" w:eastAsia="zh-CN" w:bidi="ar"/>
        </w:rPr>
        <w:t>经成都住房公积金管理委员会审议通过，受委托办理缴存业务金融机构新增中国邮政储蓄银行股份有限公司、上海浦东发展银行股份有限公司、广发银行股份有限公司、四川银行股份有限公司、绵阳市商业银行股份有限公司。</w:t>
      </w:r>
    </w:p>
    <w:p w14:paraId="0996285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240" w:lineRule="auto"/>
        <w:ind w:left="0" w:right="0" w:firstLine="560" w:firstLineChars="200"/>
        <w:jc w:val="left"/>
        <w:textAlignment w:val="auto"/>
        <w:rPr>
          <w:rFonts w:hint="eastAsia" w:ascii="宋体" w:hAnsi="宋体" w:eastAsia="宋体" w:cs="宋体"/>
          <w:color w:val="auto"/>
          <w:sz w:val="28"/>
          <w:szCs w:val="28"/>
          <w:u w:val="none"/>
        </w:rPr>
      </w:pPr>
      <w:r>
        <w:rPr>
          <w:rFonts w:hint="eastAsia" w:ascii="宋体" w:hAnsi="宋体" w:eastAsia="宋体" w:cs="宋体"/>
          <w:i w:val="0"/>
          <w:iCs w:val="0"/>
          <w:caps w:val="0"/>
          <w:color w:val="auto"/>
          <w:spacing w:val="0"/>
          <w:kern w:val="0"/>
          <w:sz w:val="28"/>
          <w:szCs w:val="28"/>
          <w:u w:val="none"/>
          <w:shd w:val="clear" w:fill="FFFFFF"/>
          <w:lang w:val="en-US" w:eastAsia="zh-CN" w:bidi="ar"/>
        </w:rPr>
        <w:t>（八）稳步提升行政执法质效</w:t>
      </w:r>
    </w:p>
    <w:p w14:paraId="1803AAF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240" w:lineRule="auto"/>
        <w:ind w:left="0" w:right="0" w:firstLine="560" w:firstLineChars="200"/>
        <w:jc w:val="left"/>
        <w:textAlignment w:val="auto"/>
        <w:rPr>
          <w:rFonts w:hint="eastAsia" w:ascii="宋体" w:hAnsi="宋体" w:eastAsia="宋体" w:cs="宋体"/>
          <w:color w:val="auto"/>
          <w:sz w:val="28"/>
          <w:szCs w:val="28"/>
          <w:u w:val="none"/>
        </w:rPr>
      </w:pPr>
      <w:r>
        <w:rPr>
          <w:rFonts w:hint="eastAsia" w:ascii="宋体" w:hAnsi="宋体" w:eastAsia="宋体" w:cs="宋体"/>
          <w:i w:val="0"/>
          <w:iCs w:val="0"/>
          <w:caps w:val="0"/>
          <w:color w:val="auto"/>
          <w:spacing w:val="0"/>
          <w:kern w:val="0"/>
          <w:sz w:val="28"/>
          <w:szCs w:val="28"/>
          <w:u w:val="none"/>
          <w:shd w:val="clear" w:fill="FFFFFF"/>
          <w:lang w:val="en-US" w:eastAsia="zh-CN" w:bidi="ar"/>
        </w:rPr>
        <w:t>完善行政执法工作体系，以“府院联动”为依托，推动矛盾前端实质化解，执法案件“转诉率”创历史新低。全年受理违反《住房公积金管理条例》和相关法规行为案件中，依法作出行政处罚决定3笔，处罚金额3万元；申请人民法院强制执行110笔，执行金额211.43万元。</w:t>
      </w:r>
    </w:p>
    <w:p w14:paraId="6916A70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240" w:lineRule="auto"/>
        <w:ind w:left="0" w:right="0" w:firstLine="560" w:firstLineChars="200"/>
        <w:jc w:val="left"/>
        <w:textAlignment w:val="auto"/>
        <w:rPr>
          <w:rFonts w:hint="eastAsia" w:ascii="宋体" w:hAnsi="宋体" w:eastAsia="宋体" w:cs="宋体"/>
          <w:color w:val="auto"/>
          <w:sz w:val="28"/>
          <w:szCs w:val="28"/>
          <w:u w:val="none"/>
        </w:rPr>
      </w:pPr>
      <w:r>
        <w:rPr>
          <w:rFonts w:hint="eastAsia" w:ascii="宋体" w:hAnsi="宋体" w:eastAsia="宋体" w:cs="宋体"/>
          <w:i w:val="0"/>
          <w:iCs w:val="0"/>
          <w:caps w:val="0"/>
          <w:color w:val="auto"/>
          <w:spacing w:val="0"/>
          <w:kern w:val="0"/>
          <w:sz w:val="28"/>
          <w:szCs w:val="28"/>
          <w:u w:val="none"/>
          <w:shd w:val="clear" w:fill="FFFFFF"/>
          <w:lang w:val="en-US" w:eastAsia="zh-CN" w:bidi="ar"/>
        </w:rPr>
        <w:t>（九）大力加强行业文明建设</w:t>
      </w:r>
    </w:p>
    <w:p w14:paraId="2B8CEA8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240" w:lineRule="auto"/>
        <w:ind w:left="0" w:right="0" w:firstLine="560" w:firstLineChars="200"/>
        <w:jc w:val="left"/>
        <w:textAlignment w:val="auto"/>
        <w:rPr>
          <w:rFonts w:hint="eastAsia" w:ascii="宋体" w:hAnsi="宋体" w:eastAsia="宋体" w:cs="宋体"/>
          <w:color w:val="auto"/>
          <w:sz w:val="28"/>
          <w:szCs w:val="28"/>
          <w:u w:val="none"/>
        </w:rPr>
      </w:pPr>
      <w:r>
        <w:rPr>
          <w:rFonts w:hint="eastAsia" w:ascii="宋体" w:hAnsi="宋体" w:eastAsia="宋体" w:cs="宋体"/>
          <w:i w:val="0"/>
          <w:iCs w:val="0"/>
          <w:caps w:val="0"/>
          <w:color w:val="auto"/>
          <w:spacing w:val="0"/>
          <w:kern w:val="0"/>
          <w:sz w:val="28"/>
          <w:szCs w:val="28"/>
          <w:u w:val="none"/>
          <w:shd w:val="clear" w:fill="FFFFFF"/>
          <w:lang w:val="en-US" w:eastAsia="zh-CN" w:bidi="ar"/>
        </w:rPr>
        <w:t>推动党建与业务工作相融互促，深化“廉洁公积金”建设，将行业文明建设与优化服务、规范管理有机结合，不断提升干部职工思想觉悟、道德水准和文明素养。市中心获全国住房公积金服务提升三年行动2023年度表现突出集体1个、表现突出个人1个，获地市级以上荣誉13个；省级分中心获“四川省三八红旗集体”等省直部门先进集体5个。</w:t>
      </w:r>
    </w:p>
    <w:p w14:paraId="1DCD9D2B">
      <w:pPr>
        <w:keepNext w:val="0"/>
        <w:keepLines w:val="0"/>
        <w:pageBreakBefore w:val="0"/>
        <w:kinsoku/>
        <w:wordWrap/>
        <w:overflowPunct/>
        <w:topLinePunct w:val="0"/>
        <w:autoSpaceDE/>
        <w:autoSpaceDN/>
        <w:bidi w:val="0"/>
        <w:adjustRightInd/>
        <w:snapToGrid/>
        <w:spacing w:line="240" w:lineRule="auto"/>
        <w:ind w:firstLine="420" w:firstLineChars="200"/>
        <w:textAlignment w:val="auto"/>
        <w:rPr>
          <w:rFonts w:hint="eastAsia" w:ascii="宋体" w:hAnsi="宋体" w:eastAsia="宋体" w:cs="宋体"/>
          <w:color w:val="auto"/>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DF3CC2"/>
    <w:rsid w:val="036451E4"/>
    <w:rsid w:val="10A74378"/>
    <w:rsid w:val="115609B7"/>
    <w:rsid w:val="1BD3588D"/>
    <w:rsid w:val="2B87499D"/>
    <w:rsid w:val="31005165"/>
    <w:rsid w:val="3CA74168"/>
    <w:rsid w:val="50207E67"/>
    <w:rsid w:val="5A464AEA"/>
    <w:rsid w:val="5E3A6572"/>
    <w:rsid w:val="694D19F7"/>
    <w:rsid w:val="6E470A20"/>
    <w:rsid w:val="78B06C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qFormat/>
    <w:uiPriority w:val="0"/>
    <w:rPr>
      <w:color w:val="0000FF"/>
      <w:u w:val="single"/>
    </w:rPr>
  </w:style>
</w:styles>
</file>

<file path=word/_rels/document.xml.rels><?xml version="1.0" encoding="UTF-8" standalone="yes"?>
<Relationships xmlns="http://schemas.openxmlformats.org/package/2006/relationships"><Relationship Id="rId3" Type="http://schemas.openxmlformats.org/officeDocument/2006/relationships/theme" Target="theme/theme1.xml"/><Relationship Id="rId7"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28C7B6C620067247A35EF62A3E68EE62" ma:contentTypeVersion="2" ma:contentTypeDescription="新建文档。" ma:contentTypeScope="" ma:versionID="afb9c51b290a08b96651a149e23bf63d">
  <xsd:schema xmlns:xsd="http://www.w3.org/2001/XMLSchema" xmlns:xs="http://www.w3.org/2001/XMLSchema" xmlns:p="http://schemas.microsoft.com/office/2006/metadata/properties" xmlns:ns2="eca6eae4-1627-4e8d-9a6b-5b4dd91506e7" targetNamespace="http://schemas.microsoft.com/office/2006/metadata/properties" ma:root="true" ma:fieldsID="5c256d110dbc588a3a1a6b419ffcea87" ns2:_="">
    <xsd:import namespace="eca6eae4-1627-4e8d-9a6b-5b4dd91506e7"/>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a6eae4-1627-4e8d-9a6b-5b4dd91506e7" elementFormDefault="qualified">
    <xsd:import namespace="http://schemas.microsoft.com/office/2006/documentManagement/types"/>
    <xsd:import namespace="http://schemas.microsoft.com/office/infopath/2007/PartnerControls"/>
    <xsd:element name="SharedWithUsers" ma:index="8"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享对象详细信息"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0DDE198-C60B-4EBB-A742-924C6753404E}"/>
</file>

<file path=customXml/itemProps2.xml><?xml version="1.0" encoding="utf-8"?>
<ds:datastoreItem xmlns:ds="http://schemas.openxmlformats.org/officeDocument/2006/customXml" ds:itemID="{306CD070-41B7-4C22-A4AE-24455B993315}"/>
</file>

<file path=customXml/itemProps3.xml><?xml version="1.0" encoding="utf-8"?>
<ds:datastoreItem xmlns:ds="http://schemas.openxmlformats.org/officeDocument/2006/customXml" ds:itemID="{1BA5B2F7-BFE5-4A64-8608-C941C24EA10D}"/>
</file>

<file path=docProps/app.xml><?xml version="1.0" encoding="utf-8"?>
<Properties xmlns="http://schemas.openxmlformats.org/officeDocument/2006/extended-properties" xmlns:vt="http://schemas.openxmlformats.org/officeDocument/2006/docPropsVTypes">
  <Template>Normal.dotm</Template>
  <Pages>11</Pages>
  <Words>5335</Words>
  <Characters>6550</Characters>
  <Lines>0</Lines>
  <Paragraphs>0</Paragraphs>
  <TotalTime>58</TotalTime>
  <ScaleCrop>false</ScaleCrop>
  <LinksUpToDate>false</LinksUpToDate>
  <CharactersWithSpaces>6559</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LUOMEI</dc:creator>
  <cp:lastModifiedBy>郭千影</cp:lastModifiedBy>
  <dcterms:created xsi:type="dcterms:W3CDTF">2025-03-31T02:37:00Z</dcterms:created>
  <dcterms:modified xsi:type="dcterms:W3CDTF">2025-09-15T11:09:43Z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6D0A5559053044809DED031A1F9FB034_12</vt:lpwstr>
  </property>
  <property fmtid="{D5CDD505-2E9C-101B-9397-08002B2CF9AE}" pid="4" name="KSOTemplateDocerSaveRecord">
    <vt:lpwstr>eyJoZGlkIjoiYTc2ZGZiNzZiNDVlOGViOWVmM2JhOTY0NGJkNjUyYzgiLCJ1c2VySWQiOiIyMjkxNjA2OTYifQ==</vt:lpwstr>
  </property>
  <property fmtid="{D5CDD505-2E9C-101B-9397-08002B2CF9AE}" pid="5" name="ContentTypeId">
    <vt:lpwstr>0x01010028C7B6C620067247A35EF62A3E68EE62</vt:lpwstr>
  </property>
</Properties>
</file>