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D0A694">
      <w:pPr>
        <w:keepNext w:val="0"/>
        <w:keepLines w:val="0"/>
        <w:widowControl/>
        <w:suppressLineNumbers w:val="0"/>
        <w:jc w:val="center"/>
        <w:rPr>
          <w:rFonts w:hint="eastAsia" w:ascii="宋体" w:hAnsi="宋体" w:eastAsia="宋体" w:cs="宋体"/>
          <w:b/>
          <w:bCs/>
          <w:kern w:val="0"/>
          <w:sz w:val="44"/>
          <w:szCs w:val="44"/>
          <w:lang w:val="en-US" w:eastAsia="zh-CN" w:bidi="ar"/>
        </w:rPr>
      </w:pPr>
      <w:r>
        <w:rPr>
          <w:rFonts w:hint="eastAsia" w:ascii="宋体" w:hAnsi="宋体" w:eastAsia="宋体" w:cs="宋体"/>
          <w:b/>
          <w:bCs/>
          <w:kern w:val="0"/>
          <w:sz w:val="44"/>
          <w:szCs w:val="44"/>
          <w:lang w:val="en-US" w:eastAsia="zh-CN" w:bidi="ar"/>
        </w:rPr>
        <w:t>杭州市住房公积金2024年年度报告</w:t>
      </w:r>
    </w:p>
    <w:tbl>
      <w:tblPr>
        <w:tblStyle w:val="5"/>
        <w:tblW w:w="45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65"/>
        <w:gridCol w:w="10"/>
      </w:tblGrid>
      <w:tr w14:paraId="57535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0" w:type="dxa"/>
              <w:left w:w="0" w:type="dxa"/>
              <w:bottom w:w="0" w:type="dxa"/>
              <w:right w:w="0" w:type="dxa"/>
            </w:tcMar>
            <w:vAlign w:val="center"/>
          </w:tcPr>
          <w:p w14:paraId="775A38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600" w:firstLineChars="200"/>
              <w:jc w:val="center"/>
              <w:textAlignment w:val="auto"/>
              <w:rPr>
                <w:rFonts w:hint="eastAsia" w:ascii="宋体" w:hAnsi="宋体" w:eastAsia="宋体" w:cs="宋体"/>
              </w:rPr>
            </w:pPr>
            <w:r>
              <w:rPr>
                <w:rFonts w:hint="eastAsia" w:ascii="宋体" w:hAnsi="宋体" w:eastAsia="宋体" w:cs="宋体"/>
                <w:kern w:val="0"/>
                <w:sz w:val="30"/>
                <w:szCs w:val="30"/>
                <w:lang w:val="en-US" w:eastAsia="zh-CN" w:bidi="ar"/>
              </w:rPr>
              <w:t>发布时间：2025-03-26 17:09</w:t>
            </w:r>
          </w:p>
        </w:tc>
        <w:tc>
          <w:tcPr>
            <w:tcW w:w="0" w:type="auto"/>
            <w:shd w:val="clear" w:color="auto" w:fill="auto"/>
            <w:tcMar>
              <w:top w:w="0" w:type="dxa"/>
              <w:left w:w="0" w:type="dxa"/>
              <w:bottom w:w="0" w:type="dxa"/>
              <w:right w:w="0" w:type="dxa"/>
            </w:tcMar>
            <w:vAlign w:val="center"/>
          </w:tcPr>
          <w:p w14:paraId="07195E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center"/>
              <w:textAlignment w:val="auto"/>
              <w:rPr>
                <w:rFonts w:hint="eastAsia" w:ascii="宋体" w:hAnsi="宋体" w:eastAsia="宋体" w:cs="宋体"/>
              </w:rPr>
            </w:pPr>
          </w:p>
        </w:tc>
      </w:tr>
    </w:tbl>
    <w:p w14:paraId="1E0953F1">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left"/>
        <w:textAlignment w:val="auto"/>
        <w:rPr>
          <w:rFonts w:hint="eastAsia" w:ascii="宋体" w:hAnsi="宋体" w:eastAsia="宋体" w:cs="宋体"/>
        </w:rPr>
      </w:pPr>
    </w:p>
    <w:p w14:paraId="7712D96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根据国务院《住房公积金管理条例》和住房和城乡建设部、财政部、人民银行《关于健全住房公积金信息披露制度的通知》（建金〔2015〕26号）的规定，经杭州住房公积金管理委员会审议通过，现将杭州市住房公积金2024年年度报告公布如下：</w:t>
      </w:r>
    </w:p>
    <w:p w14:paraId="090521E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一、机构概况</w:t>
      </w:r>
    </w:p>
    <w:p w14:paraId="32CBFD4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（一）住房公积金管理委员会</w:t>
      </w:r>
      <w:r>
        <w:rPr>
          <w:rFonts w:hint="eastAsia" w:ascii="宋体" w:hAnsi="宋体" w:eastAsia="宋体" w:cs="宋体"/>
          <w:sz w:val="28"/>
          <w:szCs w:val="28"/>
        </w:rPr>
        <w:t>：杭州住房公积金管理委员会有30名委员，2024年召开1次会议，审议通过的事项主要包括：《关于杭州市2023年住房公积金计划执行情况和2024年计划草案的报告》《杭州市住房公积金2023年年度报告》《关于中国铁路上海局集团有限公司申请使用廉租住房建设补充资金情况的报告》《关于改革试点我市住房公积金归集业务委托管理模式的报告》《关于杭州市2023年度单位降低住房公积金缴存比例和缓缴住房公积金情况的报告》《杭州住房公积金管理中心2023年度体检评估自评报告》。</w:t>
      </w:r>
    </w:p>
    <w:p w14:paraId="493DFB1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（二）住房公积金管理中心</w:t>
      </w:r>
      <w:r>
        <w:rPr>
          <w:rFonts w:hint="eastAsia" w:ascii="宋体" w:hAnsi="宋体" w:eastAsia="宋体" w:cs="宋体"/>
          <w:sz w:val="28"/>
          <w:szCs w:val="28"/>
        </w:rPr>
        <w:t>：杭州住房公积金管理中心为杭州市人民政府直属的不以营利为目的的事业单位，设8个内设机构、8个分中心、1个省直单位中心。从业人员371人，其中，在编175人，非在编196人。    </w:t>
      </w:r>
    </w:p>
    <w:p w14:paraId="0233990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二、业务运行情况</w:t>
      </w:r>
    </w:p>
    <w:p w14:paraId="53BEBBF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（一）缴存</w:t>
      </w:r>
      <w:r>
        <w:rPr>
          <w:rFonts w:hint="eastAsia" w:ascii="宋体" w:hAnsi="宋体" w:eastAsia="宋体" w:cs="宋体"/>
          <w:sz w:val="28"/>
          <w:szCs w:val="28"/>
        </w:rPr>
        <w:t>：2024年，新开户单位21483家，净增单位11748家；新开户职工70.3万人，净增职工7.9万人；实缴单位192687家，实缴职工396.9万人，缴存额1079.9亿元，分别同比增长6.5%、2.0%、5.9%。2024年末，缴存总额8440.0亿元，同比增长14.7%；缴存余额2280.5亿元，同比增长11.6%。受委托办理住房公积金缴存业务的银行5家，比上年增加一家（省直中心增加浙商银行为归集银行）。</w:t>
      </w:r>
    </w:p>
    <w:p w14:paraId="59F578C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（二）提取</w:t>
      </w:r>
      <w:r>
        <w:rPr>
          <w:rFonts w:hint="eastAsia" w:ascii="宋体" w:hAnsi="宋体" w:eastAsia="宋体" w:cs="宋体"/>
          <w:sz w:val="28"/>
          <w:szCs w:val="28"/>
        </w:rPr>
        <w:t>：2024年，207.7万名缴存职工提取住房公积金；提取额842.9亿元，同比增长8.9%；提取额占当年缴存额的78.1%，比上年增加2.2个百分点。2024年末，提取总额6159.6亿元，同比增长15.9%。</w:t>
      </w:r>
    </w:p>
    <w:p w14:paraId="22F145B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（三）贷款</w:t>
      </w:r>
    </w:p>
    <w:p w14:paraId="0155081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1.个人住房贷款</w:t>
      </w:r>
      <w:r>
        <w:rPr>
          <w:rFonts w:hint="eastAsia" w:ascii="宋体" w:hAnsi="宋体" w:eastAsia="宋体" w:cs="宋体"/>
          <w:sz w:val="28"/>
          <w:szCs w:val="28"/>
        </w:rPr>
        <w:t>：个人住房贷款最高额度130万元，其中，单缴存职工最高额度65万元，双缴存职工最高额度130万元。购买经认定为绿色低碳建筑的新建商品房、“以旧换新”购买住房、符合条件的多子女家庭及高层次人才家庭购房申请公积金贷款的，贷款额度可上浮一定比例计算。</w:t>
      </w:r>
    </w:p>
    <w:p w14:paraId="104B90F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2024年，发放个人住房贷款4.6万笔299.0亿元，同比分别下降9.8%、12.5%；回收个人住房贷款174.1亿元。</w:t>
      </w:r>
    </w:p>
    <w:p w14:paraId="517A276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p>
    <w:p w14:paraId="27A0C49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2024年个人住房贷款发放回收情况</w:t>
      </w:r>
    </w:p>
    <w:tbl>
      <w:tblPr>
        <w:tblStyle w:val="5"/>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656"/>
        <w:gridCol w:w="1680"/>
        <w:gridCol w:w="1680"/>
        <w:gridCol w:w="1680"/>
      </w:tblGrid>
      <w:tr w14:paraId="12438B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656" w:type="dxa"/>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98C419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单 位</w:t>
            </w:r>
          </w:p>
        </w:tc>
        <w:tc>
          <w:tcPr>
            <w:tcW w:w="1680" w:type="dxa"/>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BBED01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发放笔数（万笔）</w:t>
            </w:r>
          </w:p>
        </w:tc>
        <w:tc>
          <w:tcPr>
            <w:tcW w:w="1680" w:type="dxa"/>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648CB5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发放金额（亿元）</w:t>
            </w:r>
          </w:p>
        </w:tc>
        <w:tc>
          <w:tcPr>
            <w:tcW w:w="1680" w:type="dxa"/>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F37E4A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回收金额（亿元）</w:t>
            </w:r>
          </w:p>
        </w:tc>
      </w:tr>
      <w:tr w14:paraId="22782E3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432" w:hRule="atLeast"/>
          <w:jc w:val="center"/>
        </w:trPr>
        <w:tc>
          <w:tcPr>
            <w:tcW w:w="16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285C30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市中心</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D7F666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2.5</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6CE744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166.5</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081F96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91.6</w:t>
            </w:r>
          </w:p>
        </w:tc>
      </w:tr>
      <w:tr w14:paraId="29F07D4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6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0677D2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省直中心</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8C8E2B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0.6</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180119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40.2</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8B9486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42.4</w:t>
            </w:r>
          </w:p>
        </w:tc>
      </w:tr>
      <w:tr w14:paraId="2E3E3A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432" w:hRule="atLeast"/>
          <w:jc w:val="center"/>
        </w:trPr>
        <w:tc>
          <w:tcPr>
            <w:tcW w:w="16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D5BFD1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萧山分中心</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A14C61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0.4</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2B2737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27.1</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6F26DE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12.9</w:t>
            </w:r>
          </w:p>
        </w:tc>
      </w:tr>
      <w:tr w14:paraId="6896C34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6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F183A8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余杭分中心</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2DAA50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0.3</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8E02A6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24.1</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E3361E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7.0</w:t>
            </w:r>
          </w:p>
        </w:tc>
      </w:tr>
      <w:tr w14:paraId="6BD2C41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6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1CD631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临平分中心</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E4D17A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0.2</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42BD31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17.0</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DAA40A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9.1</w:t>
            </w:r>
          </w:p>
        </w:tc>
      </w:tr>
      <w:tr w14:paraId="79715DD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6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7FB50B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富阳分中心</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18C88E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0.1</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DC140D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9.5</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A4BB83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5.4</w:t>
            </w:r>
          </w:p>
        </w:tc>
      </w:tr>
      <w:tr w14:paraId="368D56C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6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8F4BA2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临安分中心</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40D934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0.2</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D6BAAE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8.4</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EFB880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-0.4</w:t>
            </w:r>
          </w:p>
        </w:tc>
      </w:tr>
      <w:tr w14:paraId="392E90B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432" w:hRule="atLeast"/>
          <w:jc w:val="center"/>
        </w:trPr>
        <w:tc>
          <w:tcPr>
            <w:tcW w:w="16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0DBAC0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桐庐分中心</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F01380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0.1</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4F20AE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3.1</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43A1F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2.6</w:t>
            </w:r>
          </w:p>
        </w:tc>
      </w:tr>
      <w:tr w14:paraId="26856C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432" w:hRule="atLeast"/>
          <w:jc w:val="center"/>
        </w:trPr>
        <w:tc>
          <w:tcPr>
            <w:tcW w:w="16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6E51A8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淳安分中心</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E44B3B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0.1</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9E1026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1.9</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999C9C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1.4</w:t>
            </w:r>
          </w:p>
        </w:tc>
      </w:tr>
      <w:tr w14:paraId="04359AE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432" w:hRule="atLeast"/>
          <w:jc w:val="center"/>
        </w:trPr>
        <w:tc>
          <w:tcPr>
            <w:tcW w:w="16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653855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建德分中心</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38A43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0.1</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0C9544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1.2</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7360DC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2.1</w:t>
            </w:r>
          </w:p>
        </w:tc>
      </w:tr>
      <w:tr w14:paraId="2901993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432" w:hRule="atLeast"/>
          <w:jc w:val="center"/>
        </w:trPr>
        <w:tc>
          <w:tcPr>
            <w:tcW w:w="16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9B7830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合   计</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6A4CAA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4.6</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027E09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299.0</w:t>
            </w:r>
          </w:p>
        </w:tc>
        <w:tc>
          <w:tcPr>
            <w:tcW w:w="168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F083A7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174.1</w:t>
            </w:r>
          </w:p>
        </w:tc>
      </w:tr>
    </w:tbl>
    <w:p w14:paraId="5FA33E9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left"/>
        <w:textAlignment w:val="auto"/>
        <w:rPr>
          <w:rFonts w:hint="eastAsia" w:ascii="宋体" w:hAnsi="宋体" w:eastAsia="宋体" w:cs="宋体"/>
          <w:sz w:val="28"/>
          <w:szCs w:val="28"/>
        </w:rPr>
      </w:pPr>
    </w:p>
    <w:p w14:paraId="195905A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2024年末，累计发放个人住房贷款77.1万笔3710.9亿元，贷款余额1931.3亿元，分别同比增长6.3%、8.8%、6.9%。个人住房贷款余额占缴存余额84.7%，比上年末减少3.7个百分点。受委托办理住房公积金个人住房贷款业务的银行27家。</w:t>
      </w:r>
    </w:p>
    <w:p w14:paraId="4ADD39B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2.异地贷款</w:t>
      </w:r>
      <w:r>
        <w:rPr>
          <w:rFonts w:hint="eastAsia" w:ascii="宋体" w:hAnsi="宋体" w:eastAsia="宋体" w:cs="宋体"/>
          <w:sz w:val="28"/>
          <w:szCs w:val="28"/>
        </w:rPr>
        <w:t>：2024年，发放异地贷款2322笔194636.5万元。2024年末，发放异地贷款总额1435239.2万元，异地贷款余额831937.9万元。</w:t>
      </w:r>
    </w:p>
    <w:p w14:paraId="16D05A8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3.公转商贴息贷款</w:t>
      </w:r>
      <w:r>
        <w:rPr>
          <w:rFonts w:hint="eastAsia" w:ascii="宋体" w:hAnsi="宋体" w:eastAsia="宋体" w:cs="宋体"/>
          <w:sz w:val="28"/>
          <w:szCs w:val="28"/>
        </w:rPr>
        <w:t>：2024年，未发放公转商贴息贷款，置换转回公转商贴息贷款645216.0万元，为历年发放的公转商贴息贷款贴息23835.3万元。2024年末，累计发放（实施）公转商贴息贷款86556笔4303146.6万元，累计贴息219338.9万元。</w:t>
      </w:r>
    </w:p>
    <w:p w14:paraId="336220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（四）购买国债</w:t>
      </w:r>
      <w:r>
        <w:rPr>
          <w:rFonts w:hint="eastAsia" w:ascii="宋体" w:hAnsi="宋体" w:eastAsia="宋体" w:cs="宋体"/>
          <w:sz w:val="28"/>
          <w:szCs w:val="28"/>
        </w:rPr>
        <w:t>：2024年，国债购买、兑付、转让、收回均为0。2024年末，国债余额为0，比上年无增减。</w:t>
      </w:r>
    </w:p>
    <w:p w14:paraId="12FE6EA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（五）资金存储</w:t>
      </w:r>
      <w:r>
        <w:rPr>
          <w:rFonts w:hint="eastAsia" w:ascii="宋体" w:hAnsi="宋体" w:eastAsia="宋体" w:cs="宋体"/>
          <w:sz w:val="28"/>
          <w:szCs w:val="28"/>
        </w:rPr>
        <w:t>：2024年末，住房公积金存款364.8亿元。其中，活期0.2亿元，1年（含）以下定期125.3亿元，1年以上定期0亿元，其他（协定、通知存款等）239.3亿元。</w:t>
      </w:r>
    </w:p>
    <w:p w14:paraId="7FF5E79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（六）资金运用率</w:t>
      </w:r>
      <w:r>
        <w:rPr>
          <w:rFonts w:hint="eastAsia" w:ascii="宋体" w:hAnsi="宋体" w:eastAsia="宋体" w:cs="宋体"/>
          <w:sz w:val="28"/>
          <w:szCs w:val="28"/>
        </w:rPr>
        <w:t>：2024年末，住房公积金个人住房贷款余额、项目贷款余额和购买国债余额的总和占缴存余额的84.7%，比上年末减少3.7个百分点。</w:t>
      </w:r>
    </w:p>
    <w:p w14:paraId="6ABEBE3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三、主要财务数据</w:t>
      </w:r>
    </w:p>
    <w:p w14:paraId="075D3DC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（一）业务收入</w:t>
      </w:r>
      <w:r>
        <w:rPr>
          <w:rFonts w:hint="eastAsia" w:ascii="宋体" w:hAnsi="宋体" w:eastAsia="宋体" w:cs="宋体"/>
          <w:sz w:val="28"/>
          <w:szCs w:val="28"/>
        </w:rPr>
        <w:t>：2024年，业务收入664766.0万元，同比增长8.7%。其中，存款利息65923.8万元，委托贷款利息598830.8万元，国债利息0万元，其他11.4万元。</w:t>
      </w:r>
    </w:p>
    <w:p w14:paraId="7F4F69E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（二）业务支出</w:t>
      </w:r>
      <w:r>
        <w:rPr>
          <w:rFonts w:hint="eastAsia" w:ascii="宋体" w:hAnsi="宋体" w:eastAsia="宋体" w:cs="宋体"/>
          <w:sz w:val="28"/>
          <w:szCs w:val="28"/>
        </w:rPr>
        <w:t>：2024年，业务支出382649.7万元，同比增长8.9%。其中，支付职工住房公积金利息328985.4万元，归集手续费6.2万元，委托贷款手续费28194.4万元，其他25463.7万元。</w:t>
      </w:r>
    </w:p>
    <w:p w14:paraId="073A8EC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（三）增值收益</w:t>
      </w:r>
      <w:r>
        <w:rPr>
          <w:rFonts w:hint="eastAsia" w:ascii="宋体" w:hAnsi="宋体" w:eastAsia="宋体" w:cs="宋体"/>
          <w:sz w:val="28"/>
          <w:szCs w:val="28"/>
        </w:rPr>
        <w:t>：2024年，增值收益282116.3万元，同比增长8.5%。其中，增值收益率1.3%，比上年下降0.1个百分点。</w:t>
      </w:r>
    </w:p>
    <w:p w14:paraId="4A12963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（四）增值收益分配</w:t>
      </w:r>
      <w:r>
        <w:rPr>
          <w:rFonts w:hint="eastAsia" w:ascii="宋体" w:hAnsi="宋体" w:eastAsia="宋体" w:cs="宋体"/>
          <w:sz w:val="28"/>
          <w:szCs w:val="28"/>
        </w:rPr>
        <w:t>：2024年，提取贷款风险准备金73442.9万元，提取管理费用7050.4万元，提取城市廉租住房（公共租赁住房）建设补充资金201623.0万元。</w:t>
      </w:r>
    </w:p>
    <w:p w14:paraId="72276E8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2024年，上缴财政管理费用6257.03万元。上缴财政城市廉租住房（公共租赁住房）建设补充资金204495.9万元。 </w:t>
      </w:r>
    </w:p>
    <w:p w14:paraId="30A2988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2024年末，贷款风险准备金余额1121559.2万元。累计提取城市廉租住房（公共租赁住房）建设补充资金1363123.8万元。</w:t>
      </w:r>
    </w:p>
    <w:p w14:paraId="0FED19A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p>
    <w:p w14:paraId="3577D3C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2024年增值收益及分配情况</w:t>
      </w:r>
    </w:p>
    <w:p w14:paraId="382CF8C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单位:万元</w:t>
      </w:r>
    </w:p>
    <w:tbl>
      <w:tblPr>
        <w:tblStyle w:val="5"/>
        <w:tblW w:w="0" w:type="auto"/>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620"/>
        <w:gridCol w:w="1008"/>
        <w:gridCol w:w="1008"/>
        <w:gridCol w:w="1008"/>
        <w:gridCol w:w="903"/>
        <w:gridCol w:w="798"/>
        <w:gridCol w:w="1008"/>
        <w:gridCol w:w="1008"/>
        <w:gridCol w:w="1113"/>
      </w:tblGrid>
      <w:tr w14:paraId="207C0EC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96" w:hRule="atLeast"/>
        </w:trPr>
        <w:tc>
          <w:tcPr>
            <w:tcW w:w="852"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D6209C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单 位</w:t>
            </w:r>
          </w:p>
        </w:tc>
        <w:tc>
          <w:tcPr>
            <w:tcW w:w="972"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B2C6A3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业务</w:t>
            </w:r>
          </w:p>
          <w:p w14:paraId="0A3DD2C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收入</w:t>
            </w:r>
          </w:p>
        </w:tc>
        <w:tc>
          <w:tcPr>
            <w:tcW w:w="948"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34C04D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业务</w:t>
            </w:r>
          </w:p>
          <w:p w14:paraId="2AE8E83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支出</w:t>
            </w:r>
          </w:p>
        </w:tc>
        <w:tc>
          <w:tcPr>
            <w:tcW w:w="828"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04B1A8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增值</w:t>
            </w:r>
          </w:p>
          <w:p w14:paraId="4C3C5C8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收益</w:t>
            </w:r>
          </w:p>
        </w:tc>
        <w:tc>
          <w:tcPr>
            <w:tcW w:w="864"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5A5DB1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提取贷款风险准备</w:t>
            </w:r>
          </w:p>
        </w:tc>
        <w:tc>
          <w:tcPr>
            <w:tcW w:w="672"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F8615F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提取管理费用</w:t>
            </w:r>
          </w:p>
        </w:tc>
        <w:tc>
          <w:tcPr>
            <w:tcW w:w="2592" w:type="dxa"/>
            <w:gridSpan w:val="3"/>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5ACE2A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城市廉租住房（公共租赁住房）</w:t>
            </w:r>
          </w:p>
          <w:p w14:paraId="43A1F19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建设补充资金</w:t>
            </w:r>
          </w:p>
        </w:tc>
      </w:tr>
      <w:tr w14:paraId="3A90FF2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372" w:hRule="atLeast"/>
        </w:trPr>
        <w:tc>
          <w:tcPr>
            <w:tcW w:w="852"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454F613">
            <w:pPr>
              <w:keepNext w:val="0"/>
              <w:keepLines w:val="0"/>
              <w:pageBreakBefore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rPr>
            </w:pPr>
          </w:p>
        </w:tc>
        <w:tc>
          <w:tcPr>
            <w:tcW w:w="972"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B94ED70">
            <w:pPr>
              <w:keepNext w:val="0"/>
              <w:keepLines w:val="0"/>
              <w:pageBreakBefore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rPr>
            </w:pPr>
          </w:p>
        </w:tc>
        <w:tc>
          <w:tcPr>
            <w:tcW w:w="948"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D395366">
            <w:pPr>
              <w:keepNext w:val="0"/>
              <w:keepLines w:val="0"/>
              <w:pageBreakBefore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rPr>
            </w:pPr>
          </w:p>
        </w:tc>
        <w:tc>
          <w:tcPr>
            <w:tcW w:w="828"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9737835">
            <w:pPr>
              <w:keepNext w:val="0"/>
              <w:keepLines w:val="0"/>
              <w:pageBreakBefore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rPr>
            </w:pPr>
          </w:p>
        </w:tc>
        <w:tc>
          <w:tcPr>
            <w:tcW w:w="864"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E418A40">
            <w:pPr>
              <w:keepNext w:val="0"/>
              <w:keepLines w:val="0"/>
              <w:pageBreakBefore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rPr>
            </w:pPr>
          </w:p>
        </w:tc>
        <w:tc>
          <w:tcPr>
            <w:tcW w:w="672"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9BA7E63">
            <w:pPr>
              <w:keepNext w:val="0"/>
              <w:keepLines w:val="0"/>
              <w:pageBreakBefore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rPr>
            </w:pP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CB65ED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当年提取</w:t>
            </w:r>
          </w:p>
        </w:tc>
        <w:tc>
          <w:tcPr>
            <w:tcW w:w="828" w:type="dxa"/>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2DF858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当年上缴</w:t>
            </w:r>
          </w:p>
        </w:tc>
        <w:tc>
          <w:tcPr>
            <w:tcW w:w="936" w:type="dxa"/>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72F88E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累计提取</w:t>
            </w:r>
          </w:p>
        </w:tc>
      </w:tr>
      <w:tr w14:paraId="4686F49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432" w:hRule="atLeast"/>
        </w:trPr>
        <w:tc>
          <w:tcPr>
            <w:tcW w:w="85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4D2564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市中心</w:t>
            </w:r>
          </w:p>
        </w:tc>
        <w:tc>
          <w:tcPr>
            <w:tcW w:w="9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76DC72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348104.8</w:t>
            </w:r>
          </w:p>
        </w:tc>
        <w:tc>
          <w:tcPr>
            <w:tcW w:w="94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2F7F91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493853.4</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4EBC6E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154815.5</w:t>
            </w:r>
          </w:p>
        </w:tc>
        <w:tc>
          <w:tcPr>
            <w:tcW w:w="864"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4E7CF0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47137.8</w:t>
            </w:r>
          </w:p>
        </w:tc>
        <w:tc>
          <w:tcPr>
            <w:tcW w:w="672" w:type="dxa"/>
            <w:tcBorders>
              <w:top w:val="nil"/>
              <w:left w:val="single" w:color="auto" w:sz="4" w:space="0"/>
              <w:bottom w:val="single" w:color="auto" w:sz="4" w:space="0"/>
              <w:right w:val="single" w:color="auto" w:sz="4" w:space="0"/>
            </w:tcBorders>
            <w:shd w:val="clear" w:color="auto" w:fill="FFFFFF"/>
            <w:tcMar>
              <w:top w:w="0" w:type="dxa"/>
              <w:left w:w="84" w:type="dxa"/>
              <w:bottom w:w="0" w:type="dxa"/>
              <w:right w:w="84" w:type="dxa"/>
            </w:tcMar>
            <w:vAlign w:val="center"/>
          </w:tcPr>
          <w:p w14:paraId="292F147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1397.0</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B30AB2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106280.7</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EBF5D1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112374.5</w:t>
            </w:r>
          </w:p>
        </w:tc>
        <w:tc>
          <w:tcPr>
            <w:tcW w:w="93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6A43B8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731673.9</w:t>
            </w:r>
          </w:p>
        </w:tc>
      </w:tr>
      <w:tr w14:paraId="5E5DCE5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trPr>
        <w:tc>
          <w:tcPr>
            <w:tcW w:w="85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B18D20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省直中心</w:t>
            </w:r>
          </w:p>
        </w:tc>
        <w:tc>
          <w:tcPr>
            <w:tcW w:w="9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85B13F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143388.5</w:t>
            </w:r>
          </w:p>
        </w:tc>
        <w:tc>
          <w:tcPr>
            <w:tcW w:w="94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34B64F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76750.1</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118620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66638.4</w:t>
            </w:r>
          </w:p>
        </w:tc>
        <w:tc>
          <w:tcPr>
            <w:tcW w:w="864"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BFF1A8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0.0</w:t>
            </w:r>
          </w:p>
        </w:tc>
        <w:tc>
          <w:tcPr>
            <w:tcW w:w="6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1236F7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3682.9</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7592D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62955.5</w:t>
            </w:r>
          </w:p>
        </w:tc>
        <w:tc>
          <w:tcPr>
            <w:tcW w:w="828" w:type="dxa"/>
            <w:tcBorders>
              <w:top w:val="nil"/>
              <w:left w:val="single" w:color="auto" w:sz="4" w:space="0"/>
              <w:bottom w:val="single" w:color="auto" w:sz="4" w:space="0"/>
              <w:right w:val="single" w:color="auto" w:sz="4" w:space="0"/>
            </w:tcBorders>
            <w:shd w:val="clear" w:color="auto" w:fill="FFFFFF"/>
            <w:tcMar>
              <w:top w:w="0" w:type="dxa"/>
              <w:left w:w="84" w:type="dxa"/>
              <w:bottom w:w="0" w:type="dxa"/>
              <w:right w:w="84" w:type="dxa"/>
            </w:tcMar>
            <w:vAlign w:val="center"/>
          </w:tcPr>
          <w:p w14:paraId="13D869D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62920.0</w:t>
            </w:r>
          </w:p>
        </w:tc>
        <w:tc>
          <w:tcPr>
            <w:tcW w:w="936" w:type="dxa"/>
            <w:tcBorders>
              <w:top w:val="nil"/>
              <w:left w:val="single" w:color="auto" w:sz="4" w:space="0"/>
              <w:bottom w:val="single" w:color="auto" w:sz="4" w:space="0"/>
              <w:right w:val="single" w:color="auto" w:sz="4" w:space="0"/>
            </w:tcBorders>
            <w:shd w:val="clear" w:color="auto" w:fill="FFFFFF"/>
            <w:tcMar>
              <w:top w:w="0" w:type="dxa"/>
              <w:left w:w="84" w:type="dxa"/>
              <w:bottom w:w="0" w:type="dxa"/>
              <w:right w:w="84" w:type="dxa"/>
            </w:tcMar>
            <w:vAlign w:val="center"/>
          </w:tcPr>
          <w:p w14:paraId="4D20BAA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403449.3</w:t>
            </w:r>
          </w:p>
        </w:tc>
      </w:tr>
      <w:tr w14:paraId="1FD9295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trPr>
        <w:tc>
          <w:tcPr>
            <w:tcW w:w="85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3EA2C8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萧山</w:t>
            </w:r>
          </w:p>
          <w:p w14:paraId="5719662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分中心</w:t>
            </w:r>
          </w:p>
        </w:tc>
        <w:tc>
          <w:tcPr>
            <w:tcW w:w="9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0FEE49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59215.8</w:t>
            </w:r>
          </w:p>
        </w:tc>
        <w:tc>
          <w:tcPr>
            <w:tcW w:w="94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FB0661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39439.1</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E2200F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19776.7</w:t>
            </w:r>
          </w:p>
        </w:tc>
        <w:tc>
          <w:tcPr>
            <w:tcW w:w="864"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5C3095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5444.4</w:t>
            </w:r>
          </w:p>
        </w:tc>
        <w:tc>
          <w:tcPr>
            <w:tcW w:w="6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CDF0C4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0.0</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1CA11C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14332.3</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10A3AD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13604.8</w:t>
            </w:r>
          </w:p>
        </w:tc>
        <w:tc>
          <w:tcPr>
            <w:tcW w:w="93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8CE7D4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87345.0</w:t>
            </w:r>
          </w:p>
        </w:tc>
      </w:tr>
      <w:tr w14:paraId="1237112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432" w:hRule="atLeast"/>
        </w:trPr>
        <w:tc>
          <w:tcPr>
            <w:tcW w:w="85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AC13E8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余杭</w:t>
            </w:r>
          </w:p>
          <w:p w14:paraId="09DA716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分中心</w:t>
            </w:r>
          </w:p>
        </w:tc>
        <w:tc>
          <w:tcPr>
            <w:tcW w:w="9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41D1C8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31518.9</w:t>
            </w:r>
          </w:p>
        </w:tc>
        <w:tc>
          <w:tcPr>
            <w:tcW w:w="94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0A16F5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19578.5</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B6B2BD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11940.5</w:t>
            </w:r>
          </w:p>
        </w:tc>
        <w:tc>
          <w:tcPr>
            <w:tcW w:w="864"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7C30A0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10044.3</w:t>
            </w:r>
          </w:p>
        </w:tc>
        <w:tc>
          <w:tcPr>
            <w:tcW w:w="6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F9E98D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0.0</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516017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1896.1</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599D9B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0.0</w:t>
            </w:r>
          </w:p>
        </w:tc>
        <w:tc>
          <w:tcPr>
            <w:tcW w:w="93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827A12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14627.7</w:t>
            </w:r>
          </w:p>
        </w:tc>
      </w:tr>
      <w:tr w14:paraId="15F4B6C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72" w:hRule="atLeast"/>
        </w:trPr>
        <w:tc>
          <w:tcPr>
            <w:tcW w:w="85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24E406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临平</w:t>
            </w:r>
          </w:p>
          <w:p w14:paraId="470309B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分中心</w:t>
            </w:r>
          </w:p>
        </w:tc>
        <w:tc>
          <w:tcPr>
            <w:tcW w:w="9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438446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37821.7</w:t>
            </w:r>
          </w:p>
        </w:tc>
        <w:tc>
          <w:tcPr>
            <w:tcW w:w="94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FC1F1B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26130.7</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F3B614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11691.0</w:t>
            </w:r>
          </w:p>
        </w:tc>
        <w:tc>
          <w:tcPr>
            <w:tcW w:w="864"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3C21D1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3145.0</w:t>
            </w:r>
          </w:p>
        </w:tc>
        <w:tc>
          <w:tcPr>
            <w:tcW w:w="6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2CC3EA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0.0</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14ECE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8546.0</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0A2069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5297.7</w:t>
            </w:r>
          </w:p>
        </w:tc>
        <w:tc>
          <w:tcPr>
            <w:tcW w:w="93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3B0370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33889.6</w:t>
            </w:r>
          </w:p>
        </w:tc>
      </w:tr>
      <w:tr w14:paraId="42D1903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72" w:hRule="atLeast"/>
        </w:trPr>
        <w:tc>
          <w:tcPr>
            <w:tcW w:w="85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403CB2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富阳</w:t>
            </w:r>
          </w:p>
          <w:p w14:paraId="19D0A5D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分中心</w:t>
            </w:r>
          </w:p>
        </w:tc>
        <w:tc>
          <w:tcPr>
            <w:tcW w:w="9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8FA234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30603.2</w:t>
            </w:r>
          </w:p>
        </w:tc>
        <w:tc>
          <w:tcPr>
            <w:tcW w:w="94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8E224F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25250.7</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FAF2AE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5352.5</w:t>
            </w:r>
          </w:p>
        </w:tc>
        <w:tc>
          <w:tcPr>
            <w:tcW w:w="864"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97C8A3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4854.8</w:t>
            </w:r>
          </w:p>
        </w:tc>
        <w:tc>
          <w:tcPr>
            <w:tcW w:w="6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0E70F6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497.7</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13EC42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0.0</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866DB7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0.0</w:t>
            </w:r>
          </w:p>
        </w:tc>
        <w:tc>
          <w:tcPr>
            <w:tcW w:w="93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93CF58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17701.6</w:t>
            </w:r>
          </w:p>
        </w:tc>
      </w:tr>
      <w:tr w14:paraId="4892E8C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trPr>
        <w:tc>
          <w:tcPr>
            <w:tcW w:w="85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190D3B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临安</w:t>
            </w:r>
          </w:p>
          <w:p w14:paraId="6BDBE39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分中心</w:t>
            </w:r>
          </w:p>
        </w:tc>
        <w:tc>
          <w:tcPr>
            <w:tcW w:w="9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CD2DAF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19082.9</w:t>
            </w:r>
          </w:p>
        </w:tc>
        <w:tc>
          <w:tcPr>
            <w:tcW w:w="94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DDBF7F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15192.6</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8F02D3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3890.2</w:t>
            </w:r>
          </w:p>
        </w:tc>
        <w:tc>
          <w:tcPr>
            <w:tcW w:w="864"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77CFEF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3243.2</w:t>
            </w:r>
          </w:p>
        </w:tc>
        <w:tc>
          <w:tcPr>
            <w:tcW w:w="6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9A816D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647.0</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26D46E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0.0</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1D35E8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0.0</w:t>
            </w:r>
          </w:p>
        </w:tc>
        <w:tc>
          <w:tcPr>
            <w:tcW w:w="93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845639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9043.4</w:t>
            </w:r>
          </w:p>
        </w:tc>
      </w:tr>
      <w:tr w14:paraId="51E0F35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trPr>
        <w:tc>
          <w:tcPr>
            <w:tcW w:w="85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D49AF4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桐庐</w:t>
            </w:r>
          </w:p>
          <w:p w14:paraId="627E920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分中心</w:t>
            </w:r>
          </w:p>
        </w:tc>
        <w:tc>
          <w:tcPr>
            <w:tcW w:w="9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4B57DF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7867.0</w:t>
            </w:r>
          </w:p>
        </w:tc>
        <w:tc>
          <w:tcPr>
            <w:tcW w:w="94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151CD5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4680.6</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55517D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3186.4</w:t>
            </w:r>
          </w:p>
        </w:tc>
        <w:tc>
          <w:tcPr>
            <w:tcW w:w="864"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FA9565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199.2</w:t>
            </w:r>
          </w:p>
        </w:tc>
        <w:tc>
          <w:tcPr>
            <w:tcW w:w="6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3A254F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350.0</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25763D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2637.2</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A8DF27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2517.1</w:t>
            </w:r>
          </w:p>
        </w:tc>
        <w:tc>
          <w:tcPr>
            <w:tcW w:w="93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AD129A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18688.5</w:t>
            </w:r>
          </w:p>
        </w:tc>
      </w:tr>
      <w:tr w14:paraId="6520CA5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trPr>
        <w:tc>
          <w:tcPr>
            <w:tcW w:w="85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C084BA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淳安</w:t>
            </w:r>
          </w:p>
          <w:p w14:paraId="772082A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分中心</w:t>
            </w:r>
          </w:p>
        </w:tc>
        <w:tc>
          <w:tcPr>
            <w:tcW w:w="9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414852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6642.5</w:t>
            </w:r>
          </w:p>
        </w:tc>
        <w:tc>
          <w:tcPr>
            <w:tcW w:w="94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51BD7B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4537.4</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F96196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2105.1</w:t>
            </w:r>
          </w:p>
        </w:tc>
        <w:tc>
          <w:tcPr>
            <w:tcW w:w="864"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1C183E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-1.3</w:t>
            </w:r>
          </w:p>
        </w:tc>
        <w:tc>
          <w:tcPr>
            <w:tcW w:w="6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935C55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0.0</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600A0A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2106.4</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712C0E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3496.8</w:t>
            </w:r>
          </w:p>
        </w:tc>
        <w:tc>
          <w:tcPr>
            <w:tcW w:w="93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20110F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16498.3</w:t>
            </w:r>
          </w:p>
        </w:tc>
      </w:tr>
      <w:tr w14:paraId="7FE3644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trPr>
        <w:tc>
          <w:tcPr>
            <w:tcW w:w="85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F55F59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建德</w:t>
            </w:r>
          </w:p>
          <w:p w14:paraId="5C57E60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分中心</w:t>
            </w:r>
          </w:p>
        </w:tc>
        <w:tc>
          <w:tcPr>
            <w:tcW w:w="9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6851E9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8609.1</w:t>
            </w:r>
          </w:p>
        </w:tc>
        <w:tc>
          <w:tcPr>
            <w:tcW w:w="94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1F2F1C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5889.1</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406DFC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2720.0</w:t>
            </w:r>
          </w:p>
        </w:tc>
        <w:tc>
          <w:tcPr>
            <w:tcW w:w="864"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ACE315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-624.7</w:t>
            </w:r>
          </w:p>
        </w:tc>
        <w:tc>
          <w:tcPr>
            <w:tcW w:w="6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A29883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475.9</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166CDC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2868.8</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C4E098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4285.0</w:t>
            </w:r>
          </w:p>
        </w:tc>
        <w:tc>
          <w:tcPr>
            <w:tcW w:w="93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0BDBE2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30206.5</w:t>
            </w:r>
          </w:p>
        </w:tc>
      </w:tr>
      <w:tr w14:paraId="7AA6752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trPr>
        <w:tc>
          <w:tcPr>
            <w:tcW w:w="85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37B4EF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合计</w:t>
            </w:r>
          </w:p>
        </w:tc>
        <w:tc>
          <w:tcPr>
            <w:tcW w:w="9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6F2946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664766.0</w:t>
            </w:r>
          </w:p>
        </w:tc>
        <w:tc>
          <w:tcPr>
            <w:tcW w:w="94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111985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382649.7</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4FB974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282116.3</w:t>
            </w:r>
          </w:p>
        </w:tc>
        <w:tc>
          <w:tcPr>
            <w:tcW w:w="864"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64DCFC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73442.7</w:t>
            </w:r>
          </w:p>
        </w:tc>
        <w:tc>
          <w:tcPr>
            <w:tcW w:w="672"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E4D4B0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7050.5</w:t>
            </w:r>
          </w:p>
        </w:tc>
        <w:tc>
          <w:tcPr>
            <w:tcW w:w="8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1BB4D6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201623.0</w:t>
            </w:r>
          </w:p>
        </w:tc>
        <w:tc>
          <w:tcPr>
            <w:tcW w:w="828" w:type="dxa"/>
            <w:tcBorders>
              <w:top w:val="nil"/>
              <w:left w:val="single" w:color="auto" w:sz="4" w:space="0"/>
              <w:bottom w:val="single" w:color="auto" w:sz="4" w:space="0"/>
              <w:right w:val="single" w:color="auto" w:sz="4" w:space="0"/>
            </w:tcBorders>
            <w:shd w:val="clear" w:color="auto" w:fill="FFFFFF"/>
            <w:tcMar>
              <w:top w:w="0" w:type="dxa"/>
              <w:left w:w="84" w:type="dxa"/>
              <w:bottom w:w="0" w:type="dxa"/>
              <w:right w:w="84" w:type="dxa"/>
            </w:tcMar>
            <w:vAlign w:val="center"/>
          </w:tcPr>
          <w:p w14:paraId="57A4394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204495.9</w:t>
            </w:r>
          </w:p>
        </w:tc>
        <w:tc>
          <w:tcPr>
            <w:tcW w:w="93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21DC7A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1363123.8</w:t>
            </w:r>
          </w:p>
        </w:tc>
      </w:tr>
    </w:tbl>
    <w:p w14:paraId="190A2DB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注：全市范围内调剂资金的利息收支及内部收支分摊金额在全市业务收入、业务支出汇总时合并计算；提取的管理费用中，市中心为预提2025年管理费用，其余机构为2024年管理费用。</w:t>
      </w:r>
    </w:p>
    <w:p w14:paraId="63EBAB4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（五）管理费用支出：</w:t>
      </w:r>
      <w:r>
        <w:rPr>
          <w:rFonts w:hint="eastAsia" w:ascii="宋体" w:hAnsi="宋体" w:eastAsia="宋体" w:cs="宋体"/>
          <w:sz w:val="28"/>
          <w:szCs w:val="28"/>
        </w:rPr>
        <w:t> 2024年，管理费用支出14675.9万元，同比增长6.1%。其中，人员经费7860.6万元，公用经费1088.2万元，专项经费5727.1万元。</w:t>
      </w:r>
    </w:p>
    <w:p w14:paraId="0AAC54F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2024年管理费用实际使用情况</w:t>
      </w:r>
    </w:p>
    <w:tbl>
      <w:tblPr>
        <w:tblStyle w:val="5"/>
        <w:tblpPr w:leftFromText="180" w:rightFromText="180" w:vertAnchor="text" w:horzAnchor="page" w:tblpXSpec="center" w:tblpY="609"/>
        <w:tblOverlap w:val="never"/>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956"/>
        <w:gridCol w:w="1428"/>
        <w:gridCol w:w="1428"/>
        <w:gridCol w:w="1428"/>
        <w:gridCol w:w="1620"/>
      </w:tblGrid>
      <w:tr w14:paraId="6900A16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956" w:type="dxa"/>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A95B1C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单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位</w:t>
            </w:r>
          </w:p>
        </w:tc>
        <w:tc>
          <w:tcPr>
            <w:tcW w:w="1428" w:type="dxa"/>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A68D48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人员经费</w:t>
            </w:r>
          </w:p>
        </w:tc>
        <w:tc>
          <w:tcPr>
            <w:tcW w:w="1428" w:type="dxa"/>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813797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公用经费</w:t>
            </w:r>
          </w:p>
        </w:tc>
        <w:tc>
          <w:tcPr>
            <w:tcW w:w="1428" w:type="dxa"/>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EDA4E9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专项经费</w:t>
            </w:r>
          </w:p>
        </w:tc>
        <w:tc>
          <w:tcPr>
            <w:tcW w:w="1620" w:type="dxa"/>
            <w:tcBorders>
              <w:top w:val="single" w:color="auto" w:sz="4" w:space="0"/>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11F317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管理费用合计</w:t>
            </w:r>
          </w:p>
        </w:tc>
      </w:tr>
      <w:tr w14:paraId="29B77C7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432" w:hRule="atLeast"/>
          <w:jc w:val="center"/>
        </w:trPr>
        <w:tc>
          <w:tcPr>
            <w:tcW w:w="19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D8106C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市</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中</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心</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8AC54D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2708.9</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B9FBBF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461.6</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2F5C45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2670.0</w:t>
            </w:r>
          </w:p>
        </w:tc>
        <w:tc>
          <w:tcPr>
            <w:tcW w:w="162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C8A2D6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5840.5</w:t>
            </w:r>
          </w:p>
        </w:tc>
      </w:tr>
      <w:tr w14:paraId="4AD97EF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9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93B64B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省直</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中心</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E71CE3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2080.4</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DAEDF7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300.6</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0108A3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1224.2</w:t>
            </w:r>
          </w:p>
        </w:tc>
        <w:tc>
          <w:tcPr>
            <w:tcW w:w="162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078ACF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3605.2</w:t>
            </w:r>
          </w:p>
        </w:tc>
      </w:tr>
      <w:tr w14:paraId="121B79B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9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B6A520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萧山分中心</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9B569F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658.8</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644704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88.0</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4D0686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349.9</w:t>
            </w:r>
          </w:p>
        </w:tc>
        <w:tc>
          <w:tcPr>
            <w:tcW w:w="162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7868D5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1096.7</w:t>
            </w:r>
          </w:p>
        </w:tc>
      </w:tr>
      <w:tr w14:paraId="415B29B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9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3F2DA1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sz w:val="21"/>
                <w:szCs w:val="21"/>
              </w:rPr>
            </w:pPr>
            <w:r>
              <w:rPr>
                <w:rFonts w:hint="eastAsia" w:ascii="宋体" w:hAnsi="宋体" w:eastAsia="宋体" w:cs="宋体"/>
                <w:sz w:val="21"/>
                <w:szCs w:val="21"/>
              </w:rPr>
              <w:t>余杭分中心</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692E3A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439.5</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5383B4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27.2</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75FB5A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543.7</w:t>
            </w:r>
          </w:p>
        </w:tc>
        <w:tc>
          <w:tcPr>
            <w:tcW w:w="162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C551BC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1010.4</w:t>
            </w:r>
          </w:p>
        </w:tc>
      </w:tr>
      <w:tr w14:paraId="4F42130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9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4AED29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临平分中心</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50B8A0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437.6</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156F57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42.4</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D2BA79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362.1</w:t>
            </w:r>
          </w:p>
        </w:tc>
        <w:tc>
          <w:tcPr>
            <w:tcW w:w="162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DDED92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842.1</w:t>
            </w:r>
          </w:p>
        </w:tc>
      </w:tr>
      <w:tr w14:paraId="7D3EF04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9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168BBE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富阳分中心</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7A74FE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291.0</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794F33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50.6</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A256FD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156.1</w:t>
            </w:r>
          </w:p>
        </w:tc>
        <w:tc>
          <w:tcPr>
            <w:tcW w:w="162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E54987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497.7</w:t>
            </w:r>
          </w:p>
        </w:tc>
      </w:tr>
      <w:tr w14:paraId="1F5F96F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9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F77915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临安分中心</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A299E0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302.4</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AF3BC7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42.2</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AF2F21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170.6</w:t>
            </w:r>
          </w:p>
        </w:tc>
        <w:tc>
          <w:tcPr>
            <w:tcW w:w="162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24AC92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515.2</w:t>
            </w:r>
          </w:p>
        </w:tc>
      </w:tr>
      <w:tr w14:paraId="2AF426B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9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6B1462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桐庐分中心</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A5BEF5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278.4</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01FEF8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28.7</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502CF9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35.3</w:t>
            </w:r>
          </w:p>
        </w:tc>
        <w:tc>
          <w:tcPr>
            <w:tcW w:w="162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9B5A56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342.4</w:t>
            </w:r>
          </w:p>
        </w:tc>
      </w:tr>
      <w:tr w14:paraId="6C75E18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9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6C36AB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淳安分中心</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DB0B0B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291.7</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EBE53A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12.3</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92CF39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145.8</w:t>
            </w:r>
          </w:p>
        </w:tc>
        <w:tc>
          <w:tcPr>
            <w:tcW w:w="162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67B8FCC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449.8</w:t>
            </w:r>
          </w:p>
        </w:tc>
      </w:tr>
      <w:tr w14:paraId="0E08BFA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9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EEF911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建德分中心</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2E6003A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371.9</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3FE8FA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34.6</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FDA954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69.4</w:t>
            </w:r>
          </w:p>
        </w:tc>
        <w:tc>
          <w:tcPr>
            <w:tcW w:w="162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1F67900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475.9</w:t>
            </w:r>
          </w:p>
        </w:tc>
      </w:tr>
      <w:tr w14:paraId="113700F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2" w:hRule="atLeast"/>
          <w:jc w:val="center"/>
        </w:trPr>
        <w:tc>
          <w:tcPr>
            <w:tcW w:w="1956"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E80E03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合</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计</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7D59F3C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7860.6</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4122DFC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1088.2</w:t>
            </w:r>
          </w:p>
        </w:tc>
        <w:tc>
          <w:tcPr>
            <w:tcW w:w="1428"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5137DCB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5727.1</w:t>
            </w:r>
          </w:p>
        </w:tc>
        <w:tc>
          <w:tcPr>
            <w:tcW w:w="1620" w:type="dxa"/>
            <w:tcBorders>
              <w:top w:val="nil"/>
              <w:left w:val="single" w:color="auto" w:sz="4" w:space="0"/>
              <w:bottom w:val="single" w:color="auto" w:sz="4" w:space="0"/>
              <w:right w:val="single" w:color="auto" w:sz="4" w:space="0"/>
            </w:tcBorders>
            <w:shd w:val="clear" w:color="auto" w:fill="auto"/>
            <w:tcMar>
              <w:top w:w="0" w:type="dxa"/>
              <w:left w:w="84" w:type="dxa"/>
              <w:bottom w:w="0" w:type="dxa"/>
              <w:right w:w="84" w:type="dxa"/>
            </w:tcMar>
            <w:vAlign w:val="center"/>
          </w:tcPr>
          <w:p w14:paraId="0FB0D29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14675.9</w:t>
            </w:r>
          </w:p>
        </w:tc>
      </w:tr>
    </w:tbl>
    <w:p w14:paraId="65F9494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center"/>
        <w:textAlignment w:val="auto"/>
        <w:rPr>
          <w:rFonts w:hint="eastAsia" w:ascii="宋体" w:hAnsi="宋体" w:eastAsia="宋体" w:cs="宋体"/>
          <w:sz w:val="28"/>
          <w:szCs w:val="28"/>
        </w:rPr>
      </w:pPr>
      <w:r>
        <w:rPr>
          <w:rFonts w:hint="eastAsia" w:ascii="宋体" w:hAnsi="宋体" w:eastAsia="宋体" w:cs="宋体"/>
          <w:sz w:val="28"/>
          <w:szCs w:val="28"/>
        </w:rPr>
        <w:t>单位：万元</w:t>
      </w:r>
    </w:p>
    <w:p w14:paraId="2D2163C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注：市中心的人员经费、公用经费、部分专项经费以及萧山、余杭、临平、淳安分中心的所有管理费用均由当地财政在财政预算内列支，不纳入公积金增值收益分配。</w:t>
      </w:r>
    </w:p>
    <w:p w14:paraId="7B707FF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四、资产风险状况</w:t>
      </w:r>
    </w:p>
    <w:p w14:paraId="55A93F1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2024年末，个人住房贷款逾期额1469.72万元，逾期率0.076‰。其中，市中心0.070‰，省直中心0.088‰，余杭分中心0.051‰，萧山分中心0.035‰，临平分中心0.002‰，富阳分中心0.077‰，临安分中心0.357‰，桐庐分中心0.139‰，淳安分中心0.189‰，建德分中心0.005‰。个人贷款风险准备金余额1121559.2万元。2024年，未使用个人贷款风险准备金核销呆坏账。    </w:t>
      </w:r>
    </w:p>
    <w:p w14:paraId="12CF17C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Style w:val="7"/>
          <w:rFonts w:hint="eastAsia" w:ascii="宋体" w:hAnsi="宋体" w:eastAsia="宋体" w:cs="宋体"/>
          <w:sz w:val="28"/>
          <w:szCs w:val="28"/>
        </w:rPr>
      </w:pPr>
    </w:p>
    <w:p w14:paraId="4F5E70B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五、社会经济效益</w:t>
      </w:r>
    </w:p>
    <w:p w14:paraId="385EAC4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（一）缴存业务：</w:t>
      </w:r>
    </w:p>
    <w:p w14:paraId="7B323E7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缴存职工中，国家机关和事业单位占11.2%，国有企业占3.0%，城镇集体企业占0.0%，外商投资企业占4.3%，城镇私营企业及其他城镇企业占79.0%，民办非企业单位和社会团体占0.4%，灵活就业人员占0.6%；其他占1.5%；中、低收入占96.9%，高收入占3.1%。</w:t>
      </w:r>
    </w:p>
    <w:p w14:paraId="3DF7D54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新开户职工中，国家机关和事业单位占3.3%，国有企业占1.1%，城镇集体企业占0.0%，外商投资企业占3.2%，城镇私营企业及其他城镇企业占89.5%，民办非企业单位和社会团体占0.3%，灵活就业人员占1.5%，其他占1.1%；中、低收入占98.6%，高收入占1.4%。</w:t>
      </w:r>
    </w:p>
    <w:p w14:paraId="22DF621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（二）提取业务：</w:t>
      </w:r>
    </w:p>
    <w:p w14:paraId="00FFEE8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提取金额中，购买、建造、翻建、大修自住住房占6.1%，偿还购房贷款本息占64.3%，租赁住房占17.7%，支持老旧小区改造占0.0%，离休和退休提取占7.3%，完全丧失劳动能力并与单位终止劳动关系提取占0.0%，出境定居占2.3%，其他占2.3%。提取职工中，中、低收入占95.7%，高收入占4.3%。 </w:t>
      </w:r>
    </w:p>
    <w:p w14:paraId="4BEFBE0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（三）贷款业务：</w:t>
      </w:r>
    </w:p>
    <w:p w14:paraId="75593A7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1.个人住房贷款</w:t>
      </w:r>
      <w:r>
        <w:rPr>
          <w:rFonts w:hint="eastAsia" w:ascii="宋体" w:hAnsi="宋体" w:eastAsia="宋体" w:cs="宋体"/>
          <w:sz w:val="28"/>
          <w:szCs w:val="28"/>
        </w:rPr>
        <w:t>：2024年，支持职工购建房495.4万平方米，年末个人住房贷款市场占有率为16.9%，比上年下降0.1个百分点。2024年发放的住房公积金个人住房贷款，偿还期内为贷款职工节约利息支出96104.7万元。</w:t>
      </w:r>
    </w:p>
    <w:p w14:paraId="0269B7C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职工贷款笔数中，购房建筑面积90（含）平方米以下占35.4%，90～140（含）平方米占56.9%，140平方米以上占7.7%。购买新房占45.8%（其中保障性住房0.4%），购买二手房占43.9%，建造、翻建、大修自住住房占0.0%（其中支持老旧小区改造占0.0%），其他占10.3%。</w:t>
      </w:r>
    </w:p>
    <w:p w14:paraId="4F72EEC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职工贷款笔数中，单缴存职工申请贷款占54.9%，双缴存职工申请贷款占45.1%，三人及以上缴存职工共同申请贷款占0.00%。</w:t>
      </w:r>
    </w:p>
    <w:p w14:paraId="35152FA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贷款职工中，30岁（含）以下占40.9%，30岁～40岁（含）占45.5%，40岁～50岁（含）占11.7%，50岁以上占1.9%；购买首套住房申请贷款占89.3%，购买二套及以上申请贷款占10.7%；中、低收入占92.4%，高收入占7.6%。</w:t>
      </w:r>
    </w:p>
    <w:p w14:paraId="1612A83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（四）住房贡献率：</w:t>
      </w:r>
    </w:p>
    <w:p w14:paraId="3D5FBE1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2024年，个人住房贷款发放额、公转商贴息贷款发放额、项目贷款发放额、住房消费提取额的总和与当年缴存额的比率为96.4%，比上年减少8.0个百分点。</w:t>
      </w:r>
    </w:p>
    <w:p w14:paraId="7D7A0F6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六、其他重要事项</w:t>
      </w:r>
    </w:p>
    <w:p w14:paraId="62930DC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（一）支持新市民、青年人解决居住问题</w:t>
      </w:r>
    </w:p>
    <w:p w14:paraId="643BCCC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一是实施“春雨计划”，加大对无房缴存人租赁住房的支持力度，提高租赁提取限额标准，实施新市民、青年人全额提取每月公积金支付房租，实现“应提尽提”，减轻缴存人租房压力，降低新市民、青年人居住成本，全市无房租赁提取额同比增长约58%，其中新市民、青年人占比约35%。二是扩大灵活就业人员缴存。从1月1日起实施缴存使用新模式，取消缴存门槛，优化基数和比例灵活申报机制，实行与单位职工同等政策力度，增设支付宝等缴费方式，通过增强制度吸引，加强宣传引导，全年新增建缴1.7万人，实现“愿缴尽缴”。三是支持保障性住房建设。新增公积金支持保租房试点项目5个，优化押金减免、按月转租等优惠举措，简化租赁住房提取业务流程。实施购买保障性住房贷款首付款比例15%和提取支持政策。四是继续推进住房公积金贷款资产证券化试点，在上海证券交易所储架发行证券化30亿元，发行成本进一步降低，募集资金重点支持新市民、青年人租赁和购买首套住房。</w:t>
      </w:r>
    </w:p>
    <w:p w14:paraId="1ED717D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（二）政策调整情况</w:t>
      </w:r>
    </w:p>
    <w:p w14:paraId="115E49E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1.缴存基数上下限调整情况</w:t>
      </w:r>
    </w:p>
    <w:p w14:paraId="2ADBF7B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杭州市2024年住房公积金缴存上限调整为39530元（按2023年杭州市非私营单位就业人员平均工资158121元/12的3倍确定），下限为政府部门公布执行的当地最低工资标准，杭州市区为2490元，桐庐县、建德市为2260元，淳安县为2070元。</w:t>
      </w:r>
    </w:p>
    <w:p w14:paraId="7D9EF34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2.提取政策调整情况</w:t>
      </w:r>
    </w:p>
    <w:p w14:paraId="3B26BD5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一是调整提高住房公积金无房租赁提取限额标准，杭州市区（含萧山区、余杭区、临平区、富阳区、临安区）为2000元/月，桐庐县、淳安县和建德市为1200元/月。二是新市民、青年人在本市无自有住房通过市场租赁住房的，可全额提取本人每月缴存的住房公积金支付房租。三是缴存人租赁保障性租赁住房的，可依据向本市住房保障部门备案的房屋租赁合同信息，按实际房租支出提取本人及配偶住房公积金账户余额。</w:t>
      </w:r>
    </w:p>
    <w:p w14:paraId="06CED2F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3.贷款政策调整情况</w:t>
      </w:r>
    </w:p>
    <w:p w14:paraId="3352A53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一是提高贷款额度，住房公积金贷款最高额度提高到130万元，缴存职工单人可贷额度不超过65万元；职工个人可贷额度计算低于20万元的，按20万元确定；可贷额度计算倍数按15倍确定。其中桐庐县、淳安县、建德市职工家庭贷款最高额度为100万元，缴存职工单人可贷额度不超过50万元。二是统一首付款比例，职工家庭购买新建商品房和二手住房的，首付款比例不低于20%。三是调整首套房认定，职工家庭在所购住房所在区、县（市）无住房或仅有1套住房且已在杭州市二手房监管服务平台挂牌出售，有1次住房公积金贷款记录已结清的，再次申请住房公积金贷款执行首套房政策。四是放宽贷款期限，住房公积金贷款期限最长不超过30年，且贷款到期时男性不超过68周岁、女性不超过63周岁，或不超过职工法定退休年龄延长5年。五是优化可贷住宅类别，职工家庭购买自住住房为住宅的，均可申请住房公积金贷款。六是优化贷款额度上浮政策，职工家庭购买新建商品房为绿色低碳建筑的，或职工家庭近一年内出售存量住房“以旧换新”购买住房的，或多子女家庭的，额度可按家庭申请贷款时计算的可贷额度合计数上浮20%确定；高层次人才职工家庭，贷款额度可按家庭申请贷款时计算的可贷额度合计数上浮50%确定。</w:t>
      </w:r>
    </w:p>
    <w:p w14:paraId="7FC25D5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p>
    <w:p w14:paraId="4120D16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p>
    <w:p w14:paraId="4ECDA41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（三）服务提升情况</w:t>
      </w:r>
    </w:p>
    <w:p w14:paraId="367B134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一是建成全市个人住房贷款集中运行平台，持续完善平台功能，构建服务前台、运行中台和管理后台的贷款三级运行模式，打造“购房贷款”全生命周期生态链。二是健全咨询服务体系。畅通“12345”“12329”“在线服务”等咨询服务渠道，推出智能机器人客服“杭小金”，进一步提升在线客服智能水平。积极实施信访源头减量措施，建立“客服人员＋业务部门＋合作银行”三方联动机制，精准实施电话分流，优化短信推送模式，有效应对信访咨询压力。三是改革归集自办模式，结合“大小委托”模式优势，引入归集银行服务机制，将更多事务性服务性事项委托给银行，完成改革方案制定。筹建公积金归集业务运行中台，推进工行、建行公积金业务办理网点建设，做好日常业务运行管理。四是创新公积金政务增值服务，联合试点合作银行，在浙里办“浙里金融”专区推出面向缴存人的公积金专属贷产品，进一步满足缴存人多元化需求。</w:t>
      </w:r>
    </w:p>
    <w:p w14:paraId="211729A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（四）数字化发展情况</w:t>
      </w:r>
    </w:p>
    <w:p w14:paraId="1DF689B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一是加快推进信创系统建设，成立深化信创领导小组及专班，制定信创项目管理制度，引入全过程审计监督，完成项目可行性研究立项和招标等工作。二是持续优化“一网通办”，聚焦群众反映难点堵点，整合原网厅相关功能，完成政务2.0部分单位和个人功能自主开发，全年线上业务占比达95.23%。三是创新公积金政务增值服务，联合试点合作银行，在浙里办“浙里金融”专区推出面向缴存人的公积金专属贷产品，进一步满足缴存人多元化需求。自8月上线以来累计发放贷款超66亿元，服务获得2024年“数据要素X”大赛杭州站“智慧赋能奖”。三是强化数据共享协同，充分运用市监、民政、公安等部门数据进行批量核查、数据核验，提高采集数据准确性，推进存量数据核验质量提升。四是健全中心密码应用体系建设，构建“密码安全一体化”防护体系，实现SSL VPN、协同签名、动态密码、签名验签等密码综合应用，为数字化发展提供支撑。</w:t>
      </w:r>
    </w:p>
    <w:p w14:paraId="65684E8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（五）当年住房公积金管理中心及职工所获荣誉情况</w:t>
      </w:r>
    </w:p>
    <w:p w14:paraId="433D25E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1．单位荣誉</w:t>
      </w:r>
      <w:r>
        <w:rPr>
          <w:rFonts w:hint="eastAsia" w:ascii="宋体" w:hAnsi="宋体" w:eastAsia="宋体" w:cs="宋体"/>
          <w:sz w:val="28"/>
          <w:szCs w:val="28"/>
        </w:rPr>
        <w:t>：中心被获得首届浙江省住房公积金“岗位大练兵、行业大比武”竞赛二等奖；余杭分中心被中共浙江省委、浙江省人民政府评为“浙江省文明单位”；临平分中心被住房和城乡建设部评为“惠民公积金、服务暖人心”全国住房公积金服务提升三年行动2023年度表现突出集体。</w:t>
      </w:r>
    </w:p>
    <w:p w14:paraId="24DC503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2．职工荣誉</w:t>
      </w:r>
      <w:r>
        <w:rPr>
          <w:rFonts w:hint="eastAsia" w:ascii="宋体" w:hAnsi="宋体" w:eastAsia="宋体" w:cs="宋体"/>
          <w:sz w:val="28"/>
          <w:szCs w:val="28"/>
        </w:rPr>
        <w:t>：市中心陈建良、徐成龙获服务保障杭州亚运会、亚残运会个人嘉奖；市中心高国燕获杭州市集中财力办大事统筹机制改革工作个人嘉奖；市中心陈泽锋获杭州市打赢翻身仗经济攻坚行动个人嘉奖、首届浙江省住房公积金“岗位大练兵、行业大比武”活动个人三等奖；临平分中心高哲铭获得首届浙江省住房公积金“岗位大练兵、行业大比武”活动个人二等奖、余杭分中心汪晨获得首届浙江省住房公积金“岗位大练兵、行业大比武”活动个人三等奖。</w:t>
      </w:r>
    </w:p>
    <w:p w14:paraId="077400C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（六）当年对违反《住房公积金管理条例》和相关法规行为进行行政处罚和申请人民法院强制执行情况</w:t>
      </w:r>
    </w:p>
    <w:p w14:paraId="23BF2E7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2024年，中心共受理职工投诉单位未缴、少缴住房公积金要求补缴的维权案件4277件，制发责令限期纠正违法行为决定书324件，申请法院强制执行109件，移交综合执法部门作出行政处罚1件，结案2876件。</w:t>
      </w:r>
    </w:p>
    <w:p w14:paraId="7B2C147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（七）当年对住房公积金管理人员违规行为的纠正和处理情况</w:t>
      </w:r>
    </w:p>
    <w:p w14:paraId="0056064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2024年，未发生住房公积金管理人员违规行为。</w:t>
      </w:r>
    </w:p>
    <w:p w14:paraId="1C68520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sz w:val="28"/>
          <w:szCs w:val="28"/>
        </w:rPr>
      </w:pPr>
      <w:r>
        <w:rPr>
          <w:rStyle w:val="7"/>
          <w:rFonts w:hint="eastAsia" w:ascii="宋体" w:hAnsi="宋体" w:eastAsia="宋体" w:cs="宋体"/>
          <w:sz w:val="28"/>
          <w:szCs w:val="28"/>
        </w:rPr>
        <w:t>（八）其他需要披露的情况</w:t>
      </w:r>
    </w:p>
    <w:p w14:paraId="666E494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rPr>
        <w:t>中心组织机构、政策资讯、委托银行、业务流程、办事网点、服务渠道及其他信息公开内容详见机构网站（市中心网址http://gjj.hangzhou.gov.cn，省直中心网址:http://gjj.jgswj.zj.gov.cn/）。</w:t>
      </w:r>
    </w:p>
    <w:p w14:paraId="7F03A70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sz w:val="28"/>
          <w:szCs w:val="28"/>
        </w:rPr>
      </w:pPr>
    </w:p>
    <w:p w14:paraId="28E673D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right"/>
        <w:textAlignment w:val="auto"/>
        <w:rPr>
          <w:rFonts w:hint="eastAsia" w:ascii="宋体" w:hAnsi="宋体" w:eastAsia="宋体" w:cs="宋体"/>
          <w:sz w:val="28"/>
          <w:szCs w:val="28"/>
        </w:rPr>
      </w:pPr>
      <w:bookmarkStart w:id="0" w:name="_GoBack"/>
      <w:bookmarkEnd w:id="0"/>
      <w:r>
        <w:rPr>
          <w:rFonts w:hint="eastAsia" w:ascii="宋体" w:hAnsi="宋体" w:eastAsia="宋体" w:cs="宋体"/>
          <w:sz w:val="28"/>
          <w:szCs w:val="28"/>
        </w:rPr>
        <w:t>特此公报</w:t>
      </w:r>
    </w:p>
    <w:p w14:paraId="3C791A3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right"/>
        <w:textAlignment w:val="auto"/>
        <w:rPr>
          <w:rFonts w:hint="eastAsia" w:ascii="宋体" w:hAnsi="宋体" w:eastAsia="宋体" w:cs="宋体"/>
          <w:sz w:val="28"/>
          <w:szCs w:val="28"/>
        </w:rPr>
      </w:pPr>
    </w:p>
    <w:p w14:paraId="1211CBC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right"/>
        <w:textAlignment w:val="auto"/>
        <w:rPr>
          <w:rFonts w:hint="eastAsia" w:ascii="宋体" w:hAnsi="宋体" w:eastAsia="宋体" w:cs="宋体"/>
          <w:sz w:val="28"/>
          <w:szCs w:val="28"/>
        </w:rPr>
      </w:pPr>
      <w:r>
        <w:rPr>
          <w:rFonts w:hint="eastAsia" w:ascii="宋体" w:hAnsi="宋体" w:eastAsia="宋体" w:cs="宋体"/>
          <w:sz w:val="28"/>
          <w:szCs w:val="28"/>
        </w:rPr>
        <w:t>杭州住房公积金管理中心</w:t>
      </w:r>
    </w:p>
    <w:p w14:paraId="6B5C19F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right"/>
        <w:textAlignment w:val="auto"/>
        <w:rPr>
          <w:rFonts w:hint="eastAsia" w:ascii="宋体" w:hAnsi="宋体" w:eastAsia="宋体" w:cs="宋体"/>
          <w:sz w:val="28"/>
          <w:szCs w:val="28"/>
        </w:rPr>
      </w:pPr>
      <w:r>
        <w:rPr>
          <w:rFonts w:hint="eastAsia" w:ascii="宋体" w:hAnsi="宋体" w:eastAsia="宋体" w:cs="宋体"/>
          <w:sz w:val="28"/>
          <w:szCs w:val="28"/>
        </w:rPr>
        <w:t>2025年3月26日</w:t>
      </w:r>
    </w:p>
    <w:p w14:paraId="57F971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sz w:val="28"/>
          <w:szCs w:val="28"/>
        </w:rPr>
      </w:pPr>
    </w:p>
    <w:p w14:paraId="1DCD9D2B">
      <w:pPr>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ocialshar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451E4"/>
    <w:rsid w:val="1BD3588D"/>
    <w:rsid w:val="2B87499D"/>
    <w:rsid w:val="31005165"/>
    <w:rsid w:val="391F5805"/>
    <w:rsid w:val="3CA74168"/>
    <w:rsid w:val="45997AF3"/>
    <w:rsid w:val="50207E67"/>
    <w:rsid w:val="5A464AEA"/>
    <w:rsid w:val="5E3A6572"/>
    <w:rsid w:val="694D19F7"/>
    <w:rsid w:val="6E470A20"/>
    <w:rsid w:val="78B06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934516-EE7C-48B9-8285-A43A8F4E1D79}"/>
</file>

<file path=customXml/itemProps2.xml><?xml version="1.0" encoding="utf-8"?>
<ds:datastoreItem xmlns:ds="http://schemas.openxmlformats.org/officeDocument/2006/customXml" ds:itemID="{80BC9D93-57AB-4AD0-AE58-B193CE186804}"/>
</file>

<file path=customXml/itemProps3.xml><?xml version="1.0" encoding="utf-8"?>
<ds:datastoreItem xmlns:ds="http://schemas.openxmlformats.org/officeDocument/2006/customXml" ds:itemID="{7890F759-67EA-41E0-A5A2-2F9925F17522}"/>
</file>

<file path=docProps/app.xml><?xml version="1.0" encoding="utf-8"?>
<Properties xmlns="http://schemas.openxmlformats.org/officeDocument/2006/extended-properties" xmlns:vt="http://schemas.openxmlformats.org/officeDocument/2006/docPropsVTypes">
  <Template>Normal.dotm</Template>
  <Pages>13</Pages>
  <Words>2118</Words>
  <Characters>3161</Characters>
  <Lines>0</Lines>
  <Paragraphs>0</Paragraphs>
  <TotalTime>8</TotalTime>
  <ScaleCrop>false</ScaleCrop>
  <LinksUpToDate>false</LinksUpToDate>
  <CharactersWithSpaces>3176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LUOMEI</dc:creator>
  <cp:lastModifiedBy>罗梅</cp:lastModifiedBy>
  <dcterms:created xsi:type="dcterms:W3CDTF">2025-03-31T02:37:00Z</dcterms:created>
  <dcterms:modified xsi:type="dcterms:W3CDTF">2025-07-26T11:31:42Z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6D0A5559053044809DED031A1F9FB034_12</vt:lpwstr>
  </property>
  <property fmtid="{D5CDD505-2E9C-101B-9397-08002B2CF9AE}" pid="4" name="KSOTemplateDocerSaveRecord">
    <vt:lpwstr>eyJoZGlkIjoiYWUyYjdhNzVkZGJkZDNjMjhiNWM0OWYyY2Q5YjcwNDMiLCJ1c2VySWQiOiIzODM3MDMyOTMifQ==</vt:lpwstr>
  </property>
  <property fmtid="{D5CDD505-2E9C-101B-9397-08002B2CF9AE}" pid="5" name="ContentTypeId">
    <vt:lpwstr>0x01010028C7B6C620067247A35EF62A3E68EE62</vt:lpwstr>
  </property>
</Properties>
</file>