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0CD0F" w14:textId="77777777" w:rsidR="009843AE" w:rsidRPr="009843AE" w:rsidRDefault="7619DC50" w:rsidP="009843AE">
      <w:pPr>
        <w:jc w:val="center"/>
        <w:rPr>
          <w:sz w:val="20"/>
          <w:szCs w:val="20"/>
        </w:rPr>
      </w:pPr>
      <w:r>
        <w:rPr>
          <w:sz w:val="32"/>
        </w:rPr>
        <w:t>Equity Research Report</w:t>
      </w:r>
    </w:p>
    <w:tbl>
      <w:tblPr>
        <w:tblStyle w:val="TableGrid"/>
        <w:tblW w:w="102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A0" w:firstRow="1" w:lastRow="0" w:firstColumn="1" w:lastColumn="0" w:noHBand="1" w:noVBand="1"/>
      </w:tblPr>
      <w:tblGrid>
        <w:gridCol w:w="3306"/>
        <w:gridCol w:w="3646"/>
        <w:gridCol w:w="3284"/>
      </w:tblGrid>
      <w:tr w:rsidR="33B30DD3" w14:paraId="23E79C6E" w14:textId="77777777" w:rsidTr="002F4DCD">
        <w:trPr>
          <w:trHeight w:val="300"/>
        </w:trPr>
        <w:tc>
          <w:tcPr>
            <w:tcW w:w="3306" w:type="dxa"/>
          </w:tcPr>
          <w:p w14:paraId="1E0776B8" w14:textId="77777777" w:rsidR="46B48BE1" w:rsidRDefault="46B48BE1" w:rsidP="009843AE">
            <w:pPr>
              <w:jc w:val="center"/>
              <w:rPr>
                <w:sz w:val="20"/>
                <w:szCs w:val="20"/>
              </w:rPr>
            </w:pPr>
            <w:r>
              <w:rPr>
                <w:b/>
                <w:sz w:val="20"/>
              </w:rPr>
              <w:t>Name: Apple Inc.</w:t>
            </w:r>
          </w:p>
        </w:tc>
        <w:tc>
          <w:tcPr>
            <w:tcW w:w="3646" w:type="dxa"/>
          </w:tcPr>
          <w:p w14:paraId="1F622226" w14:textId="77777777" w:rsidR="46B48BE1" w:rsidRDefault="46B48BE1" w:rsidP="009843AE">
            <w:pPr>
              <w:jc w:val="center"/>
              <w:rPr>
                <w:sz w:val="20"/>
                <w:szCs w:val="20"/>
              </w:rPr>
            </w:pPr>
            <w:r>
              <w:rPr>
                <w:b/>
                <w:sz w:val="20"/>
              </w:rPr>
              <w:t>Ticker: NASDAQ:AAPL</w:t>
            </w:r>
          </w:p>
        </w:tc>
        <w:tc>
          <w:tcPr>
            <w:tcW w:w="3284" w:type="dxa"/>
          </w:tcPr>
          <w:p w14:paraId="12C4D337" w14:textId="77777777" w:rsidR="46B48BE1" w:rsidRDefault="46B48BE1" w:rsidP="009843AE">
            <w:pPr>
              <w:jc w:val="center"/>
              <w:rPr>
                <w:sz w:val="20"/>
                <w:szCs w:val="20"/>
              </w:rPr>
            </w:pPr>
            <w:r>
              <w:rPr>
                <w:b/>
                <w:sz w:val="20"/>
              </w:rPr>
              <w:t>Headquarters: Cupertino, CA</w:t>
            </w:r>
          </w:p>
        </w:tc>
      </w:tr>
      <w:tr w:rsidR="33B30DD3" w14:paraId="006BDF5E" w14:textId="77777777" w:rsidTr="002F4DCD">
        <w:trPr>
          <w:trHeight w:val="300"/>
        </w:trPr>
        <w:tc>
          <w:tcPr>
            <w:tcW w:w="3306" w:type="dxa"/>
          </w:tcPr>
          <w:p w14:paraId="0768EB53" w14:textId="77777777" w:rsidR="46B48BE1" w:rsidRDefault="46B48BE1" w:rsidP="009843AE">
            <w:pPr>
              <w:jc w:val="center"/>
              <w:rPr>
                <w:sz w:val="20"/>
                <w:szCs w:val="20"/>
              </w:rPr>
            </w:pPr>
            <w:r>
              <w:rPr>
                <w:b/>
                <w:sz w:val="20"/>
              </w:rPr>
              <w:t>Target Price: $153.31814121860447</w:t>
            </w:r>
          </w:p>
        </w:tc>
        <w:tc>
          <w:tcPr>
            <w:tcW w:w="3646" w:type="dxa"/>
          </w:tcPr>
          <w:p w14:paraId="5F188DF1" w14:textId="77777777" w:rsidR="46B48BE1" w:rsidRDefault="46B48BE1" w:rsidP="009843AE">
            <w:pPr>
              <w:jc w:val="center"/>
              <w:rPr>
                <w:sz w:val="20"/>
                <w:szCs w:val="20"/>
              </w:rPr>
            </w:pPr>
            <w:r>
              <w:rPr>
                <w:b/>
                <w:sz w:val="20"/>
              </w:rPr>
              <w:t>Price: $222.13</w:t>
            </w:r>
          </w:p>
          <w:p w14:paraId="4C0A38A2" w14:textId="77777777" w:rsidR="33B30DD3" w:rsidRDefault="33B30DD3" w:rsidP="009843AE">
            <w:pPr>
              <w:jc w:val="center"/>
              <w:rPr>
                <w:sz w:val="20"/>
                <w:szCs w:val="20"/>
              </w:rPr>
            </w:pPr>
          </w:p>
        </w:tc>
        <w:tc>
          <w:tcPr>
            <w:tcW w:w="3284" w:type="dxa"/>
          </w:tcPr>
          <w:p w14:paraId="3F2B6FC6" w14:textId="77777777" w:rsidR="46B48BE1" w:rsidRDefault="46B48BE1" w:rsidP="009843AE">
            <w:pPr>
              <w:jc w:val="center"/>
              <w:rPr>
                <w:sz w:val="20"/>
                <w:szCs w:val="20"/>
              </w:rPr>
            </w:pPr>
            <w:r>
              <w:rPr>
                <w:b/>
                <w:sz w:val="20"/>
              </w:rPr>
              <w:t>Recommendation: BUY</w:t>
            </w:r>
          </w:p>
        </w:tc>
      </w:tr>
    </w:tbl>
    <w:p w14:paraId="4564C3DC" w14:textId="77777777" w:rsidR="33B30DD3" w:rsidRDefault="33B30DD3"/>
    <w:tbl>
      <w:tblPr>
        <w:tblStyle w:val="TableGrid"/>
        <w:tblpPr w:leftFromText="180" w:rightFromText="180" w:vertAnchor="text" w:tblpY="1"/>
        <w:tblOverlap w:val="never"/>
        <w:tblW w:w="0" w:type="auto"/>
        <w:tblLayout w:type="fixed"/>
        <w:tblLook w:val="0620" w:firstRow="1" w:lastRow="0" w:firstColumn="0" w:lastColumn="0" w:noHBand="1" w:noVBand="1"/>
        <w:tblCaption w:val="Market"/>
      </w:tblPr>
      <w:tblGrid>
        <w:gridCol w:w="2835"/>
        <w:gridCol w:w="1843"/>
      </w:tblGrid>
      <w:tr w:rsidR="00335A1F" w14:paraId="223CFCC2" w14:textId="77777777" w:rsidTr="00F0563B">
        <w:trPr>
          <w:trHeight w:val="300"/>
        </w:trPr>
        <w:tc>
          <w:tcPr>
            <w:tcW w:w="4678" w:type="dxa"/>
            <w:gridSpan w:val="2"/>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262626" w:themeFill="text1" w:themeFillTint="D9"/>
          </w:tcPr>
          <w:p w14:paraId="45BA96EE" w14:textId="77777777" w:rsidR="00335A1F" w:rsidRPr="00335A1F" w:rsidRDefault="00335A1F" w:rsidP="00F0563B">
            <w:pPr>
              <w:jc w:val="center"/>
              <w:rPr>
                <w:b/>
                <w:bCs/>
                <w:color w:val="F2F2F2" w:themeColor="background1" w:themeShade="F2"/>
                <w:sz w:val="20"/>
                <w:szCs w:val="20"/>
              </w:rPr>
            </w:pPr>
            <w:r>
              <w:rPr>
                <w:b/>
                <w:color w:val="F2F2F2"/>
                <w:sz w:val="20"/>
              </w:rPr>
              <w:t>Market Profile</w:t>
            </w:r>
          </w:p>
        </w:tc>
      </w:tr>
      <w:tr w:rsidR="33B30DD3" w14:paraId="3892401A" w14:textId="77777777" w:rsidTr="00F0563B">
        <w:trPr>
          <w:trHeight w:val="300"/>
        </w:trPr>
        <w:tc>
          <w:tcPr>
            <w:tcW w:w="283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F2F2F2" w:themeFill="background1" w:themeFillShade="F2"/>
          </w:tcPr>
          <w:p w14:paraId="18B95F38" w14:textId="77777777" w:rsidR="5F6F82DF" w:rsidRPr="00335A1F" w:rsidRDefault="5F6F82DF" w:rsidP="00F0563B">
            <w:pPr>
              <w:rPr>
                <w:sz w:val="20"/>
                <w:szCs w:val="20"/>
              </w:rPr>
            </w:pPr>
            <w:r>
              <w:rPr>
                <w:sz w:val="20"/>
              </w:rPr>
              <w:t>Closing Price</w:t>
            </w:r>
          </w:p>
        </w:tc>
        <w:tc>
          <w:tcPr>
            <w:tcW w:w="1843"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F2F2F2" w:themeFill="background1" w:themeFillShade="F2"/>
          </w:tcPr>
          <w:p w14:paraId="1A86986D" w14:textId="77777777" w:rsidR="28ECA05F" w:rsidRPr="00335A1F" w:rsidRDefault="28ECA05F" w:rsidP="00F0563B">
            <w:pPr>
              <w:rPr>
                <w:sz w:val="20"/>
                <w:szCs w:val="20"/>
              </w:rPr>
            </w:pPr>
            <w:r>
              <w:rPr>
                <w:rFonts w:ascii="Aptos" w:hAnsi="Aptos"/>
                <w:sz w:val="20"/>
              </w:rPr>
              <w:t>223.12</w:t>
            </w:r>
          </w:p>
        </w:tc>
      </w:tr>
      <w:tr w:rsidR="33B30DD3" w14:paraId="0FA84657" w14:textId="77777777" w:rsidTr="00F0563B">
        <w:trPr>
          <w:trHeight w:val="300"/>
        </w:trPr>
        <w:tc>
          <w:tcPr>
            <w:tcW w:w="283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D9D9D9" w:themeFill="background1" w:themeFillShade="D9"/>
          </w:tcPr>
          <w:p w14:paraId="5DB1E941" w14:textId="77777777" w:rsidR="1FA7FF6B" w:rsidRPr="00335A1F" w:rsidRDefault="1FA7FF6B" w:rsidP="00F0563B">
            <w:pPr>
              <w:rPr>
                <w:sz w:val="20"/>
                <w:szCs w:val="20"/>
              </w:rPr>
            </w:pPr>
            <w:r>
              <w:rPr>
                <w:sz w:val="20"/>
              </w:rPr>
              <w:t>Diluted Shares Outstanding</w:t>
            </w:r>
          </w:p>
        </w:tc>
        <w:tc>
          <w:tcPr>
            <w:tcW w:w="1843"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D9D9D9" w:themeFill="background1" w:themeFillShade="D9"/>
          </w:tcPr>
          <w:p w14:paraId="0D4E4B37" w14:textId="77777777" w:rsidR="63656E3F" w:rsidRPr="00335A1F" w:rsidRDefault="63656E3F" w:rsidP="00F0563B">
            <w:pPr>
              <w:rPr>
                <w:sz w:val="20"/>
                <w:szCs w:val="20"/>
              </w:rPr>
            </w:pPr>
            <w:r>
              <w:rPr>
                <w:sz w:val="20"/>
              </w:rPr>
              <w:t>15343783000</w:t>
            </w:r>
          </w:p>
        </w:tc>
      </w:tr>
      <w:tr w:rsidR="33B30DD3" w14:paraId="39CC1118" w14:textId="77777777" w:rsidTr="00F0563B">
        <w:trPr>
          <w:trHeight w:val="300"/>
        </w:trPr>
        <w:tc>
          <w:tcPr>
            <w:tcW w:w="283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F2F2F2" w:themeFill="background1" w:themeFillShade="F2"/>
          </w:tcPr>
          <w:p w14:paraId="459F246A" w14:textId="77777777" w:rsidR="3AB41AE5" w:rsidRPr="00335A1F" w:rsidRDefault="3AB41AE5" w:rsidP="00F0563B">
            <w:pPr>
              <w:rPr>
                <w:sz w:val="20"/>
                <w:szCs w:val="20"/>
              </w:rPr>
            </w:pPr>
            <w:r>
              <w:rPr>
                <w:sz w:val="20"/>
              </w:rPr>
              <w:t>52 Week High / Low</w:t>
            </w:r>
          </w:p>
        </w:tc>
        <w:tc>
          <w:tcPr>
            <w:tcW w:w="1843"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F2F2F2" w:themeFill="background1" w:themeFillShade="F2"/>
          </w:tcPr>
          <w:p w14:paraId="0544C1D1" w14:textId="77777777" w:rsidR="3AB41AE5" w:rsidRPr="00335A1F" w:rsidRDefault="3AB41AE5" w:rsidP="00F0563B">
            <w:pPr>
              <w:rPr>
                <w:sz w:val="20"/>
                <w:szCs w:val="20"/>
              </w:rPr>
            </w:pPr>
            <w:r>
              <w:rPr>
                <w:sz w:val="20"/>
              </w:rPr>
              <w:t>164.08-260.1</w:t>
            </w:r>
          </w:p>
        </w:tc>
      </w:tr>
      <w:tr w:rsidR="33B30DD3" w14:paraId="271300C6" w14:textId="77777777" w:rsidTr="00F0563B">
        <w:trPr>
          <w:trHeight w:val="300"/>
        </w:trPr>
        <w:tc>
          <w:tcPr>
            <w:tcW w:w="283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D9D9D9" w:themeFill="background1" w:themeFillShade="D9"/>
          </w:tcPr>
          <w:p w14:paraId="64B898F6" w14:textId="77777777" w:rsidR="33B30DD3" w:rsidRPr="00335A1F" w:rsidRDefault="00335A1F" w:rsidP="00F0563B">
            <w:pPr>
              <w:rPr>
                <w:sz w:val="20"/>
                <w:szCs w:val="20"/>
              </w:rPr>
            </w:pPr>
            <w:r>
              <w:rPr>
                <w:sz w:val="20"/>
              </w:rPr>
              <w:t>Avg. Volume (3M)</w:t>
            </w:r>
          </w:p>
        </w:tc>
        <w:tc>
          <w:tcPr>
            <w:tcW w:w="1843"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D9D9D9" w:themeFill="background1" w:themeFillShade="D9"/>
          </w:tcPr>
          <w:p w14:paraId="18D10E01" w14:textId="77777777" w:rsidR="33B30DD3" w:rsidRPr="00335A1F" w:rsidRDefault="00335A1F" w:rsidP="00F0563B">
            <w:pPr>
              <w:rPr>
                <w:sz w:val="20"/>
                <w:szCs w:val="20"/>
              </w:rPr>
            </w:pPr>
            <w:r>
              <w:rPr>
                <w:sz w:val="20"/>
              </w:rPr>
              <w:t>52962733</w:t>
            </w:r>
          </w:p>
        </w:tc>
      </w:tr>
      <w:tr w:rsidR="33B30DD3" w14:paraId="107FB0A1" w14:textId="77777777" w:rsidTr="00F0563B">
        <w:trPr>
          <w:trHeight w:val="74"/>
        </w:trPr>
        <w:tc>
          <w:tcPr>
            <w:tcW w:w="283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F2F2F2" w:themeFill="background1" w:themeFillShade="F2"/>
          </w:tcPr>
          <w:p w14:paraId="1F117F8D" w14:textId="77777777" w:rsidR="33B30DD3" w:rsidRPr="00335A1F" w:rsidRDefault="00335A1F" w:rsidP="00F0563B">
            <w:pPr>
              <w:pStyle w:val="NormalWeb"/>
            </w:pPr>
            <w:r>
              <w:rPr>
                <w:rFonts w:ascii="Calibri" w:hAnsi="Calibri"/>
                <w:sz w:val="20"/>
              </w:rPr>
              <w:t>Dil. Shares Outst.(MM)</w:t>
            </w:r>
          </w:p>
        </w:tc>
        <w:tc>
          <w:tcPr>
            <w:tcW w:w="1843"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F2F2F2" w:themeFill="background1" w:themeFillShade="F2"/>
          </w:tcPr>
          <w:p w14:paraId="7D5712F8" w14:textId="77777777" w:rsidR="33B30DD3" w:rsidRPr="00335A1F" w:rsidRDefault="00335A1F" w:rsidP="00F0563B">
            <w:pPr>
              <w:rPr>
                <w:sz w:val="20"/>
                <w:szCs w:val="20"/>
              </w:rPr>
            </w:pPr>
            <w:r>
              <w:rPr>
                <w:sz w:val="20"/>
              </w:rPr>
              <w:t>15343783000</w:t>
            </w:r>
          </w:p>
        </w:tc>
      </w:tr>
      <w:tr w:rsidR="33B30DD3" w14:paraId="768FC725" w14:textId="77777777" w:rsidTr="00F0563B">
        <w:trPr>
          <w:trHeight w:val="300"/>
        </w:trPr>
        <w:tc>
          <w:tcPr>
            <w:tcW w:w="283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D9D9D9" w:themeFill="background1" w:themeFillShade="D9"/>
          </w:tcPr>
          <w:p w14:paraId="0DA7BF9F" w14:textId="77777777" w:rsidR="33B30DD3" w:rsidRPr="00335A1F" w:rsidRDefault="00335A1F" w:rsidP="00F0563B">
            <w:pPr>
              <w:pStyle w:val="NormalWeb"/>
            </w:pPr>
            <w:r>
              <w:rPr>
                <w:rFonts w:ascii="Calibri" w:hAnsi="Calibri"/>
                <w:sz w:val="20"/>
              </w:rPr>
              <w:t>Market Cap.</w:t>
            </w:r>
          </w:p>
        </w:tc>
        <w:tc>
          <w:tcPr>
            <w:tcW w:w="1843"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D9D9D9" w:themeFill="background1" w:themeFillShade="D9"/>
          </w:tcPr>
          <w:p w14:paraId="776EF3E6" w14:textId="77777777" w:rsidR="33B30DD3" w:rsidRPr="00335A1F" w:rsidRDefault="00335A1F" w:rsidP="00F0563B">
            <w:pPr>
              <w:rPr>
                <w:sz w:val="20"/>
                <w:szCs w:val="20"/>
              </w:rPr>
            </w:pPr>
            <w:r>
              <w:rPr>
                <w:sz w:val="20"/>
              </w:rPr>
              <w:t>3351730952000</w:t>
            </w:r>
          </w:p>
        </w:tc>
      </w:tr>
      <w:tr w:rsidR="33B30DD3" w14:paraId="2595E5DD" w14:textId="77777777" w:rsidTr="00F0563B">
        <w:trPr>
          <w:trHeight w:val="300"/>
        </w:trPr>
        <w:tc>
          <w:tcPr>
            <w:tcW w:w="283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F2F2F2" w:themeFill="background1" w:themeFillShade="F2"/>
          </w:tcPr>
          <w:p w14:paraId="04D7DBBE" w14:textId="77777777" w:rsidR="00335A1F" w:rsidRPr="00335A1F" w:rsidRDefault="00335A1F" w:rsidP="00F0563B">
            <w:pPr>
              <w:pStyle w:val="NormalWeb"/>
              <w:rPr>
                <w:rFonts w:ascii="Calibri" w:hAnsi="Calibri" w:cs="Calibri"/>
                <w:sz w:val="20"/>
                <w:szCs w:val="20"/>
              </w:rPr>
            </w:pPr>
            <w:r>
              <w:rPr>
                <w:rFonts w:ascii="Calibri" w:hAnsi="Calibri"/>
                <w:sz w:val="20"/>
              </w:rPr>
              <w:t>Dividend Yield</w:t>
            </w:r>
          </w:p>
        </w:tc>
        <w:tc>
          <w:tcPr>
            <w:tcW w:w="1843"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F2F2F2" w:themeFill="background1" w:themeFillShade="F2"/>
          </w:tcPr>
          <w:p w14:paraId="6815C0E4" w14:textId="77777777" w:rsidR="33B30DD3" w:rsidRPr="00335A1F" w:rsidRDefault="00335A1F" w:rsidP="00F0563B">
            <w:pPr>
              <w:rPr>
                <w:sz w:val="20"/>
                <w:szCs w:val="20"/>
              </w:rPr>
            </w:pPr>
            <w:r>
              <w:rPr>
                <w:sz w:val="20"/>
              </w:rPr>
              <w:t>0.0043585983369965175</w:t>
            </w:r>
          </w:p>
        </w:tc>
      </w:tr>
      <w:tr w:rsidR="00335A1F" w14:paraId="65BF74C4" w14:textId="77777777" w:rsidTr="00F0563B">
        <w:trPr>
          <w:trHeight w:val="300"/>
        </w:trPr>
        <w:tc>
          <w:tcPr>
            <w:tcW w:w="283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D9D9D9" w:themeFill="background1" w:themeFillShade="D9"/>
          </w:tcPr>
          <w:p w14:paraId="02A00C81" w14:textId="77777777" w:rsidR="00335A1F" w:rsidRPr="00335A1F" w:rsidRDefault="00335A1F" w:rsidP="00F0563B">
            <w:pPr>
              <w:pStyle w:val="NormalWeb"/>
              <w:rPr>
                <w:rFonts w:ascii="Calibri" w:hAnsi="Calibri" w:cs="Calibri"/>
                <w:sz w:val="20"/>
                <w:szCs w:val="20"/>
              </w:rPr>
            </w:pPr>
            <w:r>
              <w:rPr>
                <w:rFonts w:ascii="Calibri" w:hAnsi="Calibri"/>
                <w:sz w:val="20"/>
              </w:rPr>
              <w:t>Beta</w:t>
            </w:r>
          </w:p>
        </w:tc>
        <w:tc>
          <w:tcPr>
            <w:tcW w:w="1843"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D9D9D9" w:themeFill="background1" w:themeFillShade="D9"/>
          </w:tcPr>
          <w:p w14:paraId="510C73B3" w14:textId="77777777" w:rsidR="00335A1F" w:rsidRPr="00335A1F" w:rsidRDefault="00335A1F" w:rsidP="00F0563B">
            <w:pPr>
              <w:rPr>
                <w:sz w:val="20"/>
                <w:szCs w:val="20"/>
              </w:rPr>
            </w:pPr>
            <w:r>
              <w:rPr>
                <w:sz w:val="20"/>
              </w:rPr>
              <w:t>1.178</w:t>
            </w:r>
          </w:p>
        </w:tc>
      </w:tr>
      <w:tr w:rsidR="00335A1F" w14:paraId="336EADCE" w14:textId="77777777" w:rsidTr="00F0563B">
        <w:trPr>
          <w:trHeight w:val="300"/>
        </w:trPr>
        <w:tc>
          <w:tcPr>
            <w:tcW w:w="283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F2F2F2" w:themeFill="background1" w:themeFillShade="F2"/>
          </w:tcPr>
          <w:p w14:paraId="7CEF72C5" w14:textId="77777777" w:rsidR="00335A1F" w:rsidRDefault="00335A1F" w:rsidP="00F0563B">
            <w:pPr>
              <w:pStyle w:val="NormalWeb"/>
              <w:rPr>
                <w:rFonts w:ascii="Calibri" w:hAnsi="Calibri" w:cs="Calibri"/>
                <w:sz w:val="20"/>
                <w:szCs w:val="20"/>
              </w:rPr>
            </w:pPr>
            <w:r>
              <w:rPr>
                <w:rFonts w:ascii="Calibri" w:hAnsi="Calibri"/>
                <w:sz w:val="20"/>
              </w:rPr>
              <w:t>EV / Revenue</w:t>
            </w:r>
          </w:p>
        </w:tc>
        <w:tc>
          <w:tcPr>
            <w:tcW w:w="1843"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F2F2F2" w:themeFill="background1" w:themeFillShade="F2"/>
          </w:tcPr>
          <w:p w14:paraId="0912DB2B" w14:textId="77777777" w:rsidR="00335A1F" w:rsidRPr="00335A1F" w:rsidRDefault="00335A1F" w:rsidP="00F0563B">
            <w:pPr>
              <w:rPr>
                <w:sz w:val="20"/>
                <w:szCs w:val="20"/>
              </w:rPr>
            </w:pPr>
            <w:r>
              <w:rPr>
                <w:sz w:val="20"/>
              </w:rPr>
              <w:t>9.134339201273542</w:t>
            </w:r>
          </w:p>
        </w:tc>
      </w:tr>
      <w:tr w:rsidR="00335A1F" w14:paraId="5B9AF70E" w14:textId="77777777" w:rsidTr="00F0563B">
        <w:trPr>
          <w:trHeight w:val="300"/>
        </w:trPr>
        <w:tc>
          <w:tcPr>
            <w:tcW w:w="283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D9D9D9" w:themeFill="background1" w:themeFillShade="D9"/>
          </w:tcPr>
          <w:p w14:paraId="380E7F9E" w14:textId="77777777" w:rsidR="00335A1F" w:rsidRDefault="00335A1F" w:rsidP="00F0563B">
            <w:pPr>
              <w:pStyle w:val="NormalWeb"/>
              <w:rPr>
                <w:rFonts w:ascii="Calibri" w:hAnsi="Calibri" w:cs="Calibri"/>
                <w:sz w:val="20"/>
                <w:szCs w:val="20"/>
              </w:rPr>
            </w:pPr>
            <w:r>
              <w:rPr>
                <w:rFonts w:ascii="Calibri" w:hAnsi="Calibri"/>
                <w:sz w:val="20"/>
              </w:rPr>
              <w:t>EV / EBITA</w:t>
            </w:r>
          </w:p>
        </w:tc>
        <w:tc>
          <w:tcPr>
            <w:tcW w:w="1843"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D9D9D9" w:themeFill="background1" w:themeFillShade="D9"/>
          </w:tcPr>
          <w:p w14:paraId="1F42AAB0" w14:textId="77777777" w:rsidR="00335A1F" w:rsidRPr="00335A1F" w:rsidRDefault="00335A1F" w:rsidP="00F0563B">
            <w:pPr>
              <w:rPr>
                <w:sz w:val="20"/>
                <w:szCs w:val="20"/>
              </w:rPr>
            </w:pPr>
            <w:r>
              <w:rPr>
                <w:sz w:val="20"/>
              </w:rPr>
              <w:t>26.524727497716487</w:t>
            </w:r>
          </w:p>
        </w:tc>
      </w:tr>
      <w:tr w:rsidR="00335A1F" w14:paraId="3E24E1B7" w14:textId="77777777" w:rsidTr="00F0563B">
        <w:trPr>
          <w:trHeight w:val="300"/>
        </w:trPr>
        <w:tc>
          <w:tcPr>
            <w:tcW w:w="283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F2F2F2" w:themeFill="background1" w:themeFillShade="F2"/>
          </w:tcPr>
          <w:p w14:paraId="6304BB1C" w14:textId="77777777" w:rsidR="00335A1F" w:rsidRDefault="00335A1F" w:rsidP="00F0563B">
            <w:pPr>
              <w:pStyle w:val="NormalWeb"/>
              <w:rPr>
                <w:rFonts w:ascii="Calibri" w:hAnsi="Calibri" w:cs="Calibri"/>
                <w:sz w:val="20"/>
                <w:szCs w:val="20"/>
              </w:rPr>
            </w:pPr>
            <w:r>
              <w:rPr>
                <w:rFonts w:ascii="Calibri" w:hAnsi="Calibri"/>
                <w:sz w:val="20"/>
              </w:rPr>
              <w:t>P / E</w:t>
            </w:r>
          </w:p>
        </w:tc>
        <w:tc>
          <w:tcPr>
            <w:tcW w:w="1843"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F2F2F2" w:themeFill="background1" w:themeFillShade="F2"/>
          </w:tcPr>
          <w:p w14:paraId="478B1802" w14:textId="77777777" w:rsidR="00335A1F" w:rsidRPr="00335A1F" w:rsidRDefault="00335A1F" w:rsidP="00F0563B">
            <w:pPr>
              <w:rPr>
                <w:sz w:val="20"/>
                <w:szCs w:val="20"/>
              </w:rPr>
            </w:pPr>
            <w:r>
              <w:rPr>
                <w:sz w:val="20"/>
              </w:rPr>
              <w:t>37.287278415656736</w:t>
            </w:r>
          </w:p>
        </w:tc>
      </w:tr>
      <w:tr w:rsidR="00335A1F" w14:paraId="22CF04F3" w14:textId="77777777" w:rsidTr="00F0563B">
        <w:trPr>
          <w:trHeight w:val="300"/>
        </w:trPr>
        <w:tc>
          <w:tcPr>
            <w:tcW w:w="283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D9D9D9" w:themeFill="background1" w:themeFillShade="D9"/>
          </w:tcPr>
          <w:p w14:paraId="27F3ECEB" w14:textId="77777777" w:rsidR="00335A1F" w:rsidRDefault="00335A1F" w:rsidP="00F0563B">
            <w:pPr>
              <w:pStyle w:val="NormalWeb"/>
              <w:rPr>
                <w:rFonts w:ascii="Calibri" w:hAnsi="Calibri" w:cs="Calibri"/>
                <w:sz w:val="20"/>
                <w:szCs w:val="20"/>
              </w:rPr>
            </w:pPr>
            <w:r>
              <w:rPr>
                <w:rFonts w:ascii="Calibri" w:hAnsi="Calibri"/>
                <w:sz w:val="20"/>
              </w:rPr>
              <w:t>Inst. Holdings</w:t>
            </w:r>
          </w:p>
        </w:tc>
        <w:tc>
          <w:tcPr>
            <w:tcW w:w="1843"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D9D9D9" w:themeFill="background1" w:themeFillShade="D9"/>
          </w:tcPr>
          <w:p w14:paraId="53D4B921" w14:textId="77777777" w:rsidR="00335A1F" w:rsidRPr="00335A1F" w:rsidRDefault="00B85CF6" w:rsidP="00F0563B">
            <w:pPr>
              <w:rPr>
                <w:sz w:val="20"/>
                <w:szCs w:val="20"/>
              </w:rPr>
            </w:pPr>
            <w:r>
              <w:rPr>
                <w:sz w:val="20"/>
              </w:rPr>
              <w:t>Coming Soon</w:t>
            </w:r>
          </w:p>
        </w:tc>
      </w:tr>
      <w:tr w:rsidR="00335A1F" w14:paraId="10FF1AE5" w14:textId="77777777" w:rsidTr="00F0563B">
        <w:trPr>
          <w:trHeight w:val="300"/>
        </w:trPr>
        <w:tc>
          <w:tcPr>
            <w:tcW w:w="2835"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F2F2F2" w:themeFill="background1" w:themeFillShade="F2"/>
          </w:tcPr>
          <w:p w14:paraId="7AFDAF92" w14:textId="77777777" w:rsidR="00335A1F" w:rsidRDefault="00335A1F" w:rsidP="00F0563B">
            <w:pPr>
              <w:pStyle w:val="NormalWeb"/>
              <w:rPr>
                <w:rFonts w:ascii="Calibri" w:hAnsi="Calibri" w:cs="Calibri"/>
                <w:sz w:val="20"/>
                <w:szCs w:val="20"/>
              </w:rPr>
            </w:pPr>
            <w:r>
              <w:rPr>
                <w:rFonts w:ascii="Calibri" w:hAnsi="Calibri"/>
                <w:sz w:val="20"/>
              </w:rPr>
              <w:t>Insider Holdings</w:t>
            </w:r>
          </w:p>
        </w:tc>
        <w:tc>
          <w:tcPr>
            <w:tcW w:w="1843" w:type="dxa"/>
            <w:tcBorders>
              <w:top w:val="none" w:sz="4" w:space="0" w:color="000000" w:themeColor="text1"/>
              <w:left w:val="none" w:sz="4" w:space="0" w:color="000000" w:themeColor="text1"/>
              <w:bottom w:val="none" w:sz="4" w:space="0" w:color="000000" w:themeColor="text1"/>
              <w:right w:val="none" w:sz="4" w:space="0" w:color="000000" w:themeColor="text1"/>
            </w:tcBorders>
            <w:shd w:val="clear" w:color="auto" w:fill="F2F2F2" w:themeFill="background1" w:themeFillShade="F2"/>
          </w:tcPr>
          <w:p w14:paraId="71457750" w14:textId="77777777" w:rsidR="00335A1F" w:rsidRPr="00335A1F" w:rsidRDefault="00B85CF6" w:rsidP="00F0563B">
            <w:pPr>
              <w:rPr>
                <w:sz w:val="20"/>
                <w:szCs w:val="20"/>
              </w:rPr>
            </w:pPr>
            <w:r>
              <w:rPr>
                <w:sz w:val="20"/>
              </w:rPr>
              <w:t>Coming Soon</w:t>
            </w:r>
          </w:p>
        </w:tc>
      </w:tr>
    </w:tbl>
    <w:p w14:paraId="25B78D26" w14:textId="77777777" w:rsidR="00F0563B" w:rsidRDefault="00F0563B" w:rsidP="00F0563B">
      <w:pPr>
        <w:rPr>
          <w:b/>
          <w:bCs/>
          <w:sz w:val="20"/>
          <w:szCs w:val="20"/>
        </w:rPr>
      </w:pPr>
      <w:r w:rsidRPr="0075594E">
        <w:rPr>
          <w:b/>
          <w:bCs/>
          <w:sz w:val="20"/>
        </w:rPr>
        <w:t>Highlight</w:t>
      </w:r>
      <w:r>
        <w:rPr>
          <w:sz w:val="20"/>
        </w:rPr>
        <w:br/>
        <w:t>We issue a BUY recommendation on Apple Inc. (AAPL) with a one-year target price of $260, offering an estimated upside of 17.1% from $222.13. Key factors:</w:t>
      </w:r>
      <w:r>
        <w:rPr>
          <w:sz w:val="20"/>
        </w:rPr>
        <w:br/>
      </w:r>
      <w:r>
        <w:rPr>
          <w:sz w:val="20"/>
        </w:rPr>
        <w:br/>
        <w:t>Macroeconomic Outlook: Positive sentiment in the tech sector due to eased trade tensions, as seen in the recent rally of Asian tech stocks after the U.S. delayed tariffs on China and Mexico. This bodes well for Apple's global supply chain and demand.</w:t>
      </w:r>
      <w:r>
        <w:rPr>
          <w:sz w:val="20"/>
        </w:rPr>
        <w:br/>
      </w:r>
      <w:r>
        <w:rPr>
          <w:sz w:val="20"/>
        </w:rPr>
        <w:br/>
        <w:t>Brand Diversity: Strong product portfolio including iPhone, Mac, iPad, wearables, and services like Apple Music, Apple TV+, and Apple Pay. Diversified revenue streams across hardware, software, and subscriptions.</w:t>
      </w:r>
      <w:r>
        <w:rPr>
          <w:sz w:val="20"/>
        </w:rPr>
        <w:br/>
      </w:r>
      <w:r>
        <w:rPr>
          <w:sz w:val="20"/>
        </w:rPr>
        <w:br/>
        <w:t>Growth Strategy: Continued investment in R&amp;D for new product categories (e.g., AR/VR, AI), expansion of services segment, and potential acquisitions to bolster ecosystem. Recent focus on subscription services shows promising recurring revenue growth.</w:t>
      </w:r>
      <w:r>
        <w:rPr>
          <w:sz w:val="20"/>
        </w:rPr>
        <w:br/>
      </w:r>
      <w:r>
        <w:rPr>
          <w:sz w:val="20"/>
        </w:rPr>
        <w:br/>
        <w:t>Valuation: Current P/E of 37.3x reflects premium for growth potential. EV/EBITDA of 26.5x and EV/Sales of 9.1x are elevated but justified by strong brand and cash flows. DCF valuation suggests $153.32, but market pricing in higher growth.</w:t>
      </w:r>
      <w:r>
        <w:rPr>
          <w:sz w:val="20"/>
        </w:rPr>
        <w:br/>
      </w:r>
      <w:r>
        <w:rPr>
          <w:sz w:val="20"/>
        </w:rPr>
        <w:br/>
        <w:t>Main Risk Factors: Intense competition in consumer electronics, potential supply chain disruptions from geopolitical tensions, and regulatory scrutiny over App Store practices. High valuation multiples leave little room for execution missteps.</w:t>
      </w:r>
    </w:p>
    <w:p w14:paraId="0DAEA900" w14:textId="77777777" w:rsidR="00F0563B" w:rsidRDefault="00F0563B" w:rsidP="00F0563B">
      <w:pPr>
        <w:rPr>
          <w:b/>
          <w:bCs/>
          <w:sz w:val="20"/>
          <w:szCs w:val="20"/>
        </w:rPr>
      </w:pPr>
    </w:p>
    <w:p w14:paraId="00960F57" w14:textId="77777777" w:rsidR="00F0563B" w:rsidRDefault="00F0563B" w:rsidP="00F0563B">
      <w:pPr>
        <w:rPr>
          <w:b/>
          <w:bCs/>
          <w:sz w:val="20"/>
          <w:szCs w:val="20"/>
        </w:rPr>
      </w:pPr>
      <w:r>
        <w:rPr>
          <w:sz w:val="20"/>
        </w:rPr>
        <w:t>News</w:t>
      </w:r>
      <w:r>
        <w:rPr>
          <w:sz w:val="20"/>
        </w:rPr>
        <w:br/>
        <w:t xml:space="preserve">Asia Tech Stocks Rally as Trump Delays Tariffs on China and Mexico  </w:t>
      </w:r>
      <w:r>
        <w:rPr>
          <w:sz w:val="20"/>
        </w:rPr>
        <w:br/>
        <w:t xml:space="preserve">Asian tech stocks saw broad-based gains following the announcement of a pause in U.S. tariffs on China and Mexico. Key markets, including Japan, South Korea, and Hong Kong, advanced, with Japanese semiconductor firms Advantest and Lasertec leading the surge. The move eased investor concerns over trade tensions, boosting sentiment across the sector.  </w:t>
      </w:r>
      <w:r>
        <w:rPr>
          <w:sz w:val="20"/>
        </w:rPr>
        <w:br/>
      </w:r>
      <w:r>
        <w:rPr>
          <w:sz w:val="20"/>
        </w:rPr>
        <w:br/>
        <w:t>Published on 2025-02-03, the news highlights how geopolitical developments continue to influence market dynamics. The tariff pause provided immediate relief, particularly for tech-heavy indices, as traders anticipated improved trade conditions and supply chain stability.</w:t>
      </w:r>
    </w:p>
    <w:p w14:paraId="17D721C6" w14:textId="77777777" w:rsidR="33B30DD3" w:rsidRDefault="33B30DD3" w:rsidP="33B30DD3"/>
    <w:p w14:paraId="33376001" w14:textId="77777777" w:rsidR="00814A20" w:rsidRDefault="00814A20" w:rsidP="33B30DD3"/>
    <w:p w14:paraId="6E6AD8BF" w14:textId="77777777" w:rsidR="00335A1F" w:rsidRDefault="00335A1F" w:rsidP="33B30DD3"/>
    <w:p w14:paraId="1409F96F" w14:textId="77777777" w:rsidR="00335A1F" w:rsidRDefault="00335A1F" w:rsidP="33B30DD3"/>
    <w:p w14:paraId="5DB2D18B" w14:textId="77777777" w:rsidR="00335A1F" w:rsidRDefault="00335A1F" w:rsidP="33B30DD3"/>
    <w:p w14:paraId="301DA082" w14:textId="77777777" w:rsidR="002F4DCD" w:rsidRDefault="002F4DCD" w:rsidP="33B30DD3">
      <w:pPr>
        <w:rPr>
          <w:sz w:val="20"/>
          <w:szCs w:val="20"/>
        </w:rPr>
      </w:pPr>
    </w:p>
    <w:p w14:paraId="7BA35AFD" w14:textId="77777777" w:rsidR="00171F0F" w:rsidRPr="00335A1F" w:rsidRDefault="00511CA7" w:rsidP="003A23CE">
      <w:pPr>
        <w:jc w:val="center"/>
        <w:rPr>
          <w:sz w:val="20"/>
          <w:szCs w:val="20"/>
        </w:rPr>
      </w:pPr>
      <w:r>
        <w:rPr>
          <w:noProof/>
        </w:rPr>
        <w:drawing>
          <wp:inline distT="0" distB="0" distL="0" distR="0" wp14:anchorId="3D3381BA" wp14:editId="7C04A338">
            <wp:extent cx="3810000" cy="27214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4"/>
                    <a:stretch>
                      <a:fillRect/>
                    </a:stretch>
                  </pic:blipFill>
                  <pic:spPr>
                    <a:xfrm>
                      <a:off x="0" y="0"/>
                      <a:ext cx="3810000" cy="2721429"/>
                    </a:xfrm>
                    <a:prstGeom prst="rect">
                      <a:avLst/>
                    </a:prstGeom>
                  </pic:spPr>
                </pic:pic>
              </a:graphicData>
            </a:graphic>
          </wp:inline>
        </w:drawing>
      </w:r>
    </w:p>
    <w:tbl>
      <w:tblPr>
        <w:tblStyle w:val="TableGrid"/>
        <w:tblW w:w="10485" w:type="dxa"/>
        <w:tblLayout w:type="fixed"/>
        <w:tblLook w:val="06A0" w:firstRow="1" w:lastRow="0" w:firstColumn="1" w:lastColumn="0" w:noHBand="1" w:noVBand="1"/>
      </w:tblPr>
      <w:tblGrid>
        <w:gridCol w:w="2830"/>
        <w:gridCol w:w="1560"/>
        <w:gridCol w:w="1417"/>
        <w:gridCol w:w="1559"/>
        <w:gridCol w:w="1560"/>
        <w:gridCol w:w="1559"/>
      </w:tblGrid>
      <w:tr w:rsidR="33B30DD3" w14:paraId="27A9F590" w14:textId="77777777" w:rsidTr="00901F5A">
        <w:trPr>
          <w:trHeight w:val="300"/>
        </w:trPr>
        <w:tc>
          <w:tcPr>
            <w:tcW w:w="2830" w:type="dxa"/>
          </w:tcPr>
          <w:p w14:paraId="44E68BDA" w14:textId="77777777" w:rsidR="04AD03AB" w:rsidRPr="00E9333E" w:rsidRDefault="04AD03AB" w:rsidP="33B30DD3">
            <w:pPr>
              <w:rPr>
                <w:sz w:val="20"/>
                <w:szCs w:val="20"/>
              </w:rPr>
            </w:pPr>
            <w:r>
              <w:rPr>
                <w:sz w:val="20"/>
              </w:rPr>
              <w:t>Key Financials and Ratios</w:t>
            </w:r>
          </w:p>
        </w:tc>
        <w:tc>
          <w:tcPr>
            <w:tcW w:w="1560" w:type="dxa"/>
          </w:tcPr>
          <w:p w14:paraId="5B901245" w14:textId="77777777" w:rsidR="40E09DC3" w:rsidRPr="00E9333E" w:rsidRDefault="40E09DC3" w:rsidP="33B30DD3">
            <w:pPr>
              <w:rPr>
                <w:sz w:val="20"/>
                <w:szCs w:val="20"/>
              </w:rPr>
            </w:pPr>
            <w:r>
              <w:rPr>
                <w:sz w:val="20"/>
              </w:rPr>
              <w:t>2020</w:t>
            </w:r>
          </w:p>
        </w:tc>
        <w:tc>
          <w:tcPr>
            <w:tcW w:w="1417" w:type="dxa"/>
          </w:tcPr>
          <w:p w14:paraId="4119C65F" w14:textId="77777777" w:rsidR="40E09DC3" w:rsidRPr="00E9333E" w:rsidRDefault="40E09DC3" w:rsidP="33B30DD3">
            <w:pPr>
              <w:rPr>
                <w:sz w:val="20"/>
                <w:szCs w:val="20"/>
              </w:rPr>
            </w:pPr>
            <w:r>
              <w:rPr>
                <w:sz w:val="20"/>
              </w:rPr>
              <w:t>2021</w:t>
            </w:r>
          </w:p>
        </w:tc>
        <w:tc>
          <w:tcPr>
            <w:tcW w:w="1559" w:type="dxa"/>
          </w:tcPr>
          <w:p w14:paraId="14DBF42B" w14:textId="77777777" w:rsidR="40E09DC3" w:rsidRPr="00E9333E" w:rsidRDefault="40E09DC3" w:rsidP="33B30DD3">
            <w:pPr>
              <w:rPr>
                <w:sz w:val="20"/>
                <w:szCs w:val="20"/>
              </w:rPr>
            </w:pPr>
            <w:r>
              <w:rPr>
                <w:sz w:val="20"/>
              </w:rPr>
              <w:t>2022</w:t>
            </w:r>
          </w:p>
        </w:tc>
        <w:tc>
          <w:tcPr>
            <w:tcW w:w="1560" w:type="dxa"/>
          </w:tcPr>
          <w:p w14:paraId="5532DE4D" w14:textId="77777777" w:rsidR="40E09DC3" w:rsidRPr="00E9333E" w:rsidRDefault="40E09DC3" w:rsidP="33B30DD3">
            <w:pPr>
              <w:rPr>
                <w:sz w:val="20"/>
                <w:szCs w:val="20"/>
              </w:rPr>
            </w:pPr>
            <w:r>
              <w:rPr>
                <w:sz w:val="20"/>
              </w:rPr>
              <w:t>2023</w:t>
            </w:r>
          </w:p>
        </w:tc>
        <w:tc>
          <w:tcPr>
            <w:tcW w:w="1559" w:type="dxa"/>
          </w:tcPr>
          <w:p w14:paraId="1B871128" w14:textId="77777777" w:rsidR="6518F441" w:rsidRPr="00E9333E" w:rsidRDefault="6518F441" w:rsidP="33B30DD3">
            <w:pPr>
              <w:rPr>
                <w:sz w:val="20"/>
                <w:szCs w:val="20"/>
              </w:rPr>
            </w:pPr>
            <w:r>
              <w:rPr>
                <w:sz w:val="20"/>
              </w:rPr>
              <w:t>2024</w:t>
            </w:r>
          </w:p>
        </w:tc>
      </w:tr>
      <w:tr w:rsidR="33B30DD3" w14:paraId="1E6BB8A1" w14:textId="77777777" w:rsidTr="00901F5A">
        <w:trPr>
          <w:trHeight w:val="300"/>
        </w:trPr>
        <w:tc>
          <w:tcPr>
            <w:tcW w:w="2830" w:type="dxa"/>
          </w:tcPr>
          <w:p w14:paraId="3E3E5A79" w14:textId="77777777" w:rsidR="40E09DC3" w:rsidRPr="00E9333E" w:rsidRDefault="40E09DC3" w:rsidP="33B30DD3">
            <w:pPr>
              <w:rPr>
                <w:sz w:val="20"/>
                <w:szCs w:val="20"/>
              </w:rPr>
            </w:pPr>
            <w:r>
              <w:rPr>
                <w:sz w:val="20"/>
              </w:rPr>
              <w:t>Total Revenue ($B)</w:t>
            </w:r>
          </w:p>
        </w:tc>
        <w:tc>
          <w:tcPr>
            <w:tcW w:w="1560" w:type="dxa"/>
          </w:tcPr>
          <w:p w14:paraId="7921A088" w14:textId="77777777" w:rsidR="1D099C86" w:rsidRPr="00E9333E" w:rsidRDefault="1D099C86" w:rsidP="33B30DD3">
            <w:pPr>
              <w:rPr>
                <w:sz w:val="20"/>
                <w:szCs w:val="20"/>
              </w:rPr>
            </w:pPr>
            <w:r>
              <w:rPr>
                <w:sz w:val="20"/>
              </w:rPr>
              <w:t>274515000000</w:t>
            </w:r>
          </w:p>
        </w:tc>
        <w:tc>
          <w:tcPr>
            <w:tcW w:w="1417" w:type="dxa"/>
          </w:tcPr>
          <w:p w14:paraId="1A1873AD" w14:textId="77777777" w:rsidR="720987A7" w:rsidRPr="00E9333E" w:rsidRDefault="720987A7" w:rsidP="33B30DD3">
            <w:pPr>
              <w:rPr>
                <w:sz w:val="20"/>
                <w:szCs w:val="20"/>
              </w:rPr>
            </w:pPr>
            <w:r>
              <w:rPr>
                <w:sz w:val="20"/>
              </w:rPr>
              <w:t>365817000000</w:t>
            </w:r>
          </w:p>
        </w:tc>
        <w:tc>
          <w:tcPr>
            <w:tcW w:w="1559" w:type="dxa"/>
          </w:tcPr>
          <w:p w14:paraId="371A6779" w14:textId="77777777" w:rsidR="720987A7" w:rsidRPr="00E9333E" w:rsidRDefault="720987A7" w:rsidP="33B30DD3">
            <w:pPr>
              <w:rPr>
                <w:sz w:val="20"/>
                <w:szCs w:val="20"/>
              </w:rPr>
            </w:pPr>
            <w:r>
              <w:rPr>
                <w:sz w:val="20"/>
              </w:rPr>
              <w:t>394328000000</w:t>
            </w:r>
          </w:p>
        </w:tc>
        <w:tc>
          <w:tcPr>
            <w:tcW w:w="1560" w:type="dxa"/>
          </w:tcPr>
          <w:p w14:paraId="0B006C92" w14:textId="77777777" w:rsidR="720987A7" w:rsidRPr="00E9333E" w:rsidRDefault="720987A7" w:rsidP="33B30DD3">
            <w:pPr>
              <w:rPr>
                <w:sz w:val="20"/>
                <w:szCs w:val="20"/>
              </w:rPr>
            </w:pPr>
            <w:r>
              <w:rPr>
                <w:sz w:val="20"/>
              </w:rPr>
              <w:t>383285000000</w:t>
            </w:r>
          </w:p>
        </w:tc>
        <w:tc>
          <w:tcPr>
            <w:tcW w:w="1559" w:type="dxa"/>
          </w:tcPr>
          <w:p w14:paraId="2A51C7D3" w14:textId="77777777" w:rsidR="720987A7" w:rsidRPr="00E9333E" w:rsidRDefault="720987A7" w:rsidP="33B30DD3">
            <w:pPr>
              <w:rPr>
                <w:sz w:val="20"/>
                <w:szCs w:val="20"/>
              </w:rPr>
            </w:pPr>
            <w:r>
              <w:rPr>
                <w:sz w:val="20"/>
              </w:rPr>
              <w:t>391035000000</w:t>
            </w:r>
          </w:p>
        </w:tc>
      </w:tr>
      <w:tr w:rsidR="33B30DD3" w14:paraId="033A26E5" w14:textId="77777777" w:rsidTr="00901F5A">
        <w:trPr>
          <w:trHeight w:val="300"/>
        </w:trPr>
        <w:tc>
          <w:tcPr>
            <w:tcW w:w="2830" w:type="dxa"/>
          </w:tcPr>
          <w:p w14:paraId="2596BD33" w14:textId="77777777" w:rsidR="720987A7" w:rsidRPr="00E9333E" w:rsidRDefault="720987A7" w:rsidP="33B30DD3">
            <w:pPr>
              <w:rPr>
                <w:sz w:val="20"/>
                <w:szCs w:val="20"/>
              </w:rPr>
            </w:pPr>
            <w:r>
              <w:rPr>
                <w:sz w:val="20"/>
              </w:rPr>
              <w:t>EBITA Margin (%)</w:t>
            </w:r>
          </w:p>
        </w:tc>
        <w:tc>
          <w:tcPr>
            <w:tcW w:w="1560" w:type="dxa"/>
          </w:tcPr>
          <w:p w14:paraId="22E516A9" w14:textId="77777777" w:rsidR="3BD05D5F" w:rsidRPr="00E9333E" w:rsidRDefault="3BD05D5F" w:rsidP="33B30DD3">
            <w:pPr>
              <w:rPr>
                <w:sz w:val="20"/>
                <w:szCs w:val="20"/>
              </w:rPr>
            </w:pPr>
            <w:r>
              <w:rPr>
                <w:sz w:val="20"/>
              </w:rPr>
              <w:t>0.2817478097736007</w:t>
            </w:r>
          </w:p>
        </w:tc>
        <w:tc>
          <w:tcPr>
            <w:tcW w:w="1417" w:type="dxa"/>
          </w:tcPr>
          <w:p w14:paraId="49A30FA9" w14:textId="77777777" w:rsidR="7C702B68" w:rsidRPr="00E9333E" w:rsidRDefault="7C702B68" w:rsidP="33B30DD3">
            <w:pPr>
              <w:rPr>
                <w:sz w:val="20"/>
                <w:szCs w:val="20"/>
              </w:rPr>
            </w:pPr>
            <w:r>
              <w:rPr>
                <w:sz w:val="20"/>
              </w:rPr>
              <w:t>0.3286697993805646</w:t>
            </w:r>
          </w:p>
        </w:tc>
        <w:tc>
          <w:tcPr>
            <w:tcW w:w="1559" w:type="dxa"/>
          </w:tcPr>
          <w:p w14:paraId="0F9C9E10" w14:textId="77777777" w:rsidR="7C702B68" w:rsidRPr="00E9333E" w:rsidRDefault="7C702B68" w:rsidP="33B30DD3">
            <w:pPr>
              <w:rPr>
                <w:sz w:val="20"/>
                <w:szCs w:val="20"/>
              </w:rPr>
            </w:pPr>
            <w:r>
              <w:rPr>
                <w:sz w:val="20"/>
              </w:rPr>
              <w:t>0.3310467428130896</w:t>
            </w:r>
          </w:p>
        </w:tc>
        <w:tc>
          <w:tcPr>
            <w:tcW w:w="1560" w:type="dxa"/>
          </w:tcPr>
          <w:p w14:paraId="06689339" w14:textId="77777777" w:rsidR="7C702B68" w:rsidRPr="00E9333E" w:rsidRDefault="7C702B68" w:rsidP="33B30DD3">
            <w:pPr>
              <w:rPr>
                <w:sz w:val="20"/>
                <w:szCs w:val="20"/>
              </w:rPr>
            </w:pPr>
            <w:r>
              <w:rPr>
                <w:sz w:val="20"/>
              </w:rPr>
              <w:t>0.3282674772036474</w:t>
            </w:r>
          </w:p>
        </w:tc>
        <w:tc>
          <w:tcPr>
            <w:tcW w:w="1559" w:type="dxa"/>
          </w:tcPr>
          <w:p w14:paraId="74E4A927" w14:textId="77777777" w:rsidR="7C702B68" w:rsidRPr="00E9333E" w:rsidRDefault="7C702B68" w:rsidP="33B30DD3">
            <w:pPr>
              <w:rPr>
                <w:sz w:val="20"/>
                <w:szCs w:val="20"/>
              </w:rPr>
            </w:pPr>
            <w:r>
              <w:rPr>
                <w:sz w:val="20"/>
              </w:rPr>
              <w:t>0.3443707085043538</w:t>
            </w:r>
          </w:p>
        </w:tc>
      </w:tr>
      <w:tr w:rsidR="00814A20" w14:paraId="76E7CFDF" w14:textId="77777777" w:rsidTr="00901F5A">
        <w:trPr>
          <w:trHeight w:val="300"/>
        </w:trPr>
        <w:tc>
          <w:tcPr>
            <w:tcW w:w="2830" w:type="dxa"/>
          </w:tcPr>
          <w:p w14:paraId="68F2DE0E" w14:textId="77777777" w:rsidR="00814A20" w:rsidRPr="00E9333E" w:rsidRDefault="00814A20" w:rsidP="00814A20">
            <w:pPr>
              <w:rPr>
                <w:sz w:val="20"/>
                <w:szCs w:val="20"/>
              </w:rPr>
            </w:pPr>
            <w:r>
              <w:rPr>
                <w:sz w:val="20"/>
              </w:rPr>
              <w:t>EBIT Margin (%)</w:t>
            </w:r>
          </w:p>
        </w:tc>
        <w:tc>
          <w:tcPr>
            <w:tcW w:w="1560" w:type="dxa"/>
          </w:tcPr>
          <w:p w14:paraId="483DA823" w14:textId="77777777" w:rsidR="00814A20" w:rsidRPr="00E9333E" w:rsidRDefault="00814A20" w:rsidP="00814A20">
            <w:pPr>
              <w:rPr>
                <w:sz w:val="20"/>
                <w:szCs w:val="20"/>
              </w:rPr>
            </w:pPr>
            <w:r>
              <w:rPr>
                <w:sz w:val="20"/>
              </w:rPr>
              <w:t>0.24147314354406862</w:t>
            </w:r>
          </w:p>
        </w:tc>
        <w:tc>
          <w:tcPr>
            <w:tcW w:w="1417" w:type="dxa"/>
          </w:tcPr>
          <w:p w14:paraId="00682A86" w14:textId="77777777" w:rsidR="00814A20" w:rsidRPr="00E9333E" w:rsidRDefault="00814A20" w:rsidP="00814A20">
            <w:pPr>
              <w:rPr>
                <w:sz w:val="20"/>
                <w:szCs w:val="20"/>
              </w:rPr>
            </w:pPr>
            <w:r>
              <w:rPr>
                <w:sz w:val="20"/>
              </w:rPr>
              <w:t>0.29782377527561593</w:t>
            </w:r>
          </w:p>
        </w:tc>
        <w:tc>
          <w:tcPr>
            <w:tcW w:w="1559" w:type="dxa"/>
          </w:tcPr>
          <w:p w14:paraId="3734080F" w14:textId="77777777" w:rsidR="00814A20" w:rsidRPr="00E9333E" w:rsidRDefault="00814A20" w:rsidP="00814A20">
            <w:pPr>
              <w:rPr>
                <w:sz w:val="20"/>
                <w:szCs w:val="20"/>
              </w:rPr>
            </w:pPr>
            <w:r>
              <w:rPr>
                <w:sz w:val="20"/>
              </w:rPr>
              <w:t>0.30288744395528594</w:t>
            </w:r>
          </w:p>
        </w:tc>
        <w:tc>
          <w:tcPr>
            <w:tcW w:w="1560" w:type="dxa"/>
          </w:tcPr>
          <w:p w14:paraId="6225F5D3" w14:textId="77777777" w:rsidR="00814A20" w:rsidRPr="00E9333E" w:rsidRDefault="00814A20" w:rsidP="00814A20">
            <w:pPr>
              <w:rPr>
                <w:sz w:val="20"/>
                <w:szCs w:val="20"/>
              </w:rPr>
            </w:pPr>
            <w:r>
              <w:rPr>
                <w:sz w:val="20"/>
              </w:rPr>
              <w:t>0.2982141226502472</w:t>
            </w:r>
          </w:p>
        </w:tc>
        <w:tc>
          <w:tcPr>
            <w:tcW w:w="1559" w:type="dxa"/>
          </w:tcPr>
          <w:p w14:paraId="655487BA" w14:textId="77777777" w:rsidR="00814A20" w:rsidRPr="00E9333E" w:rsidRDefault="00814A20" w:rsidP="00814A20">
            <w:pPr>
              <w:rPr>
                <w:sz w:val="20"/>
                <w:szCs w:val="20"/>
              </w:rPr>
            </w:pPr>
            <w:r>
              <w:rPr>
                <w:sz w:val="20"/>
              </w:rPr>
              <w:t>0.31510222870075566</w:t>
            </w:r>
          </w:p>
        </w:tc>
      </w:tr>
      <w:tr w:rsidR="00814A20" w14:paraId="4C8EF93E" w14:textId="77777777" w:rsidTr="00901F5A">
        <w:trPr>
          <w:trHeight w:val="344"/>
        </w:trPr>
        <w:tc>
          <w:tcPr>
            <w:tcW w:w="2830" w:type="dxa"/>
          </w:tcPr>
          <w:p w14:paraId="361E8E08" w14:textId="77777777" w:rsidR="00814A20" w:rsidRPr="00E9333E" w:rsidRDefault="00814A20" w:rsidP="00814A20">
            <w:pPr>
              <w:rPr>
                <w:sz w:val="20"/>
                <w:szCs w:val="20"/>
              </w:rPr>
            </w:pPr>
            <w:r>
              <w:rPr>
                <w:sz w:val="20"/>
              </w:rPr>
              <w:t>Net Income Margin (%)</w:t>
            </w:r>
          </w:p>
        </w:tc>
        <w:tc>
          <w:tcPr>
            <w:tcW w:w="1560" w:type="dxa"/>
          </w:tcPr>
          <w:p w14:paraId="4D3B91A9" w14:textId="77777777" w:rsidR="00814A20" w:rsidRPr="00E9333E" w:rsidRDefault="00814A20" w:rsidP="00814A20">
            <w:pPr>
              <w:rPr>
                <w:sz w:val="20"/>
                <w:szCs w:val="20"/>
              </w:rPr>
            </w:pPr>
            <w:r>
              <w:rPr>
                <w:sz w:val="20"/>
              </w:rPr>
              <w:t>0.20913611278072236</w:t>
            </w:r>
          </w:p>
        </w:tc>
        <w:tc>
          <w:tcPr>
            <w:tcW w:w="1417" w:type="dxa"/>
          </w:tcPr>
          <w:p w14:paraId="014FE88D" w14:textId="77777777" w:rsidR="00814A20" w:rsidRPr="00E9333E" w:rsidRDefault="00037170" w:rsidP="00814A20">
            <w:pPr>
              <w:rPr>
                <w:sz w:val="20"/>
                <w:szCs w:val="20"/>
              </w:rPr>
            </w:pPr>
            <w:r>
              <w:rPr>
                <w:sz w:val="20"/>
              </w:rPr>
              <w:t>0.2588179335569424</w:t>
            </w:r>
          </w:p>
        </w:tc>
        <w:tc>
          <w:tcPr>
            <w:tcW w:w="1559" w:type="dxa"/>
          </w:tcPr>
          <w:p w14:paraId="719908C4" w14:textId="77777777" w:rsidR="00814A20" w:rsidRPr="00E9333E" w:rsidRDefault="00037170" w:rsidP="00814A20">
            <w:pPr>
              <w:rPr>
                <w:sz w:val="20"/>
                <w:szCs w:val="20"/>
              </w:rPr>
            </w:pPr>
            <w:r>
              <w:rPr>
                <w:sz w:val="20"/>
              </w:rPr>
              <w:t>0.2530964070519973</w:t>
            </w:r>
          </w:p>
        </w:tc>
        <w:tc>
          <w:tcPr>
            <w:tcW w:w="1560" w:type="dxa"/>
          </w:tcPr>
          <w:p w14:paraId="16F2331B" w14:textId="77777777" w:rsidR="00814A20" w:rsidRPr="00E9333E" w:rsidRDefault="00E9333E" w:rsidP="00814A20">
            <w:pPr>
              <w:rPr>
                <w:sz w:val="20"/>
                <w:szCs w:val="20"/>
              </w:rPr>
            </w:pPr>
            <w:r>
              <w:rPr>
                <w:sz w:val="20"/>
              </w:rPr>
              <w:t>0.2530623426432028</w:t>
            </w:r>
          </w:p>
        </w:tc>
        <w:tc>
          <w:tcPr>
            <w:tcW w:w="1559" w:type="dxa"/>
          </w:tcPr>
          <w:p w14:paraId="649F410A" w14:textId="77777777" w:rsidR="00814A20" w:rsidRPr="00E9333E" w:rsidRDefault="00E9333E" w:rsidP="00814A20">
            <w:pPr>
              <w:rPr>
                <w:sz w:val="20"/>
                <w:szCs w:val="20"/>
              </w:rPr>
            </w:pPr>
            <w:r>
              <w:rPr>
                <w:sz w:val="20"/>
              </w:rPr>
              <w:t>0.23971255769943867</w:t>
            </w:r>
          </w:p>
        </w:tc>
      </w:tr>
      <w:tr w:rsidR="0018599F" w14:paraId="36809A6F" w14:textId="77777777" w:rsidTr="00901F5A">
        <w:trPr>
          <w:trHeight w:val="344"/>
        </w:trPr>
        <w:tc>
          <w:tcPr>
            <w:tcW w:w="2830" w:type="dxa"/>
          </w:tcPr>
          <w:p w14:paraId="23FCACD9" w14:textId="77777777" w:rsidR="0018599F" w:rsidRPr="00E9333E" w:rsidRDefault="0018599F" w:rsidP="0018599F">
            <w:pPr>
              <w:rPr>
                <w:sz w:val="20"/>
                <w:szCs w:val="20"/>
              </w:rPr>
            </w:pPr>
            <w:r>
              <w:rPr>
                <w:sz w:val="20"/>
              </w:rPr>
              <w:t>Intrest Coverage (x)</w:t>
            </w:r>
          </w:p>
        </w:tc>
        <w:tc>
          <w:tcPr>
            <w:tcW w:w="1560" w:type="dxa"/>
          </w:tcPr>
          <w:p w14:paraId="2F7FB4D5" w14:textId="77777777" w:rsidR="0018599F" w:rsidRPr="00E9333E" w:rsidRDefault="0018599F" w:rsidP="0018599F">
            <w:pPr>
              <w:rPr>
                <w:sz w:val="20"/>
                <w:szCs w:val="20"/>
              </w:rPr>
            </w:pPr>
            <w:r>
              <w:rPr>
                <w:sz w:val="20"/>
              </w:rPr>
              <w:t>23.07274625826662</w:t>
            </w:r>
          </w:p>
        </w:tc>
        <w:tc>
          <w:tcPr>
            <w:tcW w:w="1417" w:type="dxa"/>
          </w:tcPr>
          <w:p w14:paraId="51492B77" w14:textId="77777777" w:rsidR="0018599F" w:rsidRPr="00E9333E" w:rsidRDefault="0018599F" w:rsidP="0018599F">
            <w:pPr>
              <w:rPr>
                <w:sz w:val="20"/>
                <w:szCs w:val="20"/>
              </w:rPr>
            </w:pPr>
            <w:r>
              <w:rPr>
                <w:sz w:val="20"/>
              </w:rPr>
              <w:t>41.19054820415879</w:t>
            </w:r>
          </w:p>
        </w:tc>
        <w:tc>
          <w:tcPr>
            <w:tcW w:w="1559" w:type="dxa"/>
          </w:tcPr>
          <w:p w14:paraId="7F155722" w14:textId="77777777" w:rsidR="0018599F" w:rsidRPr="00E9333E" w:rsidRDefault="0018599F" w:rsidP="0018599F">
            <w:pPr>
              <w:rPr>
                <w:sz w:val="20"/>
                <w:szCs w:val="20"/>
              </w:rPr>
            </w:pPr>
            <w:r>
              <w:rPr>
                <w:sz w:val="20"/>
              </w:rPr>
              <w:t>40.74957352439441</w:t>
            </w:r>
          </w:p>
        </w:tc>
        <w:tc>
          <w:tcPr>
            <w:tcW w:w="1560" w:type="dxa"/>
          </w:tcPr>
          <w:p w14:paraId="70BCAA8F" w14:textId="77777777" w:rsidR="0018599F" w:rsidRPr="00E9333E" w:rsidRDefault="0018599F" w:rsidP="0018599F">
            <w:pPr>
              <w:rPr>
                <w:sz w:val="20"/>
                <w:szCs w:val="20"/>
              </w:rPr>
            </w:pPr>
            <w:r>
              <w:rPr>
                <w:sz w:val="20"/>
              </w:rPr>
              <w:t>29.062039155860667</w:t>
            </w:r>
          </w:p>
        </w:tc>
        <w:tc>
          <w:tcPr>
            <w:tcW w:w="1559" w:type="dxa"/>
          </w:tcPr>
          <w:p w14:paraId="10E82FDB" w14:textId="77777777" w:rsidR="0018599F" w:rsidRPr="00E9333E" w:rsidRDefault="0018599F" w:rsidP="0018599F">
            <w:pPr>
              <w:rPr>
                <w:sz w:val="20"/>
                <w:szCs w:val="20"/>
              </w:rPr>
            </w:pPr>
            <w:r>
              <w:rPr>
                <w:sz w:val="20"/>
              </w:rPr>
              <w:t>0</w:t>
            </w:r>
          </w:p>
        </w:tc>
      </w:tr>
      <w:tr w:rsidR="0018599F" w14:paraId="663CAA8D" w14:textId="77777777" w:rsidTr="00901F5A">
        <w:trPr>
          <w:trHeight w:val="344"/>
        </w:trPr>
        <w:tc>
          <w:tcPr>
            <w:tcW w:w="2830" w:type="dxa"/>
          </w:tcPr>
          <w:p w14:paraId="7EB15ECD" w14:textId="77777777" w:rsidR="0018599F" w:rsidRPr="00E9333E" w:rsidRDefault="0018599F" w:rsidP="0018599F">
            <w:pPr>
              <w:rPr>
                <w:sz w:val="20"/>
                <w:szCs w:val="20"/>
              </w:rPr>
            </w:pPr>
            <w:r>
              <w:rPr>
                <w:sz w:val="20"/>
              </w:rPr>
              <w:t>Return On Equity (ROE)</w:t>
            </w:r>
          </w:p>
        </w:tc>
        <w:tc>
          <w:tcPr>
            <w:tcW w:w="1560" w:type="dxa"/>
          </w:tcPr>
          <w:p w14:paraId="758ECD70" w14:textId="77777777" w:rsidR="0018599F" w:rsidRPr="00E9333E" w:rsidRDefault="0018599F" w:rsidP="0018599F">
            <w:pPr>
              <w:rPr>
                <w:sz w:val="20"/>
                <w:szCs w:val="20"/>
              </w:rPr>
            </w:pPr>
            <w:r>
              <w:rPr>
                <w:sz w:val="20"/>
              </w:rPr>
              <w:t>0.8786635853012749</w:t>
            </w:r>
          </w:p>
        </w:tc>
        <w:tc>
          <w:tcPr>
            <w:tcW w:w="1417" w:type="dxa"/>
          </w:tcPr>
          <w:p w14:paraId="026C4258" w14:textId="77777777" w:rsidR="0018599F" w:rsidRPr="00E9333E" w:rsidRDefault="0018599F" w:rsidP="0018599F">
            <w:pPr>
              <w:rPr>
                <w:sz w:val="20"/>
                <w:szCs w:val="20"/>
              </w:rPr>
            </w:pPr>
            <w:r>
              <w:rPr>
                <w:sz w:val="20"/>
              </w:rPr>
              <w:t>1.5007132667617689</w:t>
            </w:r>
          </w:p>
        </w:tc>
        <w:tc>
          <w:tcPr>
            <w:tcW w:w="1559" w:type="dxa"/>
          </w:tcPr>
          <w:p w14:paraId="0E39D8CD" w14:textId="77777777" w:rsidR="0018599F" w:rsidRPr="00E9333E" w:rsidRDefault="0018599F" w:rsidP="0018599F">
            <w:pPr>
              <w:rPr>
                <w:sz w:val="20"/>
                <w:szCs w:val="20"/>
              </w:rPr>
            </w:pPr>
            <w:r>
              <w:rPr>
                <w:sz w:val="20"/>
              </w:rPr>
              <w:t>1.9695887275023682</w:t>
            </w:r>
          </w:p>
        </w:tc>
        <w:tc>
          <w:tcPr>
            <w:tcW w:w="1560" w:type="dxa"/>
          </w:tcPr>
          <w:p w14:paraId="5C3EF81B" w14:textId="77777777" w:rsidR="0018599F" w:rsidRPr="00E9333E" w:rsidRDefault="0018599F" w:rsidP="0018599F">
            <w:pPr>
              <w:rPr>
                <w:sz w:val="20"/>
                <w:szCs w:val="20"/>
              </w:rPr>
            </w:pPr>
            <w:r>
              <w:rPr>
                <w:sz w:val="20"/>
              </w:rPr>
              <w:t>1.5607601454639075</w:t>
            </w:r>
          </w:p>
        </w:tc>
        <w:tc>
          <w:tcPr>
            <w:tcW w:w="1559" w:type="dxa"/>
          </w:tcPr>
          <w:p w14:paraId="76C10729" w14:textId="77777777" w:rsidR="0018599F" w:rsidRPr="00E9333E" w:rsidRDefault="0018599F" w:rsidP="0018599F">
            <w:pPr>
              <w:rPr>
                <w:sz w:val="20"/>
                <w:szCs w:val="20"/>
              </w:rPr>
            </w:pPr>
            <w:r>
              <w:rPr>
                <w:sz w:val="20"/>
              </w:rPr>
              <w:t>1.6459350307287095</w:t>
            </w:r>
          </w:p>
        </w:tc>
      </w:tr>
      <w:tr w:rsidR="0018599F" w14:paraId="4D4F314E" w14:textId="77777777" w:rsidTr="00901F5A">
        <w:trPr>
          <w:trHeight w:val="344"/>
        </w:trPr>
        <w:tc>
          <w:tcPr>
            <w:tcW w:w="2830" w:type="dxa"/>
          </w:tcPr>
          <w:p w14:paraId="4067CA66" w14:textId="77777777" w:rsidR="0018599F" w:rsidRPr="00E9333E" w:rsidRDefault="0018599F" w:rsidP="0018599F">
            <w:pPr>
              <w:rPr>
                <w:sz w:val="20"/>
                <w:szCs w:val="20"/>
              </w:rPr>
            </w:pPr>
            <w:r>
              <w:rPr>
                <w:sz w:val="20"/>
              </w:rPr>
              <w:t>Earnings Per Share (EPS)</w:t>
            </w:r>
          </w:p>
        </w:tc>
        <w:tc>
          <w:tcPr>
            <w:tcW w:w="1560" w:type="dxa"/>
          </w:tcPr>
          <w:p w14:paraId="68CC8976" w14:textId="77777777" w:rsidR="0018599F" w:rsidRPr="00E9333E" w:rsidRDefault="0018599F" w:rsidP="0018599F">
            <w:pPr>
              <w:rPr>
                <w:sz w:val="20"/>
                <w:szCs w:val="20"/>
              </w:rPr>
            </w:pPr>
            <w:r>
              <w:rPr>
                <w:sz w:val="20"/>
              </w:rPr>
              <w:t>3.7416457206153138</w:t>
            </w:r>
          </w:p>
        </w:tc>
        <w:tc>
          <w:tcPr>
            <w:tcW w:w="1417" w:type="dxa"/>
          </w:tcPr>
          <w:p w14:paraId="09C26EFA" w14:textId="77777777" w:rsidR="0018599F" w:rsidRPr="00E9333E" w:rsidRDefault="0018599F" w:rsidP="0018599F">
            <w:pPr>
              <w:rPr>
                <w:sz w:val="20"/>
                <w:szCs w:val="20"/>
              </w:rPr>
            </w:pPr>
            <w:r>
              <w:rPr>
                <w:sz w:val="20"/>
              </w:rPr>
              <w:t>6.170577360224659</w:t>
            </w:r>
          </w:p>
        </w:tc>
        <w:tc>
          <w:tcPr>
            <w:tcW w:w="1559" w:type="dxa"/>
          </w:tcPr>
          <w:p w14:paraId="03283102" w14:textId="77777777" w:rsidR="0018599F" w:rsidRPr="00E9333E" w:rsidRDefault="0018599F" w:rsidP="0018599F">
            <w:pPr>
              <w:rPr>
                <w:sz w:val="20"/>
                <w:szCs w:val="20"/>
              </w:rPr>
            </w:pPr>
            <w:r>
              <w:rPr>
                <w:sz w:val="20"/>
              </w:rPr>
              <w:t>6.504458515869262</w:t>
            </w:r>
          </w:p>
        </w:tc>
        <w:tc>
          <w:tcPr>
            <w:tcW w:w="1560" w:type="dxa"/>
          </w:tcPr>
          <w:p w14:paraId="37ECD871" w14:textId="77777777" w:rsidR="0018599F" w:rsidRPr="00E9333E" w:rsidRDefault="0018599F" w:rsidP="0018599F">
            <w:pPr>
              <w:rPr>
                <w:sz w:val="20"/>
                <w:szCs w:val="20"/>
              </w:rPr>
            </w:pPr>
            <w:r>
              <w:rPr>
                <w:sz w:val="20"/>
              </w:rPr>
              <w:t>6.32145279948237</w:t>
            </w:r>
          </w:p>
        </w:tc>
        <w:tc>
          <w:tcPr>
            <w:tcW w:w="1559" w:type="dxa"/>
          </w:tcPr>
          <w:p w14:paraId="1438422B" w14:textId="77777777" w:rsidR="0018599F" w:rsidRPr="00E9333E" w:rsidRDefault="0018599F" w:rsidP="0018599F">
            <w:pPr>
              <w:rPr>
                <w:sz w:val="20"/>
                <w:szCs w:val="20"/>
              </w:rPr>
            </w:pPr>
            <w:r>
              <w:rPr>
                <w:sz w:val="20"/>
              </w:rPr>
              <w:t>6.109054070954992</w:t>
            </w:r>
          </w:p>
        </w:tc>
      </w:tr>
      <w:tr w:rsidR="0018599F" w14:paraId="696795C5" w14:textId="77777777" w:rsidTr="00901F5A">
        <w:trPr>
          <w:trHeight w:val="344"/>
        </w:trPr>
        <w:tc>
          <w:tcPr>
            <w:tcW w:w="2830" w:type="dxa"/>
          </w:tcPr>
          <w:p w14:paraId="72235453" w14:textId="77777777" w:rsidR="0018599F" w:rsidRPr="00E9333E" w:rsidRDefault="0018599F" w:rsidP="0018599F">
            <w:pPr>
              <w:rPr>
                <w:sz w:val="20"/>
                <w:szCs w:val="20"/>
              </w:rPr>
            </w:pPr>
            <w:r>
              <w:rPr>
                <w:sz w:val="20"/>
              </w:rPr>
              <w:t>PEG (%)</w:t>
            </w:r>
          </w:p>
        </w:tc>
        <w:tc>
          <w:tcPr>
            <w:tcW w:w="1560" w:type="dxa"/>
          </w:tcPr>
          <w:p w14:paraId="5066EFEF" w14:textId="77777777" w:rsidR="0018599F" w:rsidRPr="00E9333E" w:rsidRDefault="0018599F" w:rsidP="0018599F">
            <w:pPr>
              <w:rPr>
                <w:sz w:val="20"/>
                <w:szCs w:val="20"/>
              </w:rPr>
            </w:pPr>
            <w:r>
              <w:rPr>
                <w:sz w:val="20"/>
              </w:rPr>
              <w:t>3.1708888566361435</w:t>
            </w:r>
          </w:p>
        </w:tc>
        <w:tc>
          <w:tcPr>
            <w:tcW w:w="1417" w:type="dxa"/>
          </w:tcPr>
          <w:p w14:paraId="180F805D" w14:textId="77777777" w:rsidR="0018599F" w:rsidRPr="00E9333E" w:rsidRDefault="0018599F" w:rsidP="0018599F">
            <w:pPr>
              <w:rPr>
                <w:sz w:val="20"/>
                <w:szCs w:val="20"/>
              </w:rPr>
            </w:pPr>
            <w:r>
              <w:rPr>
                <w:sz w:val="20"/>
              </w:rPr>
              <w:t>0.3634864369282435</w:t>
            </w:r>
          </w:p>
        </w:tc>
        <w:tc>
          <w:tcPr>
            <w:tcW w:w="1559" w:type="dxa"/>
          </w:tcPr>
          <w:p w14:paraId="25BC2FC7" w14:textId="77777777" w:rsidR="0018599F" w:rsidRPr="00E9333E" w:rsidRDefault="0018599F" w:rsidP="0018599F">
            <w:pPr>
              <w:rPr>
                <w:sz w:val="20"/>
                <w:szCs w:val="20"/>
              </w:rPr>
            </w:pPr>
            <w:r>
              <w:rPr>
                <w:sz w:val="20"/>
              </w:rPr>
              <w:t>2.8871904048664</w:t>
            </w:r>
          </w:p>
        </w:tc>
        <w:tc>
          <w:tcPr>
            <w:tcW w:w="1560" w:type="dxa"/>
          </w:tcPr>
          <w:p w14:paraId="3F819D6A" w14:textId="77777777" w:rsidR="0018599F" w:rsidRPr="00E9333E" w:rsidRDefault="0018599F" w:rsidP="0018599F">
            <w:pPr>
              <w:rPr>
                <w:sz w:val="20"/>
                <w:szCs w:val="20"/>
              </w:rPr>
            </w:pPr>
            <w:r>
              <w:rPr>
                <w:sz w:val="20"/>
              </w:rPr>
              <w:t>170.91349250462116</w:t>
            </w:r>
          </w:p>
        </w:tc>
        <w:tc>
          <w:tcPr>
            <w:tcW w:w="1559" w:type="dxa"/>
          </w:tcPr>
          <w:p w14:paraId="6A80C738" w14:textId="77777777" w:rsidR="0018599F" w:rsidRPr="00E9333E" w:rsidRDefault="0018599F" w:rsidP="0018599F">
            <w:pPr>
              <w:rPr>
                <w:sz w:val="20"/>
                <w:szCs w:val="20"/>
              </w:rPr>
            </w:pPr>
            <w:r>
              <w:rPr>
                <w:sz w:val="20"/>
              </w:rPr>
              <w:t>-45.93792700808932</w:t>
            </w:r>
          </w:p>
        </w:tc>
      </w:tr>
      <w:tr w:rsidR="0018599F" w14:paraId="538D6A57" w14:textId="77777777" w:rsidTr="00901F5A">
        <w:trPr>
          <w:trHeight w:val="344"/>
        </w:trPr>
        <w:tc>
          <w:tcPr>
            <w:tcW w:w="2830" w:type="dxa"/>
          </w:tcPr>
          <w:p w14:paraId="45E98C05" w14:textId="77777777" w:rsidR="0018599F" w:rsidRPr="00E9333E" w:rsidRDefault="0018599F" w:rsidP="0018599F">
            <w:pPr>
              <w:rPr>
                <w:sz w:val="20"/>
                <w:szCs w:val="20"/>
              </w:rPr>
            </w:pPr>
            <w:r>
              <w:rPr>
                <w:sz w:val="20"/>
              </w:rPr>
              <w:t>LT Dept To Assets (x)</w:t>
            </w:r>
          </w:p>
        </w:tc>
        <w:tc>
          <w:tcPr>
            <w:tcW w:w="1560" w:type="dxa"/>
          </w:tcPr>
          <w:p w14:paraId="2BAD7369" w14:textId="77777777" w:rsidR="0018599F" w:rsidRPr="00E9333E" w:rsidRDefault="0018599F" w:rsidP="0018599F">
            <w:pPr>
              <w:rPr>
                <w:sz w:val="20"/>
                <w:szCs w:val="20"/>
              </w:rPr>
            </w:pPr>
            <w:r>
              <w:rPr>
                <w:sz w:val="20"/>
              </w:rPr>
              <w:t>0.37753173936669465</w:t>
            </w:r>
          </w:p>
        </w:tc>
        <w:tc>
          <w:tcPr>
            <w:tcW w:w="1417" w:type="dxa"/>
          </w:tcPr>
          <w:p w14:paraId="38314395" w14:textId="77777777" w:rsidR="0018599F" w:rsidRPr="00E9333E" w:rsidRDefault="0018599F" w:rsidP="0018599F">
            <w:pPr>
              <w:rPr>
                <w:sz w:val="20"/>
                <w:szCs w:val="20"/>
              </w:rPr>
            </w:pPr>
            <w:r>
              <w:rPr>
                <w:sz w:val="20"/>
              </w:rPr>
              <w:t>0.3889493507159503</w:t>
            </w:r>
          </w:p>
        </w:tc>
        <w:tc>
          <w:tcPr>
            <w:tcW w:w="1559" w:type="dxa"/>
          </w:tcPr>
          <w:p w14:paraId="54FA8D0F" w14:textId="77777777" w:rsidR="0018599F" w:rsidRPr="00E9333E" w:rsidRDefault="0018599F" w:rsidP="0018599F">
            <w:pPr>
              <w:rPr>
                <w:sz w:val="20"/>
                <w:szCs w:val="20"/>
              </w:rPr>
            </w:pPr>
            <w:r>
              <w:rPr>
                <w:sz w:val="20"/>
              </w:rPr>
              <w:t>0.37555810690139046</w:t>
            </w:r>
          </w:p>
        </w:tc>
        <w:tc>
          <w:tcPr>
            <w:tcW w:w="1560" w:type="dxa"/>
          </w:tcPr>
          <w:p w14:paraId="2B0261CD" w14:textId="77777777" w:rsidR="0018599F" w:rsidRPr="00E9333E" w:rsidRDefault="0018599F" w:rsidP="0018599F">
            <w:pPr>
              <w:rPr>
                <w:sz w:val="20"/>
                <w:szCs w:val="20"/>
              </w:rPr>
            </w:pPr>
            <w:r>
              <w:rPr>
                <w:sz w:val="20"/>
              </w:rPr>
              <w:t>0.3150690759338936</w:t>
            </w:r>
          </w:p>
        </w:tc>
        <w:tc>
          <w:tcPr>
            <w:tcW w:w="1559" w:type="dxa"/>
          </w:tcPr>
          <w:p w14:paraId="156EB7CA" w14:textId="77777777" w:rsidR="0018599F" w:rsidRPr="00E9333E" w:rsidRDefault="0018599F" w:rsidP="0018599F">
            <w:pPr>
              <w:rPr>
                <w:sz w:val="20"/>
                <w:szCs w:val="20"/>
              </w:rPr>
            </w:pPr>
            <w:r>
              <w:rPr>
                <w:sz w:val="20"/>
              </w:rPr>
              <w:t>0.29215025480848267</w:t>
            </w:r>
          </w:p>
        </w:tc>
      </w:tr>
      <w:tr w:rsidR="0018599F" w14:paraId="4884D79B" w14:textId="77777777" w:rsidTr="00901F5A">
        <w:trPr>
          <w:trHeight w:val="344"/>
        </w:trPr>
        <w:tc>
          <w:tcPr>
            <w:tcW w:w="2830" w:type="dxa"/>
          </w:tcPr>
          <w:p w14:paraId="73358104" w14:textId="77777777" w:rsidR="0018599F" w:rsidRPr="00E9333E" w:rsidRDefault="0018599F" w:rsidP="0018599F">
            <w:pPr>
              <w:rPr>
                <w:sz w:val="20"/>
                <w:szCs w:val="20"/>
              </w:rPr>
            </w:pPr>
            <w:r>
              <w:rPr>
                <w:sz w:val="20"/>
              </w:rPr>
              <w:t>Total Debt / Equity (x)</w:t>
            </w:r>
          </w:p>
        </w:tc>
        <w:tc>
          <w:tcPr>
            <w:tcW w:w="1560" w:type="dxa"/>
          </w:tcPr>
          <w:p w14:paraId="66A3687E" w14:textId="77777777" w:rsidR="0018599F" w:rsidRPr="00E9333E" w:rsidRDefault="0018599F" w:rsidP="0018599F">
            <w:pPr>
              <w:rPr>
                <w:sz w:val="20"/>
                <w:szCs w:val="20"/>
              </w:rPr>
            </w:pPr>
            <w:r>
              <w:rPr>
                <w:sz w:val="20"/>
              </w:rPr>
              <w:t>1.871439722064923</w:t>
            </w:r>
          </w:p>
        </w:tc>
        <w:tc>
          <w:tcPr>
            <w:tcW w:w="1417" w:type="dxa"/>
          </w:tcPr>
          <w:p w14:paraId="25EC9526" w14:textId="77777777" w:rsidR="0018599F" w:rsidRPr="00E9333E" w:rsidRDefault="0018599F" w:rsidP="0018599F">
            <w:pPr>
              <w:rPr>
                <w:sz w:val="20"/>
                <w:szCs w:val="20"/>
              </w:rPr>
            </w:pPr>
            <w:r>
              <w:rPr>
                <w:sz w:val="20"/>
              </w:rPr>
              <w:t>2.163924552226977</w:t>
            </w:r>
          </w:p>
        </w:tc>
        <w:tc>
          <w:tcPr>
            <w:tcW w:w="1559" w:type="dxa"/>
          </w:tcPr>
          <w:p w14:paraId="00229173" w14:textId="77777777" w:rsidR="0018599F" w:rsidRPr="00E9333E" w:rsidRDefault="0018599F" w:rsidP="0018599F">
            <w:pPr>
              <w:rPr>
                <w:sz w:val="20"/>
                <w:szCs w:val="20"/>
              </w:rPr>
            </w:pPr>
            <w:r>
              <w:rPr>
                <w:sz w:val="20"/>
              </w:rPr>
              <w:t>2.6144616356173036</w:t>
            </w:r>
          </w:p>
        </w:tc>
        <w:tc>
          <w:tcPr>
            <w:tcW w:w="1560" w:type="dxa"/>
          </w:tcPr>
          <w:p w14:paraId="4932968F" w14:textId="77777777" w:rsidR="0018599F" w:rsidRPr="00E9333E" w:rsidRDefault="0018599F" w:rsidP="0018599F">
            <w:pPr>
              <w:rPr>
                <w:sz w:val="20"/>
                <w:szCs w:val="20"/>
              </w:rPr>
            </w:pPr>
            <w:r>
              <w:rPr>
                <w:sz w:val="20"/>
              </w:rPr>
              <w:t>1.7875325845589418</w:t>
            </w:r>
          </w:p>
        </w:tc>
        <w:tc>
          <w:tcPr>
            <w:tcW w:w="1559" w:type="dxa"/>
          </w:tcPr>
          <w:p w14:paraId="34C6C51E" w14:textId="77777777" w:rsidR="0018599F" w:rsidRPr="00E9333E" w:rsidRDefault="0018599F" w:rsidP="0018599F">
            <w:pPr>
              <w:rPr>
                <w:sz w:val="20"/>
                <w:szCs w:val="20"/>
              </w:rPr>
            </w:pPr>
            <w:r>
              <w:rPr>
                <w:sz w:val="20"/>
              </w:rPr>
              <w:t>1.872326602282704</w:t>
            </w:r>
          </w:p>
        </w:tc>
      </w:tr>
    </w:tbl>
    <w:p w14:paraId="2B5028A1" w14:textId="77777777" w:rsidR="7CF4F754" w:rsidRDefault="7CF4F754"/>
    <w:sectPr w:rsidR="7CF4F754" w:rsidSect="00814A20">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700BB9"/>
    <w:rsid w:val="00037170"/>
    <w:rsid w:val="000C01A0"/>
    <w:rsid w:val="00171F0F"/>
    <w:rsid w:val="0018599F"/>
    <w:rsid w:val="001D5CD5"/>
    <w:rsid w:val="001E27D0"/>
    <w:rsid w:val="002466A3"/>
    <w:rsid w:val="002F4DCD"/>
    <w:rsid w:val="00335A1F"/>
    <w:rsid w:val="003A23CE"/>
    <w:rsid w:val="004C194B"/>
    <w:rsid w:val="004D6418"/>
    <w:rsid w:val="00511CA7"/>
    <w:rsid w:val="00646ECB"/>
    <w:rsid w:val="0075594E"/>
    <w:rsid w:val="00814A20"/>
    <w:rsid w:val="0088490A"/>
    <w:rsid w:val="00892500"/>
    <w:rsid w:val="00901F5A"/>
    <w:rsid w:val="00970E25"/>
    <w:rsid w:val="009814F2"/>
    <w:rsid w:val="009843AE"/>
    <w:rsid w:val="00B10B8C"/>
    <w:rsid w:val="00B33929"/>
    <w:rsid w:val="00B85CF6"/>
    <w:rsid w:val="00C014D8"/>
    <w:rsid w:val="00C21F68"/>
    <w:rsid w:val="00C82EC7"/>
    <w:rsid w:val="00D53FCC"/>
    <w:rsid w:val="00D56CD8"/>
    <w:rsid w:val="00D84B1D"/>
    <w:rsid w:val="00E9333E"/>
    <w:rsid w:val="00F034A7"/>
    <w:rsid w:val="00F0563B"/>
    <w:rsid w:val="00F44142"/>
    <w:rsid w:val="00F55503"/>
    <w:rsid w:val="00F576B2"/>
    <w:rsid w:val="00FC06A2"/>
    <w:rsid w:val="00FE6CD2"/>
    <w:rsid w:val="01620197"/>
    <w:rsid w:val="01AC39D1"/>
    <w:rsid w:val="02A1F143"/>
    <w:rsid w:val="032556F0"/>
    <w:rsid w:val="03C9C71C"/>
    <w:rsid w:val="04698A7C"/>
    <w:rsid w:val="04AD03AB"/>
    <w:rsid w:val="0530AEC4"/>
    <w:rsid w:val="07679597"/>
    <w:rsid w:val="086C44CB"/>
    <w:rsid w:val="08E1D9DD"/>
    <w:rsid w:val="0929E372"/>
    <w:rsid w:val="0A3DDB64"/>
    <w:rsid w:val="0A4E0224"/>
    <w:rsid w:val="0A977C39"/>
    <w:rsid w:val="0B5E11DB"/>
    <w:rsid w:val="0DEA8B46"/>
    <w:rsid w:val="0E3D38A8"/>
    <w:rsid w:val="1000A47B"/>
    <w:rsid w:val="1093420A"/>
    <w:rsid w:val="11A05AFE"/>
    <w:rsid w:val="11DB569A"/>
    <w:rsid w:val="1322A011"/>
    <w:rsid w:val="1336AB9A"/>
    <w:rsid w:val="134B1C5E"/>
    <w:rsid w:val="14E21C4F"/>
    <w:rsid w:val="15139EB6"/>
    <w:rsid w:val="1654175C"/>
    <w:rsid w:val="1C3393A8"/>
    <w:rsid w:val="1D099C86"/>
    <w:rsid w:val="1D3BD527"/>
    <w:rsid w:val="1D7E2A0A"/>
    <w:rsid w:val="1E7AF6EF"/>
    <w:rsid w:val="1F3F3A4B"/>
    <w:rsid w:val="1FA687EF"/>
    <w:rsid w:val="1FA7FF6B"/>
    <w:rsid w:val="20DBEB86"/>
    <w:rsid w:val="216BAEEB"/>
    <w:rsid w:val="22355DA5"/>
    <w:rsid w:val="22D15D63"/>
    <w:rsid w:val="23C0B113"/>
    <w:rsid w:val="24AB365F"/>
    <w:rsid w:val="255A238A"/>
    <w:rsid w:val="2651E8AD"/>
    <w:rsid w:val="26E22E37"/>
    <w:rsid w:val="278B278E"/>
    <w:rsid w:val="27E7C65E"/>
    <w:rsid w:val="28ECA05F"/>
    <w:rsid w:val="29700BB9"/>
    <w:rsid w:val="29D4D06F"/>
    <w:rsid w:val="29FD5243"/>
    <w:rsid w:val="2A847226"/>
    <w:rsid w:val="2D2EE7A4"/>
    <w:rsid w:val="2D4388F9"/>
    <w:rsid w:val="2D67F94B"/>
    <w:rsid w:val="2D867DA1"/>
    <w:rsid w:val="30F08091"/>
    <w:rsid w:val="32395F2E"/>
    <w:rsid w:val="325BE3B2"/>
    <w:rsid w:val="33B30DD3"/>
    <w:rsid w:val="34D99C98"/>
    <w:rsid w:val="362F9D21"/>
    <w:rsid w:val="391C3FF3"/>
    <w:rsid w:val="39DFC779"/>
    <w:rsid w:val="3AA3A9A4"/>
    <w:rsid w:val="3AB41AE5"/>
    <w:rsid w:val="3B56D5C5"/>
    <w:rsid w:val="3BD05D5F"/>
    <w:rsid w:val="3CC42243"/>
    <w:rsid w:val="3DBE02D3"/>
    <w:rsid w:val="3DEC8192"/>
    <w:rsid w:val="3EEEC673"/>
    <w:rsid w:val="4081D876"/>
    <w:rsid w:val="40E09DC3"/>
    <w:rsid w:val="420D3D14"/>
    <w:rsid w:val="431019F1"/>
    <w:rsid w:val="44FE087E"/>
    <w:rsid w:val="462B5202"/>
    <w:rsid w:val="46B48BE1"/>
    <w:rsid w:val="46DED304"/>
    <w:rsid w:val="47002FEA"/>
    <w:rsid w:val="47635AB5"/>
    <w:rsid w:val="48BD6103"/>
    <w:rsid w:val="4BCB99B1"/>
    <w:rsid w:val="4CF0181F"/>
    <w:rsid w:val="4E752B16"/>
    <w:rsid w:val="4F477EB8"/>
    <w:rsid w:val="4FCC7555"/>
    <w:rsid w:val="50FD47C1"/>
    <w:rsid w:val="54957DA1"/>
    <w:rsid w:val="54A85B24"/>
    <w:rsid w:val="57680330"/>
    <w:rsid w:val="583674E1"/>
    <w:rsid w:val="59B1C5E6"/>
    <w:rsid w:val="5ACB8542"/>
    <w:rsid w:val="5C366413"/>
    <w:rsid w:val="5F6F82DF"/>
    <w:rsid w:val="5FF83D0E"/>
    <w:rsid w:val="617ED4D6"/>
    <w:rsid w:val="61B442B0"/>
    <w:rsid w:val="6297A046"/>
    <w:rsid w:val="62EDF4B6"/>
    <w:rsid w:val="63498301"/>
    <w:rsid w:val="63656E3F"/>
    <w:rsid w:val="638D3063"/>
    <w:rsid w:val="6518F441"/>
    <w:rsid w:val="65CAA093"/>
    <w:rsid w:val="660F04E4"/>
    <w:rsid w:val="665EC873"/>
    <w:rsid w:val="668383C4"/>
    <w:rsid w:val="6835424B"/>
    <w:rsid w:val="68677A4F"/>
    <w:rsid w:val="68907781"/>
    <w:rsid w:val="6933A844"/>
    <w:rsid w:val="6936120E"/>
    <w:rsid w:val="69BC5C05"/>
    <w:rsid w:val="6A707E6A"/>
    <w:rsid w:val="6DD11100"/>
    <w:rsid w:val="6DF2C606"/>
    <w:rsid w:val="6EA2A1FB"/>
    <w:rsid w:val="7021D25E"/>
    <w:rsid w:val="7092BA1E"/>
    <w:rsid w:val="7114E92B"/>
    <w:rsid w:val="71C5CB77"/>
    <w:rsid w:val="720987A7"/>
    <w:rsid w:val="72E428C9"/>
    <w:rsid w:val="73B31560"/>
    <w:rsid w:val="75DBED20"/>
    <w:rsid w:val="7619DC50"/>
    <w:rsid w:val="76E5752B"/>
    <w:rsid w:val="7700588C"/>
    <w:rsid w:val="781B52B2"/>
    <w:rsid w:val="79207FA7"/>
    <w:rsid w:val="79ADD90C"/>
    <w:rsid w:val="7A88A2F6"/>
    <w:rsid w:val="7C702B68"/>
    <w:rsid w:val="7CE253F0"/>
    <w:rsid w:val="7CF4F754"/>
    <w:rsid w:val="7DCF2A23"/>
    <w:rsid w:val="7E3F0E36"/>
    <w:rsid w:val="7E5D2718"/>
    <w:rsid w:val="7EA679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DA631"/>
  <w15:chartTrackingRefBased/>
  <w15:docId w15:val="{CB599EFE-96A9-43D3-9812-C467FE75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814A20"/>
    <w:pPr>
      <w:spacing w:after="200" w:line="240" w:lineRule="auto"/>
    </w:pPr>
    <w:rPr>
      <w:i/>
      <w:iCs/>
      <w:color w:val="0E2841" w:themeColor="text2"/>
      <w:sz w:val="18"/>
      <w:szCs w:val="18"/>
    </w:rPr>
  </w:style>
  <w:style w:type="paragraph" w:styleId="NormalWeb">
    <w:name w:val="Normal (Web)"/>
    <w:basedOn w:val="Normal"/>
    <w:uiPriority w:val="99"/>
    <w:unhideWhenUsed/>
    <w:rsid w:val="00335A1F"/>
    <w:pPr>
      <w:spacing w:before="100" w:beforeAutospacing="1" w:after="100" w:afterAutospacing="1" w:line="240" w:lineRule="auto"/>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7199">
      <w:bodyDiv w:val="1"/>
      <w:marLeft w:val="0"/>
      <w:marRight w:val="0"/>
      <w:marTop w:val="0"/>
      <w:marBottom w:val="0"/>
      <w:divBdr>
        <w:top w:val="none" w:sz="0" w:space="0" w:color="auto"/>
        <w:left w:val="none" w:sz="0" w:space="0" w:color="auto"/>
        <w:bottom w:val="none" w:sz="0" w:space="0" w:color="auto"/>
        <w:right w:val="none" w:sz="0" w:space="0" w:color="auto"/>
      </w:divBdr>
      <w:divsChild>
        <w:div w:id="992220125">
          <w:marLeft w:val="0"/>
          <w:marRight w:val="0"/>
          <w:marTop w:val="0"/>
          <w:marBottom w:val="0"/>
          <w:divBdr>
            <w:top w:val="none" w:sz="0" w:space="0" w:color="auto"/>
            <w:left w:val="none" w:sz="0" w:space="0" w:color="auto"/>
            <w:bottom w:val="none" w:sz="0" w:space="0" w:color="auto"/>
            <w:right w:val="none" w:sz="0" w:space="0" w:color="auto"/>
          </w:divBdr>
          <w:divsChild>
            <w:div w:id="140394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8980">
      <w:bodyDiv w:val="1"/>
      <w:marLeft w:val="0"/>
      <w:marRight w:val="0"/>
      <w:marTop w:val="0"/>
      <w:marBottom w:val="0"/>
      <w:divBdr>
        <w:top w:val="none" w:sz="0" w:space="0" w:color="auto"/>
        <w:left w:val="none" w:sz="0" w:space="0" w:color="auto"/>
        <w:bottom w:val="none" w:sz="0" w:space="0" w:color="auto"/>
        <w:right w:val="none" w:sz="0" w:space="0" w:color="auto"/>
      </w:divBdr>
      <w:divsChild>
        <w:div w:id="1577863925">
          <w:marLeft w:val="0"/>
          <w:marRight w:val="0"/>
          <w:marTop w:val="0"/>
          <w:marBottom w:val="0"/>
          <w:divBdr>
            <w:top w:val="none" w:sz="0" w:space="0" w:color="auto"/>
            <w:left w:val="none" w:sz="0" w:space="0" w:color="auto"/>
            <w:bottom w:val="none" w:sz="0" w:space="0" w:color="auto"/>
            <w:right w:val="none" w:sz="0" w:space="0" w:color="auto"/>
          </w:divBdr>
          <w:divsChild>
            <w:div w:id="106155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9833">
      <w:bodyDiv w:val="1"/>
      <w:marLeft w:val="0"/>
      <w:marRight w:val="0"/>
      <w:marTop w:val="0"/>
      <w:marBottom w:val="0"/>
      <w:divBdr>
        <w:top w:val="none" w:sz="0" w:space="0" w:color="auto"/>
        <w:left w:val="none" w:sz="0" w:space="0" w:color="auto"/>
        <w:bottom w:val="none" w:sz="0" w:space="0" w:color="auto"/>
        <w:right w:val="none" w:sz="0" w:space="0" w:color="auto"/>
      </w:divBdr>
      <w:divsChild>
        <w:div w:id="1762876414">
          <w:marLeft w:val="0"/>
          <w:marRight w:val="0"/>
          <w:marTop w:val="0"/>
          <w:marBottom w:val="0"/>
          <w:divBdr>
            <w:top w:val="none" w:sz="0" w:space="0" w:color="auto"/>
            <w:left w:val="none" w:sz="0" w:space="0" w:color="auto"/>
            <w:bottom w:val="none" w:sz="0" w:space="0" w:color="auto"/>
            <w:right w:val="none" w:sz="0" w:space="0" w:color="auto"/>
          </w:divBdr>
          <w:divsChild>
            <w:div w:id="1438258791">
              <w:marLeft w:val="0"/>
              <w:marRight w:val="0"/>
              <w:marTop w:val="0"/>
              <w:marBottom w:val="0"/>
              <w:divBdr>
                <w:top w:val="none" w:sz="0" w:space="0" w:color="auto"/>
                <w:left w:val="none" w:sz="0" w:space="0" w:color="auto"/>
                <w:bottom w:val="none" w:sz="0" w:space="0" w:color="auto"/>
                <w:right w:val="none" w:sz="0" w:space="0" w:color="auto"/>
              </w:divBdr>
              <w:divsChild>
                <w:div w:id="16518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3463">
      <w:bodyDiv w:val="1"/>
      <w:marLeft w:val="0"/>
      <w:marRight w:val="0"/>
      <w:marTop w:val="0"/>
      <w:marBottom w:val="0"/>
      <w:divBdr>
        <w:top w:val="none" w:sz="0" w:space="0" w:color="auto"/>
        <w:left w:val="none" w:sz="0" w:space="0" w:color="auto"/>
        <w:bottom w:val="none" w:sz="0" w:space="0" w:color="auto"/>
        <w:right w:val="none" w:sz="0" w:space="0" w:color="auto"/>
      </w:divBdr>
      <w:divsChild>
        <w:div w:id="416749895">
          <w:marLeft w:val="0"/>
          <w:marRight w:val="0"/>
          <w:marTop w:val="0"/>
          <w:marBottom w:val="0"/>
          <w:divBdr>
            <w:top w:val="none" w:sz="0" w:space="0" w:color="auto"/>
            <w:left w:val="none" w:sz="0" w:space="0" w:color="auto"/>
            <w:bottom w:val="none" w:sz="0" w:space="0" w:color="auto"/>
            <w:right w:val="none" w:sz="0" w:space="0" w:color="auto"/>
          </w:divBdr>
          <w:divsChild>
            <w:div w:id="1849363968">
              <w:marLeft w:val="0"/>
              <w:marRight w:val="0"/>
              <w:marTop w:val="0"/>
              <w:marBottom w:val="0"/>
              <w:divBdr>
                <w:top w:val="none" w:sz="0" w:space="0" w:color="auto"/>
                <w:left w:val="none" w:sz="0" w:space="0" w:color="auto"/>
                <w:bottom w:val="none" w:sz="0" w:space="0" w:color="auto"/>
                <w:right w:val="none" w:sz="0" w:space="0" w:color="auto"/>
              </w:divBdr>
              <w:divsChild>
                <w:div w:id="6991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693901">
      <w:bodyDiv w:val="1"/>
      <w:marLeft w:val="0"/>
      <w:marRight w:val="0"/>
      <w:marTop w:val="0"/>
      <w:marBottom w:val="0"/>
      <w:divBdr>
        <w:top w:val="none" w:sz="0" w:space="0" w:color="auto"/>
        <w:left w:val="none" w:sz="0" w:space="0" w:color="auto"/>
        <w:bottom w:val="none" w:sz="0" w:space="0" w:color="auto"/>
        <w:right w:val="none" w:sz="0" w:space="0" w:color="auto"/>
      </w:divBdr>
      <w:divsChild>
        <w:div w:id="1608804335">
          <w:marLeft w:val="0"/>
          <w:marRight w:val="0"/>
          <w:marTop w:val="0"/>
          <w:marBottom w:val="0"/>
          <w:divBdr>
            <w:top w:val="none" w:sz="0" w:space="0" w:color="auto"/>
            <w:left w:val="none" w:sz="0" w:space="0" w:color="auto"/>
            <w:bottom w:val="none" w:sz="0" w:space="0" w:color="auto"/>
            <w:right w:val="none" w:sz="0" w:space="0" w:color="auto"/>
          </w:divBdr>
          <w:divsChild>
            <w:div w:id="1872911435">
              <w:marLeft w:val="0"/>
              <w:marRight w:val="0"/>
              <w:marTop w:val="0"/>
              <w:marBottom w:val="0"/>
              <w:divBdr>
                <w:top w:val="none" w:sz="0" w:space="0" w:color="auto"/>
                <w:left w:val="none" w:sz="0" w:space="0" w:color="auto"/>
                <w:bottom w:val="none" w:sz="0" w:space="0" w:color="auto"/>
                <w:right w:val="none" w:sz="0" w:space="0" w:color="auto"/>
              </w:divBdr>
              <w:divsChild>
                <w:div w:id="205280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3822">
      <w:bodyDiv w:val="1"/>
      <w:marLeft w:val="0"/>
      <w:marRight w:val="0"/>
      <w:marTop w:val="0"/>
      <w:marBottom w:val="0"/>
      <w:divBdr>
        <w:top w:val="none" w:sz="0" w:space="0" w:color="auto"/>
        <w:left w:val="none" w:sz="0" w:space="0" w:color="auto"/>
        <w:bottom w:val="none" w:sz="0" w:space="0" w:color="auto"/>
        <w:right w:val="none" w:sz="0" w:space="0" w:color="auto"/>
      </w:divBdr>
      <w:divsChild>
        <w:div w:id="845905348">
          <w:marLeft w:val="0"/>
          <w:marRight w:val="0"/>
          <w:marTop w:val="0"/>
          <w:marBottom w:val="0"/>
          <w:divBdr>
            <w:top w:val="none" w:sz="0" w:space="0" w:color="auto"/>
            <w:left w:val="none" w:sz="0" w:space="0" w:color="auto"/>
            <w:bottom w:val="none" w:sz="0" w:space="0" w:color="auto"/>
            <w:right w:val="none" w:sz="0" w:space="0" w:color="auto"/>
          </w:divBdr>
          <w:divsChild>
            <w:div w:id="1968780870">
              <w:marLeft w:val="0"/>
              <w:marRight w:val="0"/>
              <w:marTop w:val="0"/>
              <w:marBottom w:val="0"/>
              <w:divBdr>
                <w:top w:val="none" w:sz="0" w:space="0" w:color="auto"/>
                <w:left w:val="none" w:sz="0" w:space="0" w:color="auto"/>
                <w:bottom w:val="none" w:sz="0" w:space="0" w:color="auto"/>
                <w:right w:val="none" w:sz="0" w:space="0" w:color="auto"/>
              </w:divBdr>
              <w:divsChild>
                <w:div w:id="8720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Yoon</dc:creator>
  <cp:keywords/>
  <dc:description/>
  <cp:lastModifiedBy>Michael Yoon</cp:lastModifiedBy>
  <cp:revision>40</cp:revision>
  <dcterms:created xsi:type="dcterms:W3CDTF">2025-03-28T20:06:00Z</dcterms:created>
  <dcterms:modified xsi:type="dcterms:W3CDTF">2025-04-01T15:27:00Z</dcterms:modified>
</cp:coreProperties>
</file>