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4B3A4" w14:textId="77777777" w:rsidR="00CD3903" w:rsidRDefault="000835AF" w:rsidP="00FE756F">
      <w:pPr>
        <w:pStyle w:val="BlockText"/>
      </w:pPr>
      <w:bookmarkStart w:id="0" w:name="_GoBack"/>
      <w:bookmarkEnd w:id="0"/>
      <w:r>
        <w:rPr>
          <w:noProof/>
          <w:lang w:val="en-NZ" w:eastAsia="en-NZ"/>
        </w:rPr>
        <w:drawing>
          <wp:anchor distT="0" distB="0" distL="114300" distR="114300" simplePos="0" relativeHeight="251660288" behindDoc="1" locked="0" layoutInCell="1" allowOverlap="1" wp14:anchorId="27715E28" wp14:editId="4335F1DB">
            <wp:simplePos x="0" y="0"/>
            <wp:positionH relativeFrom="column">
              <wp:posOffset>-796290</wp:posOffset>
            </wp:positionH>
            <wp:positionV relativeFrom="paragraph">
              <wp:posOffset>-1444625</wp:posOffset>
            </wp:positionV>
            <wp:extent cx="7658100" cy="1676400"/>
            <wp:effectExtent l="0" t="0" r="0" b="0"/>
            <wp:wrapNone/>
            <wp:docPr id="17" name="Picture 17" descr="MIT head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T header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5810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2"/>
          <w:lang w:val="en-NZ" w:eastAsia="en-NZ"/>
        </w:rPr>
        <mc:AlternateContent>
          <mc:Choice Requires="wps">
            <w:drawing>
              <wp:anchor distT="0" distB="0" distL="114300" distR="114300" simplePos="0" relativeHeight="251655168" behindDoc="0" locked="0" layoutInCell="1" allowOverlap="1" wp14:anchorId="078C49C9" wp14:editId="2BF754B9">
                <wp:simplePos x="0" y="0"/>
                <wp:positionH relativeFrom="column">
                  <wp:posOffset>0</wp:posOffset>
                </wp:positionH>
                <wp:positionV relativeFrom="paragraph">
                  <wp:posOffset>-914400</wp:posOffset>
                </wp:positionV>
                <wp:extent cx="4000500" cy="914400"/>
                <wp:effectExtent l="0" t="0" r="3810" b="317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0140F" w14:textId="7FB0096F" w:rsidR="00CD2431" w:rsidRPr="000C4EE8" w:rsidRDefault="00CD2431" w:rsidP="00892EF9">
                            <w:pPr>
                              <w:pStyle w:val="DocumentTitle"/>
                              <w:rPr>
                                <w:lang w:val="en-AU"/>
                              </w:rPr>
                            </w:pPr>
                            <w:r>
                              <w:rPr>
                                <w:lang w:val="en-AU"/>
                              </w:rPr>
                              <w:t xml:space="preserve">Cloud Computing Policy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C49C9" id="_x0000_t202" coordsize="21600,21600" o:spt="202" path="m,l,21600r21600,l21600,xe">
                <v:stroke joinstyle="miter"/>
                <v:path gradientshapeok="t" o:connecttype="rect"/>
              </v:shapetype>
              <v:shape id="Text Box 8" o:spid="_x0000_s1026" type="#_x0000_t202" style="position:absolute;left:0;text-align:left;margin-left:0;margin-top:-1in;width:315pt;height:1in;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" filled="f" stroked="f">
                <v:textbox inset=",7.2pt,,7.2pt">
                  <w:txbxContent>
                    <w:p w14:paraId="1190140F" w14:textId="7FB0096F" w:rsidR="00CD2431" w:rsidRPr="000C4EE8" w:rsidRDefault="00CD2431" w:rsidP="00892EF9">
                      <w:pPr>
                        <w:pStyle w:val="DocumentTitle"/>
                        <w:rPr>
                          <w:lang w:val="en-AU"/>
                        </w:rPr>
                      </w:pPr>
                      <w:r>
                        <w:rPr>
                          <w:lang w:val="en-AU"/>
                        </w:rPr>
                        <w:t xml:space="preserve">Cloud Computing Policy </w:t>
                      </w:r>
                    </w:p>
                  </w:txbxContent>
                </v:textbox>
              </v:shape>
            </w:pict>
          </mc:Fallback>
        </mc:AlternateContent>
      </w:r>
    </w:p>
    <w:bookmarkStart w:id="1" w:name="_Toc446335355" w:displacedByCustomXml="next"/>
    <w:sdt>
      <w:sdtPr>
        <w:alias w:val=" "/>
        <w:tag w:val=" "/>
        <w:id w:val="2056115524"/>
        <w:lock w:val="sdtContentLocked"/>
        <w:placeholder>
          <w:docPart w:val="A5E80BCE747D46D281BB8FDE7ADE9EC5"/>
        </w:placeholder>
      </w:sdtPr>
      <w:sdtEndPr/>
      <w:sdtContent>
        <w:p w14:paraId="377C789D" w14:textId="77777777" w:rsidR="0028594D" w:rsidRPr="0028594D" w:rsidRDefault="0028594D" w:rsidP="0028594D">
          <w:pPr>
            <w:pStyle w:val="Heading1"/>
          </w:pPr>
          <w:r w:rsidRPr="0028594D">
            <w:t>Audience and scope</w:t>
          </w:r>
          <w:r w:rsidR="00244822">
            <w:t>:</w:t>
          </w:r>
        </w:p>
      </w:sdtContent>
    </w:sdt>
    <w:bookmarkEnd w:id="1" w:displacedByCustomXml="prev"/>
    <w:p w14:paraId="3D2BF74D" w14:textId="77777777" w:rsidR="00A41EE7" w:rsidRDefault="00A41EE7" w:rsidP="00A41EE7">
      <w:pPr>
        <w:pStyle w:val="HeadingLine"/>
      </w:pPr>
    </w:p>
    <w:p w14:paraId="2B699075" w14:textId="5C423954" w:rsidR="00F72E54" w:rsidRPr="00E4373D" w:rsidRDefault="00F72E54" w:rsidP="00F72E54">
      <w:pPr>
        <w:pStyle w:val="BlockText"/>
        <w:ind w:left="0"/>
      </w:pPr>
      <w:r w:rsidRPr="0002540A">
        <w:t>This</w:t>
      </w:r>
      <w:r>
        <w:t xml:space="preserve"> policy is relevant to all </w:t>
      </w:r>
      <w:r w:rsidR="00744F58">
        <w:t>staff, student</w:t>
      </w:r>
      <w:r w:rsidR="009E02C1">
        <w:t>s</w:t>
      </w:r>
      <w:r w:rsidR="00744F58">
        <w:t xml:space="preserve"> and other users of computer systems owned or managed by MIT</w:t>
      </w:r>
      <w:r w:rsidR="000E060B">
        <w:t xml:space="preserve"> and EnterpriseMIT</w:t>
      </w:r>
      <w:r>
        <w:t xml:space="preserve">. </w:t>
      </w:r>
    </w:p>
    <w:bookmarkStart w:id="2" w:name="_Toc321125835" w:displacedByCustomXml="next"/>
    <w:bookmarkStart w:id="3" w:name="_Toc321122934" w:displacedByCustomXml="next"/>
    <w:bookmarkStart w:id="4" w:name="_Toc446335356" w:displacedByCustomXml="next"/>
    <w:sdt>
      <w:sdtPr>
        <w:id w:val="-1946766935"/>
        <w:lock w:val="sdtContentLocked"/>
        <w:placeholder>
          <w:docPart w:val="A5E80BCE747D46D281BB8FDE7ADE9EC5"/>
        </w:placeholder>
      </w:sdtPr>
      <w:sdtEndPr/>
      <w:sdtContent>
        <w:p w14:paraId="61B25F58" w14:textId="77777777" w:rsidR="00CD3903" w:rsidRPr="00126BF0" w:rsidRDefault="00CD3903" w:rsidP="00AF2146">
          <w:pPr>
            <w:pStyle w:val="Heading3"/>
          </w:pPr>
          <w:r w:rsidRPr="00126BF0">
            <w:t>Document management and control</w:t>
          </w:r>
        </w:p>
        <w:bookmarkEnd w:id="2" w:displacedByCustomXml="next"/>
        <w:bookmarkEnd w:id="3" w:displacedByCustomXml="next"/>
      </w:sdtContent>
    </w:sdt>
    <w:bookmarkEnd w:id="4" w:displacedByCustomXml="prev"/>
    <w:tbl>
      <w:tblPr>
        <w:tblW w:w="9720" w:type="dxa"/>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1E0" w:firstRow="1" w:lastRow="1" w:firstColumn="1" w:lastColumn="1" w:noHBand="0" w:noVBand="0"/>
      </w:tblPr>
      <w:tblGrid>
        <w:gridCol w:w="2520"/>
        <w:gridCol w:w="2520"/>
        <w:gridCol w:w="2340"/>
        <w:gridCol w:w="2340"/>
      </w:tblGrid>
      <w:tr w:rsidR="00F72E54" w14:paraId="5EB2B195" w14:textId="77777777">
        <w:tc>
          <w:tcPr>
            <w:tcW w:w="2520" w:type="dxa"/>
            <w:shd w:val="clear" w:color="auto" w:fill="808080"/>
          </w:tcPr>
          <w:sdt>
            <w:sdtPr>
              <w:id w:val="1510953903"/>
              <w:lock w:val="sdtContentLocked"/>
              <w:placeholder>
                <w:docPart w:val="537C64B4A4BFF849913596D4541DDDA0"/>
              </w:placeholder>
            </w:sdtPr>
            <w:sdtEndPr/>
            <w:sdtContent>
              <w:p w14:paraId="130092E1" w14:textId="77777777" w:rsidR="00F72E54" w:rsidRPr="00892EF9" w:rsidRDefault="00F72E54" w:rsidP="00F42189">
                <w:pPr>
                  <w:pStyle w:val="TableHdg"/>
                </w:pPr>
                <w:r w:rsidRPr="00892EF9">
                  <w:t>Policy Number</w:t>
                </w:r>
              </w:p>
            </w:sdtContent>
          </w:sdt>
        </w:tc>
        <w:tc>
          <w:tcPr>
            <w:tcW w:w="2520" w:type="dxa"/>
            <w:shd w:val="clear" w:color="auto" w:fill="auto"/>
          </w:tcPr>
          <w:p w14:paraId="180F8866" w14:textId="058380A9" w:rsidR="00F72E54" w:rsidRDefault="00F72E54" w:rsidP="00892EF9">
            <w:pPr>
              <w:pStyle w:val="TableText"/>
            </w:pPr>
            <w:bookmarkStart w:id="5" w:name="PolicyNumber"/>
            <w:bookmarkEnd w:id="5"/>
            <w:r>
              <w:t>ICT2</w:t>
            </w:r>
          </w:p>
        </w:tc>
        <w:tc>
          <w:tcPr>
            <w:tcW w:w="2340" w:type="dxa"/>
            <w:shd w:val="clear" w:color="auto" w:fill="808080"/>
          </w:tcPr>
          <w:sdt>
            <w:sdtPr>
              <w:id w:val="1899159345"/>
              <w:lock w:val="sdtContentLocked"/>
              <w:placeholder>
                <w:docPart w:val="537C64B4A4BFF849913596D4541DDDA0"/>
              </w:placeholder>
            </w:sdtPr>
            <w:sdtEndPr/>
            <w:sdtContent>
              <w:p w14:paraId="26F06F8C" w14:textId="77777777" w:rsidR="00F72E54" w:rsidRPr="00892EF9" w:rsidRDefault="00F72E54" w:rsidP="00892EF9">
                <w:pPr>
                  <w:pStyle w:val="TableHdg"/>
                </w:pPr>
                <w:r w:rsidRPr="00892EF9">
                  <w:t>Consultation Scope</w:t>
                </w:r>
              </w:p>
            </w:sdtContent>
          </w:sdt>
        </w:tc>
        <w:tc>
          <w:tcPr>
            <w:tcW w:w="2340" w:type="dxa"/>
            <w:shd w:val="clear" w:color="auto" w:fill="auto"/>
          </w:tcPr>
          <w:p w14:paraId="70F41411" w14:textId="3046EB2E" w:rsidR="00F72E54" w:rsidRDefault="00F72E54" w:rsidP="00CD3903">
            <w:pPr>
              <w:pStyle w:val="TableText"/>
            </w:pPr>
            <w:r>
              <w:t>Senior Leaders, Leadership Team</w:t>
            </w:r>
          </w:p>
        </w:tc>
      </w:tr>
      <w:tr w:rsidR="00F72E54" w:rsidRPr="00767485" w14:paraId="60AEB042" w14:textId="77777777">
        <w:tc>
          <w:tcPr>
            <w:tcW w:w="2520" w:type="dxa"/>
            <w:shd w:val="clear" w:color="auto" w:fill="808080"/>
          </w:tcPr>
          <w:sdt>
            <w:sdtPr>
              <w:id w:val="-81836599"/>
              <w:lock w:val="sdtContentLocked"/>
              <w:placeholder>
                <w:docPart w:val="537C64B4A4BFF849913596D4541DDDA0"/>
              </w:placeholder>
            </w:sdtPr>
            <w:sdtEndPr/>
            <w:sdtContent>
              <w:p w14:paraId="08538011" w14:textId="77777777" w:rsidR="00F72E54" w:rsidRPr="00892EF9" w:rsidRDefault="00F72E54" w:rsidP="00892EF9">
                <w:pPr>
                  <w:pStyle w:val="TableHdg"/>
                </w:pPr>
                <w:r w:rsidRPr="00892EF9">
                  <w:t>Category</w:t>
                </w:r>
              </w:p>
            </w:sdtContent>
          </w:sdt>
        </w:tc>
        <w:tc>
          <w:tcPr>
            <w:tcW w:w="2520" w:type="dxa"/>
            <w:shd w:val="clear" w:color="auto" w:fill="auto"/>
          </w:tcPr>
          <w:p w14:paraId="0664C4FA" w14:textId="20EB90EA" w:rsidR="00F72E54" w:rsidRDefault="00F72E54" w:rsidP="00CD3903">
            <w:pPr>
              <w:pStyle w:val="TableText"/>
            </w:pPr>
            <w:r>
              <w:t xml:space="preserve">Management </w:t>
            </w:r>
          </w:p>
        </w:tc>
        <w:tc>
          <w:tcPr>
            <w:tcW w:w="2340" w:type="dxa"/>
            <w:shd w:val="clear" w:color="auto" w:fill="808080"/>
          </w:tcPr>
          <w:sdt>
            <w:sdtPr>
              <w:id w:val="816686211"/>
              <w:lock w:val="sdtContentLocked"/>
              <w:placeholder>
                <w:docPart w:val="537C64B4A4BFF849913596D4541DDDA0"/>
              </w:placeholder>
            </w:sdtPr>
            <w:sdtEndPr/>
            <w:sdtContent>
              <w:p w14:paraId="62E55228" w14:textId="77777777" w:rsidR="00F72E54" w:rsidRPr="00892EF9" w:rsidRDefault="00F72E54" w:rsidP="00596EDE">
                <w:pPr>
                  <w:pStyle w:val="TableHdg"/>
                </w:pPr>
                <w:r w:rsidRPr="00892EF9">
                  <w:t>Approval</w:t>
                </w:r>
                <w:r>
                  <w:t xml:space="preserve"> Bodies</w:t>
                </w:r>
                <w:r w:rsidRPr="00892EF9">
                  <w:t xml:space="preserve"> </w:t>
                </w:r>
              </w:p>
            </w:sdtContent>
          </w:sdt>
        </w:tc>
        <w:tc>
          <w:tcPr>
            <w:tcW w:w="2340" w:type="dxa"/>
            <w:shd w:val="clear" w:color="auto" w:fill="auto"/>
          </w:tcPr>
          <w:p w14:paraId="128DB03C" w14:textId="2BB90C51" w:rsidR="00F72E54" w:rsidRDefault="00F72E54" w:rsidP="00CD3903">
            <w:pPr>
              <w:pStyle w:val="TableText"/>
            </w:pPr>
            <w:r>
              <w:t>Chief Executive</w:t>
            </w:r>
          </w:p>
        </w:tc>
      </w:tr>
      <w:tr w:rsidR="00F72E54" w:rsidRPr="00767485" w14:paraId="10EEF02D" w14:textId="77777777">
        <w:tc>
          <w:tcPr>
            <w:tcW w:w="2520" w:type="dxa"/>
            <w:shd w:val="clear" w:color="auto" w:fill="808080"/>
          </w:tcPr>
          <w:sdt>
            <w:sdtPr>
              <w:id w:val="170838147"/>
              <w:lock w:val="sdtContentLocked"/>
              <w:placeholder>
                <w:docPart w:val="64A09A2700E3BE4392A5308499B36AF9"/>
              </w:placeholder>
            </w:sdtPr>
            <w:sdtEndPr/>
            <w:sdtContent>
              <w:p w14:paraId="28ACB23D" w14:textId="77777777" w:rsidR="00F72E54" w:rsidRPr="00892EF9" w:rsidRDefault="00F72E54" w:rsidP="00892EF9">
                <w:pPr>
                  <w:pStyle w:val="TableHdg"/>
                </w:pPr>
                <w:r w:rsidRPr="00892EF9">
                  <w:t>Policy Owner</w:t>
                </w:r>
              </w:p>
            </w:sdtContent>
          </w:sdt>
        </w:tc>
        <w:tc>
          <w:tcPr>
            <w:tcW w:w="2520" w:type="dxa"/>
            <w:shd w:val="clear" w:color="auto" w:fill="auto"/>
          </w:tcPr>
          <w:p w14:paraId="043E94F9" w14:textId="6296A635" w:rsidR="00F72E54" w:rsidRDefault="00F72E54" w:rsidP="00CD3903">
            <w:pPr>
              <w:pStyle w:val="TableText"/>
            </w:pPr>
            <w:r>
              <w:t xml:space="preserve">CFO and Director Corporate Services </w:t>
            </w:r>
          </w:p>
        </w:tc>
        <w:sdt>
          <w:sdtPr>
            <w:id w:val="1636064943"/>
            <w:lock w:val="sdtContentLocked"/>
            <w:placeholder>
              <w:docPart w:val="64A09A2700E3BE4392A5308499B36AF9"/>
            </w:placeholder>
          </w:sdtPr>
          <w:sdtEndPr/>
          <w:sdtContent>
            <w:tc>
              <w:tcPr>
                <w:tcW w:w="2340" w:type="dxa"/>
                <w:shd w:val="clear" w:color="auto" w:fill="808080"/>
              </w:tcPr>
              <w:p w14:paraId="6FE5BA85" w14:textId="77777777" w:rsidR="00F72E54" w:rsidRPr="00892EF9" w:rsidRDefault="00F72E54" w:rsidP="00463333">
                <w:pPr>
                  <w:pStyle w:val="TableHdg"/>
                </w:pPr>
                <w:r>
                  <w:t>Review Dates</w:t>
                </w:r>
              </w:p>
            </w:tc>
          </w:sdtContent>
        </w:sdt>
        <w:tc>
          <w:tcPr>
            <w:tcW w:w="2340" w:type="dxa"/>
            <w:shd w:val="clear" w:color="auto" w:fill="auto"/>
          </w:tcPr>
          <w:p w14:paraId="5B3164A5" w14:textId="7BDB0FE6" w:rsidR="00F72E54" w:rsidRDefault="00F72E54" w:rsidP="00CD3903">
            <w:pPr>
              <w:pStyle w:val="TableText"/>
            </w:pPr>
            <w:r>
              <w:t>January 2017</w:t>
            </w:r>
          </w:p>
        </w:tc>
      </w:tr>
      <w:tr w:rsidR="00F72E54" w:rsidRPr="00767485" w14:paraId="2B271938" w14:textId="77777777">
        <w:trPr>
          <w:gridAfter w:val="2"/>
          <w:wAfter w:w="4680" w:type="dxa"/>
        </w:trPr>
        <w:tc>
          <w:tcPr>
            <w:tcW w:w="2520" w:type="dxa"/>
            <w:shd w:val="clear" w:color="auto" w:fill="808080"/>
          </w:tcPr>
          <w:sdt>
            <w:sdtPr>
              <w:id w:val="1448345124"/>
              <w:lock w:val="sdtContentLocked"/>
              <w:placeholder>
                <w:docPart w:val="CFAE528F28B3D24A9B449DC7EF5A9CF9"/>
              </w:placeholder>
            </w:sdtPr>
            <w:sdtEndPr/>
            <w:sdtContent>
              <w:p w14:paraId="3980A6D8" w14:textId="77777777" w:rsidR="00F72E54" w:rsidRPr="00892EF9" w:rsidRDefault="00F72E54" w:rsidP="00892EF9">
                <w:pPr>
                  <w:pStyle w:val="TableHdg"/>
                </w:pPr>
                <w:r w:rsidRPr="00892EF9">
                  <w:t>Policy Contact Person</w:t>
                </w:r>
              </w:p>
            </w:sdtContent>
          </w:sdt>
        </w:tc>
        <w:tc>
          <w:tcPr>
            <w:tcW w:w="2520" w:type="dxa"/>
            <w:shd w:val="clear" w:color="auto" w:fill="auto"/>
          </w:tcPr>
          <w:p w14:paraId="178D84AA" w14:textId="0317D993" w:rsidR="00F72E54" w:rsidRDefault="00F72E54" w:rsidP="00CD3903">
            <w:pPr>
              <w:pStyle w:val="TableText"/>
            </w:pPr>
            <w:r>
              <w:t>Head of ICTS</w:t>
            </w:r>
          </w:p>
        </w:tc>
      </w:tr>
    </w:tbl>
    <w:bookmarkStart w:id="6" w:name="_Toc321125836" w:displacedByCustomXml="next"/>
    <w:bookmarkStart w:id="7" w:name="_Toc321122935" w:displacedByCustomXml="next"/>
    <w:bookmarkStart w:id="8" w:name="_Toc446335357" w:displacedByCustomXml="next"/>
    <w:sdt>
      <w:sdtPr>
        <w:id w:val="-1777480883"/>
        <w:lock w:val="sdtContentLocked"/>
        <w:placeholder>
          <w:docPart w:val="A5E80BCE747D46D281BB8FDE7ADE9EC5"/>
        </w:placeholder>
      </w:sdtPr>
      <w:sdtEndPr/>
      <w:sdtContent>
        <w:p w14:paraId="15FF3A4F" w14:textId="77777777" w:rsidR="00CD3903" w:rsidRPr="00BC57E8" w:rsidRDefault="00CD3903" w:rsidP="00AF2146">
          <w:pPr>
            <w:pStyle w:val="Heading3"/>
          </w:pPr>
          <w:r w:rsidRPr="00BC57E8">
            <w:t>Amendment history</w:t>
          </w:r>
        </w:p>
        <w:bookmarkEnd w:id="6" w:displacedByCustomXml="next"/>
        <w:bookmarkEnd w:id="7" w:displacedByCustomXml="next"/>
      </w:sdtContent>
    </w:sdt>
    <w:bookmarkEnd w:id="8" w:displacedByCustomXml="prev"/>
    <w:tbl>
      <w:tblPr>
        <w:tblW w:w="0" w:type="auto"/>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1E0" w:firstRow="1" w:lastRow="1" w:firstColumn="1" w:lastColumn="1" w:noHBand="0" w:noVBand="0"/>
      </w:tblPr>
      <w:tblGrid>
        <w:gridCol w:w="1620"/>
        <w:gridCol w:w="1924"/>
        <w:gridCol w:w="2923"/>
        <w:gridCol w:w="3227"/>
      </w:tblGrid>
      <w:tr w:rsidR="00CD3903" w:rsidRPr="00767485" w14:paraId="3E6C2078" w14:textId="77777777" w:rsidTr="006F48BC">
        <w:tc>
          <w:tcPr>
            <w:tcW w:w="1620" w:type="dxa"/>
            <w:shd w:val="clear" w:color="auto" w:fill="808080"/>
          </w:tcPr>
          <w:sdt>
            <w:sdtPr>
              <w:id w:val="1206757316"/>
              <w:lock w:val="sdtContentLocked"/>
              <w:placeholder>
                <w:docPart w:val="A5E80BCE747D46D281BB8FDE7ADE9EC5"/>
              </w:placeholder>
            </w:sdtPr>
            <w:sdtEndPr/>
            <w:sdtContent>
              <w:p w14:paraId="7B6CAEAE" w14:textId="77777777" w:rsidR="00CD3903" w:rsidRPr="00892EF9" w:rsidRDefault="00CD3903" w:rsidP="00892EF9">
                <w:pPr>
                  <w:pStyle w:val="TableHdg"/>
                </w:pPr>
                <w:r w:rsidRPr="00892EF9">
                  <w:t>Version</w:t>
                </w:r>
              </w:p>
            </w:sdtContent>
          </w:sdt>
        </w:tc>
        <w:tc>
          <w:tcPr>
            <w:tcW w:w="1924" w:type="dxa"/>
            <w:shd w:val="clear" w:color="auto" w:fill="808080"/>
          </w:tcPr>
          <w:sdt>
            <w:sdtPr>
              <w:id w:val="-1544279708"/>
              <w:lock w:val="sdtContentLocked"/>
              <w:placeholder>
                <w:docPart w:val="A5E80BCE747D46D281BB8FDE7ADE9EC5"/>
              </w:placeholder>
            </w:sdtPr>
            <w:sdtEndPr/>
            <w:sdtContent>
              <w:p w14:paraId="13763C14" w14:textId="77777777" w:rsidR="00CD3903" w:rsidRPr="00892EF9" w:rsidRDefault="00CD3903" w:rsidP="00892EF9">
                <w:pPr>
                  <w:pStyle w:val="TableHdg"/>
                </w:pPr>
                <w:r w:rsidRPr="00892EF9">
                  <w:t>Effective Date</w:t>
                </w:r>
              </w:p>
            </w:sdtContent>
          </w:sdt>
        </w:tc>
        <w:tc>
          <w:tcPr>
            <w:tcW w:w="2923" w:type="dxa"/>
            <w:shd w:val="clear" w:color="auto" w:fill="808080"/>
          </w:tcPr>
          <w:sdt>
            <w:sdtPr>
              <w:id w:val="-898444194"/>
              <w:lock w:val="sdtContentLocked"/>
              <w:placeholder>
                <w:docPart w:val="A5E80BCE747D46D281BB8FDE7ADE9EC5"/>
              </w:placeholder>
            </w:sdtPr>
            <w:sdtEndPr/>
            <w:sdtContent>
              <w:p w14:paraId="39EB9046" w14:textId="77777777" w:rsidR="00CD3903" w:rsidRPr="00892EF9" w:rsidRDefault="00CD3903" w:rsidP="00892EF9">
                <w:pPr>
                  <w:pStyle w:val="TableHdg"/>
                </w:pPr>
                <w:r w:rsidRPr="00892EF9">
                  <w:t>Created/Reviewed by</w:t>
                </w:r>
              </w:p>
            </w:sdtContent>
          </w:sdt>
        </w:tc>
        <w:sdt>
          <w:sdtPr>
            <w:id w:val="146711602"/>
            <w:lock w:val="sdtContentLocked"/>
            <w:placeholder>
              <w:docPart w:val="A5E80BCE747D46D281BB8FDE7ADE9EC5"/>
            </w:placeholder>
          </w:sdtPr>
          <w:sdtEndPr/>
          <w:sdtContent>
            <w:tc>
              <w:tcPr>
                <w:tcW w:w="3227" w:type="dxa"/>
                <w:shd w:val="clear" w:color="auto" w:fill="808080"/>
              </w:tcPr>
              <w:p w14:paraId="1D0AB26F" w14:textId="77777777" w:rsidR="00CD3903" w:rsidRPr="00892EF9" w:rsidRDefault="00CD3903" w:rsidP="00892EF9">
                <w:pPr>
                  <w:pStyle w:val="TableHdg"/>
                </w:pPr>
                <w:r w:rsidRPr="00892EF9">
                  <w:t>Reason for review/Comment</w:t>
                </w:r>
              </w:p>
            </w:tc>
          </w:sdtContent>
        </w:sdt>
      </w:tr>
      <w:tr w:rsidR="00CD3903" w14:paraId="2FB24513" w14:textId="77777777" w:rsidTr="006F48BC">
        <w:trPr>
          <w:trHeight w:val="240"/>
        </w:trPr>
        <w:tc>
          <w:tcPr>
            <w:tcW w:w="1620" w:type="dxa"/>
            <w:shd w:val="clear" w:color="auto" w:fill="auto"/>
          </w:tcPr>
          <w:p w14:paraId="552674C2" w14:textId="0D86FF10" w:rsidR="00CD3903" w:rsidRDefault="006F48BC" w:rsidP="00CD3903">
            <w:pPr>
              <w:pStyle w:val="TableText"/>
            </w:pPr>
            <w:r>
              <w:t>.</w:t>
            </w:r>
            <w:r w:rsidR="00FC2343">
              <w:t>001</w:t>
            </w:r>
          </w:p>
        </w:tc>
        <w:tc>
          <w:tcPr>
            <w:tcW w:w="1924" w:type="dxa"/>
            <w:shd w:val="clear" w:color="auto" w:fill="auto"/>
          </w:tcPr>
          <w:p w14:paraId="3F5A1629" w14:textId="49442C91" w:rsidR="00CD3903" w:rsidRDefault="006F48BC" w:rsidP="00CD3903">
            <w:pPr>
              <w:pStyle w:val="TableText"/>
            </w:pPr>
            <w:r>
              <w:t>30 November 2015</w:t>
            </w:r>
          </w:p>
        </w:tc>
        <w:tc>
          <w:tcPr>
            <w:tcW w:w="2923" w:type="dxa"/>
            <w:shd w:val="clear" w:color="auto" w:fill="auto"/>
          </w:tcPr>
          <w:p w14:paraId="7E10FB02" w14:textId="326E776D" w:rsidR="00CD3903" w:rsidRDefault="009222C8" w:rsidP="00CD3903">
            <w:pPr>
              <w:pStyle w:val="TableText"/>
            </w:pPr>
            <w:r>
              <w:t>Melanie Visser</w:t>
            </w:r>
          </w:p>
        </w:tc>
        <w:tc>
          <w:tcPr>
            <w:tcW w:w="3227" w:type="dxa"/>
            <w:shd w:val="clear" w:color="auto" w:fill="auto"/>
          </w:tcPr>
          <w:p w14:paraId="6C7A6CF1" w14:textId="66A9DF0E" w:rsidR="00CD3903" w:rsidRDefault="00F72E54" w:rsidP="00F72E54">
            <w:pPr>
              <w:pStyle w:val="TableText"/>
            </w:pPr>
            <w:r>
              <w:t xml:space="preserve">Created </w:t>
            </w:r>
            <w:r w:rsidR="009222C8">
              <w:t>new policy</w:t>
            </w:r>
            <w:r w:rsidR="007850B9">
              <w:t>.</w:t>
            </w:r>
          </w:p>
        </w:tc>
      </w:tr>
      <w:tr w:rsidR="00CD3903" w14:paraId="79F17DDF" w14:textId="77777777" w:rsidTr="006F48BC">
        <w:trPr>
          <w:trHeight w:val="240"/>
        </w:trPr>
        <w:tc>
          <w:tcPr>
            <w:tcW w:w="1620" w:type="dxa"/>
            <w:shd w:val="clear" w:color="auto" w:fill="auto"/>
          </w:tcPr>
          <w:p w14:paraId="6510B68D" w14:textId="0EF3B459" w:rsidR="00CD3903" w:rsidRDefault="006F48BC" w:rsidP="00CD3903">
            <w:pPr>
              <w:pStyle w:val="TableText"/>
            </w:pPr>
            <w:r>
              <w:t>.002</w:t>
            </w:r>
          </w:p>
        </w:tc>
        <w:tc>
          <w:tcPr>
            <w:tcW w:w="1924" w:type="dxa"/>
            <w:shd w:val="clear" w:color="auto" w:fill="auto"/>
          </w:tcPr>
          <w:p w14:paraId="4D383875" w14:textId="165676DC" w:rsidR="00CD3903" w:rsidRDefault="009E02C1" w:rsidP="00CD3903">
            <w:pPr>
              <w:pStyle w:val="TableText"/>
            </w:pPr>
            <w:r>
              <w:t>4 February 2016</w:t>
            </w:r>
          </w:p>
        </w:tc>
        <w:tc>
          <w:tcPr>
            <w:tcW w:w="2923" w:type="dxa"/>
            <w:shd w:val="clear" w:color="auto" w:fill="auto"/>
          </w:tcPr>
          <w:p w14:paraId="00DAB64D" w14:textId="45B9A000" w:rsidR="00CD3903" w:rsidRDefault="006F48BC" w:rsidP="00CD3903">
            <w:pPr>
              <w:pStyle w:val="TableText"/>
            </w:pPr>
            <w:r>
              <w:t>Melanie Visser</w:t>
            </w:r>
          </w:p>
        </w:tc>
        <w:tc>
          <w:tcPr>
            <w:tcW w:w="3227" w:type="dxa"/>
            <w:shd w:val="clear" w:color="auto" w:fill="auto"/>
          </w:tcPr>
          <w:p w14:paraId="61905A9F" w14:textId="7C701393" w:rsidR="00CD3903" w:rsidRDefault="004579E5" w:rsidP="00071668">
            <w:pPr>
              <w:pStyle w:val="TableText"/>
            </w:pPr>
            <w:r>
              <w:t xml:space="preserve">Updated document with feedback from ICTS Management Team, Legal, People </w:t>
            </w:r>
            <w:r w:rsidR="00071668">
              <w:t>&amp;</w:t>
            </w:r>
            <w:r>
              <w:t xml:space="preserve"> Culture. </w:t>
            </w:r>
          </w:p>
        </w:tc>
      </w:tr>
    </w:tbl>
    <w:p w14:paraId="7672CD8C" w14:textId="77777777" w:rsidR="00CD3903" w:rsidRDefault="00CD3903" w:rsidP="00CD3903">
      <w:pPr>
        <w:pStyle w:val="BlockText"/>
      </w:pPr>
    </w:p>
    <w:p w14:paraId="2D44654D" w14:textId="77777777" w:rsidR="00CD3903" w:rsidRPr="00BC57E8" w:rsidRDefault="00CD3903" w:rsidP="004C2BCE">
      <w:pPr>
        <w:pStyle w:val="Heading2"/>
      </w:pPr>
      <w:r>
        <w:br w:type="page"/>
      </w:r>
      <w:bookmarkStart w:id="9" w:name="_Toc321122936"/>
      <w:bookmarkStart w:id="10" w:name="_Toc321125837"/>
      <w:bookmarkStart w:id="11" w:name="_Toc446335358"/>
      <w:sdt>
        <w:sdtPr>
          <w:id w:val="-1003899610"/>
          <w:lock w:val="sdtContentLocked"/>
          <w:placeholder>
            <w:docPart w:val="A5E80BCE747D46D281BB8FDE7ADE9EC5"/>
          </w:placeholder>
        </w:sdtPr>
        <w:sdtEndPr/>
        <w:sdtContent>
          <w:r w:rsidRPr="00BC57E8">
            <w:t>Table of Contents</w:t>
          </w:r>
          <w:bookmarkEnd w:id="9"/>
          <w:bookmarkEnd w:id="10"/>
        </w:sdtContent>
      </w:sdt>
      <w:bookmarkEnd w:id="11"/>
    </w:p>
    <w:p w14:paraId="33EF151D" w14:textId="77777777" w:rsidR="0096415D" w:rsidRPr="0096415D" w:rsidRDefault="0096415D" w:rsidP="0096415D">
      <w:pPr>
        <w:pStyle w:val="HeadingLine"/>
      </w:pPr>
    </w:p>
    <w:p w14:paraId="087410E9" w14:textId="77777777" w:rsidR="00E60B59" w:rsidRDefault="00B63B7D">
      <w:pPr>
        <w:pStyle w:val="TOC1"/>
        <w:rPr>
          <w:rFonts w:asciiTheme="minorHAnsi" w:eastAsiaTheme="minorEastAsia" w:hAnsiTheme="minorHAnsi" w:cstheme="minorBidi"/>
          <w:b w:val="0"/>
          <w:bCs w:val="0"/>
          <w:caps w:val="0"/>
          <w:lang w:val="en-US" w:eastAsia="en-U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46335355" w:history="1">
        <w:r w:rsidR="00E60B59" w:rsidRPr="00676033">
          <w:rPr>
            <w:rStyle w:val="Hyperlink"/>
          </w:rPr>
          <w:t>Audience and scope:</w:t>
        </w:r>
        <w:r w:rsidR="00E60B59">
          <w:rPr>
            <w:webHidden/>
          </w:rPr>
          <w:tab/>
        </w:r>
        <w:r w:rsidR="00E60B59">
          <w:rPr>
            <w:webHidden/>
          </w:rPr>
          <w:fldChar w:fldCharType="begin"/>
        </w:r>
        <w:r w:rsidR="00E60B59">
          <w:rPr>
            <w:webHidden/>
          </w:rPr>
          <w:instrText xml:space="preserve"> PAGEREF _Toc446335355 \h </w:instrText>
        </w:r>
        <w:r w:rsidR="00E60B59">
          <w:rPr>
            <w:webHidden/>
          </w:rPr>
        </w:r>
        <w:r w:rsidR="00E60B59">
          <w:rPr>
            <w:webHidden/>
          </w:rPr>
          <w:fldChar w:fldCharType="separate"/>
        </w:r>
        <w:r w:rsidR="00E60B59">
          <w:rPr>
            <w:webHidden/>
          </w:rPr>
          <w:t>1</w:t>
        </w:r>
        <w:r w:rsidR="00E60B59">
          <w:rPr>
            <w:webHidden/>
          </w:rPr>
          <w:fldChar w:fldCharType="end"/>
        </w:r>
      </w:hyperlink>
    </w:p>
    <w:p w14:paraId="67B95EAF" w14:textId="77777777" w:rsidR="00E60B59" w:rsidRDefault="004B608B">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6335356" w:history="1">
        <w:r w:rsidR="00E60B59" w:rsidRPr="00676033">
          <w:rPr>
            <w:rStyle w:val="Hyperlink"/>
            <w:noProof/>
          </w:rPr>
          <w:t>Document management and control</w:t>
        </w:r>
        <w:r w:rsidR="00E60B59">
          <w:rPr>
            <w:noProof/>
            <w:webHidden/>
          </w:rPr>
          <w:tab/>
        </w:r>
        <w:r w:rsidR="00E60B59">
          <w:rPr>
            <w:noProof/>
            <w:webHidden/>
          </w:rPr>
          <w:fldChar w:fldCharType="begin"/>
        </w:r>
        <w:r w:rsidR="00E60B59">
          <w:rPr>
            <w:noProof/>
            <w:webHidden/>
          </w:rPr>
          <w:instrText xml:space="preserve"> PAGEREF _Toc446335356 \h </w:instrText>
        </w:r>
        <w:r w:rsidR="00E60B59">
          <w:rPr>
            <w:noProof/>
            <w:webHidden/>
          </w:rPr>
        </w:r>
        <w:r w:rsidR="00E60B59">
          <w:rPr>
            <w:noProof/>
            <w:webHidden/>
          </w:rPr>
          <w:fldChar w:fldCharType="separate"/>
        </w:r>
        <w:r w:rsidR="00E60B59">
          <w:rPr>
            <w:noProof/>
            <w:webHidden/>
          </w:rPr>
          <w:t>1</w:t>
        </w:r>
        <w:r w:rsidR="00E60B59">
          <w:rPr>
            <w:noProof/>
            <w:webHidden/>
          </w:rPr>
          <w:fldChar w:fldCharType="end"/>
        </w:r>
      </w:hyperlink>
    </w:p>
    <w:p w14:paraId="4D724793" w14:textId="77777777" w:rsidR="00E60B59" w:rsidRDefault="004B608B">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6335357" w:history="1">
        <w:r w:rsidR="00E60B59" w:rsidRPr="00676033">
          <w:rPr>
            <w:rStyle w:val="Hyperlink"/>
            <w:noProof/>
          </w:rPr>
          <w:t>Amendment history</w:t>
        </w:r>
        <w:r w:rsidR="00E60B59">
          <w:rPr>
            <w:noProof/>
            <w:webHidden/>
          </w:rPr>
          <w:tab/>
        </w:r>
        <w:r w:rsidR="00E60B59">
          <w:rPr>
            <w:noProof/>
            <w:webHidden/>
          </w:rPr>
          <w:fldChar w:fldCharType="begin"/>
        </w:r>
        <w:r w:rsidR="00E60B59">
          <w:rPr>
            <w:noProof/>
            <w:webHidden/>
          </w:rPr>
          <w:instrText xml:space="preserve"> PAGEREF _Toc446335357 \h </w:instrText>
        </w:r>
        <w:r w:rsidR="00E60B59">
          <w:rPr>
            <w:noProof/>
            <w:webHidden/>
          </w:rPr>
        </w:r>
        <w:r w:rsidR="00E60B59">
          <w:rPr>
            <w:noProof/>
            <w:webHidden/>
          </w:rPr>
          <w:fldChar w:fldCharType="separate"/>
        </w:r>
        <w:r w:rsidR="00E60B59">
          <w:rPr>
            <w:noProof/>
            <w:webHidden/>
          </w:rPr>
          <w:t>1</w:t>
        </w:r>
        <w:r w:rsidR="00E60B59">
          <w:rPr>
            <w:noProof/>
            <w:webHidden/>
          </w:rPr>
          <w:fldChar w:fldCharType="end"/>
        </w:r>
      </w:hyperlink>
    </w:p>
    <w:p w14:paraId="3430B0BD" w14:textId="77777777" w:rsidR="00E60B59" w:rsidRDefault="004B608B">
      <w:pPr>
        <w:pStyle w:val="TOC2"/>
        <w:rPr>
          <w:rFonts w:asciiTheme="minorHAnsi" w:eastAsiaTheme="minorEastAsia" w:hAnsiTheme="minorHAnsi" w:cstheme="minorBidi"/>
          <w:smallCaps w:val="0"/>
          <w:noProof/>
          <w:sz w:val="24"/>
          <w:lang w:val="en-US" w:eastAsia="en-US"/>
        </w:rPr>
      </w:pPr>
      <w:hyperlink w:anchor="_Toc446335358" w:history="1">
        <w:r w:rsidR="00E60B59" w:rsidRPr="00676033">
          <w:rPr>
            <w:rStyle w:val="Hyperlink"/>
            <w:noProof/>
          </w:rPr>
          <w:t>Table of Contents</w:t>
        </w:r>
        <w:r w:rsidR="00E60B59">
          <w:rPr>
            <w:noProof/>
            <w:webHidden/>
          </w:rPr>
          <w:tab/>
        </w:r>
        <w:r w:rsidR="00E60B59">
          <w:rPr>
            <w:noProof/>
            <w:webHidden/>
          </w:rPr>
          <w:fldChar w:fldCharType="begin"/>
        </w:r>
        <w:r w:rsidR="00E60B59">
          <w:rPr>
            <w:noProof/>
            <w:webHidden/>
          </w:rPr>
          <w:instrText xml:space="preserve"> PAGEREF _Toc446335358 \h </w:instrText>
        </w:r>
        <w:r w:rsidR="00E60B59">
          <w:rPr>
            <w:noProof/>
            <w:webHidden/>
          </w:rPr>
        </w:r>
        <w:r w:rsidR="00E60B59">
          <w:rPr>
            <w:noProof/>
            <w:webHidden/>
          </w:rPr>
          <w:fldChar w:fldCharType="separate"/>
        </w:r>
        <w:r w:rsidR="00E60B59">
          <w:rPr>
            <w:noProof/>
            <w:webHidden/>
          </w:rPr>
          <w:t>2</w:t>
        </w:r>
        <w:r w:rsidR="00E60B59">
          <w:rPr>
            <w:noProof/>
            <w:webHidden/>
          </w:rPr>
          <w:fldChar w:fldCharType="end"/>
        </w:r>
      </w:hyperlink>
    </w:p>
    <w:p w14:paraId="4AF9106F" w14:textId="77777777" w:rsidR="00E60B59" w:rsidRDefault="004B608B">
      <w:pPr>
        <w:pStyle w:val="TOC1"/>
        <w:rPr>
          <w:rFonts w:asciiTheme="minorHAnsi" w:eastAsiaTheme="minorEastAsia" w:hAnsiTheme="minorHAnsi" w:cstheme="minorBidi"/>
          <w:b w:val="0"/>
          <w:bCs w:val="0"/>
          <w:caps w:val="0"/>
          <w:lang w:val="en-US" w:eastAsia="en-US"/>
        </w:rPr>
      </w:pPr>
      <w:hyperlink w:anchor="_Toc446335359" w:history="1">
        <w:r w:rsidR="00E60B59" w:rsidRPr="00676033">
          <w:rPr>
            <w:rStyle w:val="Hyperlink"/>
          </w:rPr>
          <w:t>Cloud Computing Policy</w:t>
        </w:r>
        <w:r w:rsidR="00E60B59">
          <w:rPr>
            <w:webHidden/>
          </w:rPr>
          <w:tab/>
        </w:r>
        <w:r w:rsidR="00E60B59">
          <w:rPr>
            <w:webHidden/>
          </w:rPr>
          <w:fldChar w:fldCharType="begin"/>
        </w:r>
        <w:r w:rsidR="00E60B59">
          <w:rPr>
            <w:webHidden/>
          </w:rPr>
          <w:instrText xml:space="preserve"> PAGEREF _Toc446335359 \h </w:instrText>
        </w:r>
        <w:r w:rsidR="00E60B59">
          <w:rPr>
            <w:webHidden/>
          </w:rPr>
        </w:r>
        <w:r w:rsidR="00E60B59">
          <w:rPr>
            <w:webHidden/>
          </w:rPr>
          <w:fldChar w:fldCharType="separate"/>
        </w:r>
        <w:r w:rsidR="00E60B59">
          <w:rPr>
            <w:webHidden/>
          </w:rPr>
          <w:t>3</w:t>
        </w:r>
        <w:r w:rsidR="00E60B59">
          <w:rPr>
            <w:webHidden/>
          </w:rPr>
          <w:fldChar w:fldCharType="end"/>
        </w:r>
      </w:hyperlink>
    </w:p>
    <w:p w14:paraId="4FF860FE" w14:textId="77777777" w:rsidR="00E60B59" w:rsidRDefault="004B608B">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6335360" w:history="1">
        <w:r w:rsidR="00E60B59" w:rsidRPr="00676033">
          <w:rPr>
            <w:rStyle w:val="Hyperlink"/>
            <w:noProof/>
          </w:rPr>
          <w:t>Purpose</w:t>
        </w:r>
        <w:r w:rsidR="00E60B59">
          <w:rPr>
            <w:noProof/>
            <w:webHidden/>
          </w:rPr>
          <w:tab/>
        </w:r>
        <w:r w:rsidR="00E60B59">
          <w:rPr>
            <w:noProof/>
            <w:webHidden/>
          </w:rPr>
          <w:fldChar w:fldCharType="begin"/>
        </w:r>
        <w:r w:rsidR="00E60B59">
          <w:rPr>
            <w:noProof/>
            <w:webHidden/>
          </w:rPr>
          <w:instrText xml:space="preserve"> PAGEREF _Toc446335360 \h </w:instrText>
        </w:r>
        <w:r w:rsidR="00E60B59">
          <w:rPr>
            <w:noProof/>
            <w:webHidden/>
          </w:rPr>
        </w:r>
        <w:r w:rsidR="00E60B59">
          <w:rPr>
            <w:noProof/>
            <w:webHidden/>
          </w:rPr>
          <w:fldChar w:fldCharType="separate"/>
        </w:r>
        <w:r w:rsidR="00E60B59">
          <w:rPr>
            <w:noProof/>
            <w:webHidden/>
          </w:rPr>
          <w:t>3</w:t>
        </w:r>
        <w:r w:rsidR="00E60B59">
          <w:rPr>
            <w:noProof/>
            <w:webHidden/>
          </w:rPr>
          <w:fldChar w:fldCharType="end"/>
        </w:r>
      </w:hyperlink>
    </w:p>
    <w:p w14:paraId="06ADD4FB" w14:textId="77777777" w:rsidR="00E60B59" w:rsidRDefault="004B608B">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6335361" w:history="1">
        <w:r w:rsidR="00E60B59" w:rsidRPr="00676033">
          <w:rPr>
            <w:rStyle w:val="Hyperlink"/>
            <w:noProof/>
          </w:rPr>
          <w:t>Background</w:t>
        </w:r>
        <w:r w:rsidR="00E60B59">
          <w:rPr>
            <w:noProof/>
            <w:webHidden/>
          </w:rPr>
          <w:tab/>
        </w:r>
        <w:r w:rsidR="00E60B59">
          <w:rPr>
            <w:noProof/>
            <w:webHidden/>
          </w:rPr>
          <w:fldChar w:fldCharType="begin"/>
        </w:r>
        <w:r w:rsidR="00E60B59">
          <w:rPr>
            <w:noProof/>
            <w:webHidden/>
          </w:rPr>
          <w:instrText xml:space="preserve"> PAGEREF _Toc446335361 \h </w:instrText>
        </w:r>
        <w:r w:rsidR="00E60B59">
          <w:rPr>
            <w:noProof/>
            <w:webHidden/>
          </w:rPr>
        </w:r>
        <w:r w:rsidR="00E60B59">
          <w:rPr>
            <w:noProof/>
            <w:webHidden/>
          </w:rPr>
          <w:fldChar w:fldCharType="separate"/>
        </w:r>
        <w:r w:rsidR="00E60B59">
          <w:rPr>
            <w:noProof/>
            <w:webHidden/>
          </w:rPr>
          <w:t>3</w:t>
        </w:r>
        <w:r w:rsidR="00E60B59">
          <w:rPr>
            <w:noProof/>
            <w:webHidden/>
          </w:rPr>
          <w:fldChar w:fldCharType="end"/>
        </w:r>
      </w:hyperlink>
    </w:p>
    <w:p w14:paraId="55D05974" w14:textId="77777777" w:rsidR="00E60B59" w:rsidRDefault="004B608B">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6335362" w:history="1">
        <w:r w:rsidR="00E60B59" w:rsidRPr="00676033">
          <w:rPr>
            <w:rStyle w:val="Hyperlink"/>
            <w:noProof/>
          </w:rPr>
          <w:t>Policy</w:t>
        </w:r>
        <w:r w:rsidR="00E60B59">
          <w:rPr>
            <w:noProof/>
            <w:webHidden/>
          </w:rPr>
          <w:tab/>
        </w:r>
        <w:r w:rsidR="00E60B59">
          <w:rPr>
            <w:noProof/>
            <w:webHidden/>
          </w:rPr>
          <w:fldChar w:fldCharType="begin"/>
        </w:r>
        <w:r w:rsidR="00E60B59">
          <w:rPr>
            <w:noProof/>
            <w:webHidden/>
          </w:rPr>
          <w:instrText xml:space="preserve"> PAGEREF _Toc446335362 \h </w:instrText>
        </w:r>
        <w:r w:rsidR="00E60B59">
          <w:rPr>
            <w:noProof/>
            <w:webHidden/>
          </w:rPr>
        </w:r>
        <w:r w:rsidR="00E60B59">
          <w:rPr>
            <w:noProof/>
            <w:webHidden/>
          </w:rPr>
          <w:fldChar w:fldCharType="separate"/>
        </w:r>
        <w:r w:rsidR="00E60B59">
          <w:rPr>
            <w:noProof/>
            <w:webHidden/>
          </w:rPr>
          <w:t>4</w:t>
        </w:r>
        <w:r w:rsidR="00E60B59">
          <w:rPr>
            <w:noProof/>
            <w:webHidden/>
          </w:rPr>
          <w:fldChar w:fldCharType="end"/>
        </w:r>
      </w:hyperlink>
    </w:p>
    <w:p w14:paraId="3504A0CA" w14:textId="77777777" w:rsidR="00E60B59" w:rsidRDefault="004B608B">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6335363" w:history="1">
        <w:r w:rsidR="00E60B59" w:rsidRPr="00676033">
          <w:rPr>
            <w:rStyle w:val="Hyperlink"/>
            <w:noProof/>
          </w:rPr>
          <w:t>Procedures</w:t>
        </w:r>
        <w:r w:rsidR="00E60B59">
          <w:rPr>
            <w:noProof/>
            <w:webHidden/>
          </w:rPr>
          <w:tab/>
        </w:r>
        <w:r w:rsidR="00E60B59">
          <w:rPr>
            <w:noProof/>
            <w:webHidden/>
          </w:rPr>
          <w:fldChar w:fldCharType="begin"/>
        </w:r>
        <w:r w:rsidR="00E60B59">
          <w:rPr>
            <w:noProof/>
            <w:webHidden/>
          </w:rPr>
          <w:instrText xml:space="preserve"> PAGEREF _Toc446335363 \h </w:instrText>
        </w:r>
        <w:r w:rsidR="00E60B59">
          <w:rPr>
            <w:noProof/>
            <w:webHidden/>
          </w:rPr>
        </w:r>
        <w:r w:rsidR="00E60B59">
          <w:rPr>
            <w:noProof/>
            <w:webHidden/>
          </w:rPr>
          <w:fldChar w:fldCharType="separate"/>
        </w:r>
        <w:r w:rsidR="00E60B59">
          <w:rPr>
            <w:noProof/>
            <w:webHidden/>
          </w:rPr>
          <w:t>8</w:t>
        </w:r>
        <w:r w:rsidR="00E60B59">
          <w:rPr>
            <w:noProof/>
            <w:webHidden/>
          </w:rPr>
          <w:fldChar w:fldCharType="end"/>
        </w:r>
      </w:hyperlink>
    </w:p>
    <w:p w14:paraId="0D994392" w14:textId="77777777" w:rsidR="00E60B59" w:rsidRDefault="004B608B">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6335364" w:history="1">
        <w:r w:rsidR="00E60B59" w:rsidRPr="00676033">
          <w:rPr>
            <w:rStyle w:val="Hyperlink"/>
            <w:noProof/>
          </w:rPr>
          <w:t>Evaluation/Outcomes</w:t>
        </w:r>
        <w:r w:rsidR="00E60B59">
          <w:rPr>
            <w:noProof/>
            <w:webHidden/>
          </w:rPr>
          <w:tab/>
        </w:r>
        <w:r w:rsidR="00E60B59">
          <w:rPr>
            <w:noProof/>
            <w:webHidden/>
          </w:rPr>
          <w:fldChar w:fldCharType="begin"/>
        </w:r>
        <w:r w:rsidR="00E60B59">
          <w:rPr>
            <w:noProof/>
            <w:webHidden/>
          </w:rPr>
          <w:instrText xml:space="preserve"> PAGEREF _Toc446335364 \h </w:instrText>
        </w:r>
        <w:r w:rsidR="00E60B59">
          <w:rPr>
            <w:noProof/>
            <w:webHidden/>
          </w:rPr>
        </w:r>
        <w:r w:rsidR="00E60B59">
          <w:rPr>
            <w:noProof/>
            <w:webHidden/>
          </w:rPr>
          <w:fldChar w:fldCharType="separate"/>
        </w:r>
        <w:r w:rsidR="00E60B59">
          <w:rPr>
            <w:noProof/>
            <w:webHidden/>
          </w:rPr>
          <w:t>8</w:t>
        </w:r>
        <w:r w:rsidR="00E60B59">
          <w:rPr>
            <w:noProof/>
            <w:webHidden/>
          </w:rPr>
          <w:fldChar w:fldCharType="end"/>
        </w:r>
      </w:hyperlink>
    </w:p>
    <w:p w14:paraId="4BC1F7E1" w14:textId="77777777" w:rsidR="00E60B59" w:rsidRDefault="004B608B">
      <w:pPr>
        <w:pStyle w:val="TOC1"/>
        <w:rPr>
          <w:rFonts w:asciiTheme="minorHAnsi" w:eastAsiaTheme="minorEastAsia" w:hAnsiTheme="minorHAnsi" w:cstheme="minorBidi"/>
          <w:b w:val="0"/>
          <w:bCs w:val="0"/>
          <w:caps w:val="0"/>
          <w:lang w:val="en-US" w:eastAsia="en-US"/>
        </w:rPr>
      </w:pPr>
      <w:hyperlink w:anchor="_Toc446335365" w:history="1">
        <w:r w:rsidR="00E60B59" w:rsidRPr="00676033">
          <w:rPr>
            <w:rStyle w:val="Hyperlink"/>
          </w:rPr>
          <w:t>Additional Information</w:t>
        </w:r>
        <w:r w:rsidR="00E60B59">
          <w:rPr>
            <w:webHidden/>
          </w:rPr>
          <w:tab/>
        </w:r>
        <w:r w:rsidR="00E60B59">
          <w:rPr>
            <w:webHidden/>
          </w:rPr>
          <w:fldChar w:fldCharType="begin"/>
        </w:r>
        <w:r w:rsidR="00E60B59">
          <w:rPr>
            <w:webHidden/>
          </w:rPr>
          <w:instrText xml:space="preserve"> PAGEREF _Toc446335365 \h </w:instrText>
        </w:r>
        <w:r w:rsidR="00E60B59">
          <w:rPr>
            <w:webHidden/>
          </w:rPr>
        </w:r>
        <w:r w:rsidR="00E60B59">
          <w:rPr>
            <w:webHidden/>
          </w:rPr>
          <w:fldChar w:fldCharType="separate"/>
        </w:r>
        <w:r w:rsidR="00E60B59">
          <w:rPr>
            <w:webHidden/>
          </w:rPr>
          <w:t>9</w:t>
        </w:r>
        <w:r w:rsidR="00E60B59">
          <w:rPr>
            <w:webHidden/>
          </w:rPr>
          <w:fldChar w:fldCharType="end"/>
        </w:r>
      </w:hyperlink>
    </w:p>
    <w:p w14:paraId="6B4F4349" w14:textId="77777777" w:rsidR="00E60B59" w:rsidRDefault="004B608B">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6335366" w:history="1">
        <w:r w:rsidR="00E60B59" w:rsidRPr="00676033">
          <w:rPr>
            <w:rStyle w:val="Hyperlink"/>
            <w:noProof/>
          </w:rPr>
          <w:t>Glossary</w:t>
        </w:r>
        <w:r w:rsidR="00E60B59">
          <w:rPr>
            <w:noProof/>
            <w:webHidden/>
          </w:rPr>
          <w:tab/>
        </w:r>
        <w:r w:rsidR="00E60B59">
          <w:rPr>
            <w:noProof/>
            <w:webHidden/>
          </w:rPr>
          <w:fldChar w:fldCharType="begin"/>
        </w:r>
        <w:r w:rsidR="00E60B59">
          <w:rPr>
            <w:noProof/>
            <w:webHidden/>
          </w:rPr>
          <w:instrText xml:space="preserve"> PAGEREF _Toc446335366 \h </w:instrText>
        </w:r>
        <w:r w:rsidR="00E60B59">
          <w:rPr>
            <w:noProof/>
            <w:webHidden/>
          </w:rPr>
        </w:r>
        <w:r w:rsidR="00E60B59">
          <w:rPr>
            <w:noProof/>
            <w:webHidden/>
          </w:rPr>
          <w:fldChar w:fldCharType="separate"/>
        </w:r>
        <w:r w:rsidR="00E60B59">
          <w:rPr>
            <w:noProof/>
            <w:webHidden/>
          </w:rPr>
          <w:t>9</w:t>
        </w:r>
        <w:r w:rsidR="00E60B59">
          <w:rPr>
            <w:noProof/>
            <w:webHidden/>
          </w:rPr>
          <w:fldChar w:fldCharType="end"/>
        </w:r>
      </w:hyperlink>
    </w:p>
    <w:p w14:paraId="5AD52B79" w14:textId="77777777" w:rsidR="00E60B59" w:rsidRDefault="004B608B">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6335367" w:history="1">
        <w:r w:rsidR="00E60B59" w:rsidRPr="00676033">
          <w:rPr>
            <w:rStyle w:val="Hyperlink"/>
            <w:noProof/>
          </w:rPr>
          <w:t>Exemptions and dispensations</w:t>
        </w:r>
        <w:r w:rsidR="00E60B59">
          <w:rPr>
            <w:noProof/>
            <w:webHidden/>
          </w:rPr>
          <w:tab/>
        </w:r>
        <w:r w:rsidR="00E60B59">
          <w:rPr>
            <w:noProof/>
            <w:webHidden/>
          </w:rPr>
          <w:fldChar w:fldCharType="begin"/>
        </w:r>
        <w:r w:rsidR="00E60B59">
          <w:rPr>
            <w:noProof/>
            <w:webHidden/>
          </w:rPr>
          <w:instrText xml:space="preserve"> PAGEREF _Toc446335367 \h </w:instrText>
        </w:r>
        <w:r w:rsidR="00E60B59">
          <w:rPr>
            <w:noProof/>
            <w:webHidden/>
          </w:rPr>
        </w:r>
        <w:r w:rsidR="00E60B59">
          <w:rPr>
            <w:noProof/>
            <w:webHidden/>
          </w:rPr>
          <w:fldChar w:fldCharType="separate"/>
        </w:r>
        <w:r w:rsidR="00E60B59">
          <w:rPr>
            <w:noProof/>
            <w:webHidden/>
          </w:rPr>
          <w:t>9</w:t>
        </w:r>
        <w:r w:rsidR="00E60B59">
          <w:rPr>
            <w:noProof/>
            <w:webHidden/>
          </w:rPr>
          <w:fldChar w:fldCharType="end"/>
        </w:r>
      </w:hyperlink>
    </w:p>
    <w:p w14:paraId="3EF1A6C9" w14:textId="77777777" w:rsidR="00E60B59" w:rsidRDefault="004B608B">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6335368" w:history="1">
        <w:r w:rsidR="00E60B59" w:rsidRPr="00676033">
          <w:rPr>
            <w:rStyle w:val="Hyperlink"/>
            <w:noProof/>
          </w:rPr>
          <w:t>Delegations</w:t>
        </w:r>
        <w:r w:rsidR="00E60B59">
          <w:rPr>
            <w:noProof/>
            <w:webHidden/>
          </w:rPr>
          <w:tab/>
        </w:r>
        <w:r w:rsidR="00E60B59">
          <w:rPr>
            <w:noProof/>
            <w:webHidden/>
          </w:rPr>
          <w:fldChar w:fldCharType="begin"/>
        </w:r>
        <w:r w:rsidR="00E60B59">
          <w:rPr>
            <w:noProof/>
            <w:webHidden/>
          </w:rPr>
          <w:instrText xml:space="preserve"> PAGEREF _Toc446335368 \h </w:instrText>
        </w:r>
        <w:r w:rsidR="00E60B59">
          <w:rPr>
            <w:noProof/>
            <w:webHidden/>
          </w:rPr>
        </w:r>
        <w:r w:rsidR="00E60B59">
          <w:rPr>
            <w:noProof/>
            <w:webHidden/>
          </w:rPr>
          <w:fldChar w:fldCharType="separate"/>
        </w:r>
        <w:r w:rsidR="00E60B59">
          <w:rPr>
            <w:noProof/>
            <w:webHidden/>
          </w:rPr>
          <w:t>9</w:t>
        </w:r>
        <w:r w:rsidR="00E60B59">
          <w:rPr>
            <w:noProof/>
            <w:webHidden/>
          </w:rPr>
          <w:fldChar w:fldCharType="end"/>
        </w:r>
      </w:hyperlink>
    </w:p>
    <w:p w14:paraId="57984117" w14:textId="77777777" w:rsidR="00E60B59" w:rsidRDefault="004B608B">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6335369" w:history="1">
        <w:r w:rsidR="00E60B59" w:rsidRPr="00676033">
          <w:rPr>
            <w:rStyle w:val="Hyperlink"/>
            <w:noProof/>
          </w:rPr>
          <w:t>Relevant Legislation</w:t>
        </w:r>
        <w:r w:rsidR="00E60B59">
          <w:rPr>
            <w:noProof/>
            <w:webHidden/>
          </w:rPr>
          <w:tab/>
        </w:r>
        <w:r w:rsidR="00E60B59">
          <w:rPr>
            <w:noProof/>
            <w:webHidden/>
          </w:rPr>
          <w:fldChar w:fldCharType="begin"/>
        </w:r>
        <w:r w:rsidR="00E60B59">
          <w:rPr>
            <w:noProof/>
            <w:webHidden/>
          </w:rPr>
          <w:instrText xml:space="preserve"> PAGEREF _Toc446335369 \h </w:instrText>
        </w:r>
        <w:r w:rsidR="00E60B59">
          <w:rPr>
            <w:noProof/>
            <w:webHidden/>
          </w:rPr>
        </w:r>
        <w:r w:rsidR="00E60B59">
          <w:rPr>
            <w:noProof/>
            <w:webHidden/>
          </w:rPr>
          <w:fldChar w:fldCharType="separate"/>
        </w:r>
        <w:r w:rsidR="00E60B59">
          <w:rPr>
            <w:noProof/>
            <w:webHidden/>
          </w:rPr>
          <w:t>10</w:t>
        </w:r>
        <w:r w:rsidR="00E60B59">
          <w:rPr>
            <w:noProof/>
            <w:webHidden/>
          </w:rPr>
          <w:fldChar w:fldCharType="end"/>
        </w:r>
      </w:hyperlink>
    </w:p>
    <w:p w14:paraId="0705E18E" w14:textId="77777777" w:rsidR="00E60B59" w:rsidRDefault="004B608B">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6335370" w:history="1">
        <w:r w:rsidR="00E60B59" w:rsidRPr="00676033">
          <w:rPr>
            <w:rStyle w:val="Hyperlink"/>
            <w:noProof/>
          </w:rPr>
          <w:t>Legal Compliance</w:t>
        </w:r>
        <w:r w:rsidR="00E60B59">
          <w:rPr>
            <w:noProof/>
            <w:webHidden/>
          </w:rPr>
          <w:tab/>
        </w:r>
        <w:r w:rsidR="00E60B59">
          <w:rPr>
            <w:noProof/>
            <w:webHidden/>
          </w:rPr>
          <w:fldChar w:fldCharType="begin"/>
        </w:r>
        <w:r w:rsidR="00E60B59">
          <w:rPr>
            <w:noProof/>
            <w:webHidden/>
          </w:rPr>
          <w:instrText xml:space="preserve"> PAGEREF _Toc446335370 \h </w:instrText>
        </w:r>
        <w:r w:rsidR="00E60B59">
          <w:rPr>
            <w:noProof/>
            <w:webHidden/>
          </w:rPr>
        </w:r>
        <w:r w:rsidR="00E60B59">
          <w:rPr>
            <w:noProof/>
            <w:webHidden/>
          </w:rPr>
          <w:fldChar w:fldCharType="separate"/>
        </w:r>
        <w:r w:rsidR="00E60B59">
          <w:rPr>
            <w:noProof/>
            <w:webHidden/>
          </w:rPr>
          <w:t>10</w:t>
        </w:r>
        <w:r w:rsidR="00E60B59">
          <w:rPr>
            <w:noProof/>
            <w:webHidden/>
          </w:rPr>
          <w:fldChar w:fldCharType="end"/>
        </w:r>
      </w:hyperlink>
    </w:p>
    <w:p w14:paraId="07AAC208" w14:textId="77777777" w:rsidR="00E60B59" w:rsidRDefault="004B608B">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6335371" w:history="1">
        <w:r w:rsidR="00E60B59" w:rsidRPr="00676033">
          <w:rPr>
            <w:rStyle w:val="Hyperlink"/>
            <w:noProof/>
          </w:rPr>
          <w:t>This policy complies with MIT’s statutes, regulations and relevant legislation.</w:t>
        </w:r>
        <w:r w:rsidR="00E60B59">
          <w:rPr>
            <w:noProof/>
            <w:webHidden/>
          </w:rPr>
          <w:tab/>
        </w:r>
        <w:r w:rsidR="00E60B59">
          <w:rPr>
            <w:noProof/>
            <w:webHidden/>
          </w:rPr>
          <w:fldChar w:fldCharType="begin"/>
        </w:r>
        <w:r w:rsidR="00E60B59">
          <w:rPr>
            <w:noProof/>
            <w:webHidden/>
          </w:rPr>
          <w:instrText xml:space="preserve"> PAGEREF _Toc446335371 \h </w:instrText>
        </w:r>
        <w:r w:rsidR="00E60B59">
          <w:rPr>
            <w:noProof/>
            <w:webHidden/>
          </w:rPr>
        </w:r>
        <w:r w:rsidR="00E60B59">
          <w:rPr>
            <w:noProof/>
            <w:webHidden/>
          </w:rPr>
          <w:fldChar w:fldCharType="separate"/>
        </w:r>
        <w:r w:rsidR="00E60B59">
          <w:rPr>
            <w:noProof/>
            <w:webHidden/>
          </w:rPr>
          <w:t>10</w:t>
        </w:r>
        <w:r w:rsidR="00E60B59">
          <w:rPr>
            <w:noProof/>
            <w:webHidden/>
          </w:rPr>
          <w:fldChar w:fldCharType="end"/>
        </w:r>
      </w:hyperlink>
    </w:p>
    <w:p w14:paraId="3CE25E49" w14:textId="77777777" w:rsidR="00E60B59" w:rsidRDefault="004B608B">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6335372" w:history="1">
        <w:r w:rsidR="00E60B59" w:rsidRPr="00676033">
          <w:rPr>
            <w:rStyle w:val="Hyperlink"/>
            <w:noProof/>
          </w:rPr>
          <w:t>Associated documents</w:t>
        </w:r>
        <w:r w:rsidR="00E60B59">
          <w:rPr>
            <w:noProof/>
            <w:webHidden/>
          </w:rPr>
          <w:tab/>
        </w:r>
        <w:r w:rsidR="00E60B59">
          <w:rPr>
            <w:noProof/>
            <w:webHidden/>
          </w:rPr>
          <w:fldChar w:fldCharType="begin"/>
        </w:r>
        <w:r w:rsidR="00E60B59">
          <w:rPr>
            <w:noProof/>
            <w:webHidden/>
          </w:rPr>
          <w:instrText xml:space="preserve"> PAGEREF _Toc446335372 \h </w:instrText>
        </w:r>
        <w:r w:rsidR="00E60B59">
          <w:rPr>
            <w:noProof/>
            <w:webHidden/>
          </w:rPr>
        </w:r>
        <w:r w:rsidR="00E60B59">
          <w:rPr>
            <w:noProof/>
            <w:webHidden/>
          </w:rPr>
          <w:fldChar w:fldCharType="separate"/>
        </w:r>
        <w:r w:rsidR="00E60B59">
          <w:rPr>
            <w:noProof/>
            <w:webHidden/>
          </w:rPr>
          <w:t>10</w:t>
        </w:r>
        <w:r w:rsidR="00E60B59">
          <w:rPr>
            <w:noProof/>
            <w:webHidden/>
          </w:rPr>
          <w:fldChar w:fldCharType="end"/>
        </w:r>
      </w:hyperlink>
    </w:p>
    <w:p w14:paraId="5448C69C" w14:textId="77777777" w:rsidR="00CD3903" w:rsidRPr="0002540A" w:rsidRDefault="00B63B7D" w:rsidP="00CD3903">
      <w:pPr>
        <w:pStyle w:val="BlockText"/>
      </w:pPr>
      <w:r>
        <w:rPr>
          <w:rFonts w:ascii="Arial Bold" w:eastAsia="Calibri" w:hAnsi="Arial Bold" w:cstheme="minorHAnsi"/>
          <w:b/>
          <w:bCs/>
          <w:caps/>
          <w:noProof/>
          <w:sz w:val="24"/>
          <w:szCs w:val="24"/>
          <w:lang w:val="en-NZ" w:eastAsia="en-NZ"/>
        </w:rPr>
        <w:fldChar w:fldCharType="end"/>
      </w:r>
    </w:p>
    <w:p w14:paraId="06F83F4B" w14:textId="4C35B529" w:rsidR="00CD3903" w:rsidRDefault="00CD3903" w:rsidP="00AF2146">
      <w:pPr>
        <w:pStyle w:val="Heading1"/>
      </w:pPr>
      <w:r>
        <w:br w:type="page"/>
      </w:r>
      <w:bookmarkStart w:id="12" w:name="_Toc446335359"/>
      <w:r w:rsidR="009222C8">
        <w:lastRenderedPageBreak/>
        <w:t xml:space="preserve">Cloud Computing </w:t>
      </w:r>
      <w:r w:rsidR="00DD0415">
        <w:t>Policy</w:t>
      </w:r>
      <w:bookmarkEnd w:id="12"/>
      <w:r w:rsidR="00DD0415">
        <w:t xml:space="preserve"> </w:t>
      </w:r>
    </w:p>
    <w:p w14:paraId="7CA0D3F1" w14:textId="77777777" w:rsidR="0096415D" w:rsidRPr="0096415D" w:rsidRDefault="0096415D" w:rsidP="0096415D">
      <w:pPr>
        <w:pStyle w:val="HeadingLine"/>
      </w:pPr>
    </w:p>
    <w:bookmarkStart w:id="13" w:name="_Toc321125839" w:displacedByCustomXml="next"/>
    <w:bookmarkStart w:id="14" w:name="_Toc321122938" w:displacedByCustomXml="next"/>
    <w:bookmarkStart w:id="15" w:name="_Toc446335360" w:displacedByCustomXml="next"/>
    <w:sdt>
      <w:sdtPr>
        <w:id w:val="618495675"/>
        <w:lock w:val="sdtContentLocked"/>
        <w:placeholder>
          <w:docPart w:val="A5E80BCE747D46D281BB8FDE7ADE9EC5"/>
        </w:placeholder>
      </w:sdtPr>
      <w:sdtEndPr/>
      <w:sdtContent>
        <w:p w14:paraId="40EFD17E" w14:textId="77777777" w:rsidR="00CD3903" w:rsidRPr="007E1553" w:rsidRDefault="00CD3903" w:rsidP="00AF2146">
          <w:pPr>
            <w:pStyle w:val="Heading3"/>
          </w:pPr>
          <w:r w:rsidRPr="00BC57E8">
            <w:t>Purpose</w:t>
          </w:r>
        </w:p>
        <w:bookmarkEnd w:id="13" w:displacedByCustomXml="next"/>
        <w:bookmarkEnd w:id="14" w:displacedByCustomXml="next"/>
      </w:sdtContent>
    </w:sdt>
    <w:bookmarkEnd w:id="15" w:displacedByCustomXml="prev"/>
    <w:p w14:paraId="4B449BE0" w14:textId="1410C17C" w:rsidR="00CD3903" w:rsidRDefault="009222C8" w:rsidP="00B069B2">
      <w:pPr>
        <w:widowControl w:val="0"/>
        <w:autoSpaceDE w:val="0"/>
        <w:autoSpaceDN w:val="0"/>
        <w:adjustRightInd w:val="0"/>
        <w:ind w:left="1134"/>
        <w:jc w:val="both"/>
        <w:rPr>
          <w:rFonts w:ascii="Arial" w:hAnsi="Arial" w:cs="Arial"/>
          <w:sz w:val="20"/>
          <w:szCs w:val="20"/>
        </w:rPr>
      </w:pPr>
      <w:r w:rsidRPr="009222C8">
        <w:rPr>
          <w:rFonts w:ascii="Arial" w:eastAsia="Times New Roman" w:hAnsi="Arial" w:cs="Arial"/>
          <w:sz w:val="20"/>
          <w:szCs w:val="20"/>
          <w:lang w:val="en-US"/>
        </w:rPr>
        <w:t xml:space="preserve">The purpose of the Cloud Computing </w:t>
      </w:r>
      <w:r w:rsidR="006F48BC">
        <w:rPr>
          <w:rFonts w:ascii="Arial" w:eastAsia="Times New Roman" w:hAnsi="Arial" w:cs="Arial"/>
          <w:sz w:val="20"/>
          <w:szCs w:val="20"/>
          <w:lang w:val="en-US"/>
        </w:rPr>
        <w:t>P</w:t>
      </w:r>
      <w:r>
        <w:rPr>
          <w:rFonts w:ascii="Arial" w:eastAsia="Times New Roman" w:hAnsi="Arial" w:cs="Arial"/>
          <w:sz w:val="20"/>
          <w:szCs w:val="20"/>
          <w:lang w:val="en-US"/>
        </w:rPr>
        <w:t xml:space="preserve">olicy </w:t>
      </w:r>
      <w:r w:rsidRPr="009222C8">
        <w:rPr>
          <w:rFonts w:ascii="Arial" w:eastAsia="Times New Roman" w:hAnsi="Arial" w:cs="Arial"/>
          <w:sz w:val="20"/>
          <w:szCs w:val="20"/>
          <w:lang w:val="en-US"/>
        </w:rPr>
        <w:t>is to ensure that the confidentiality, integrity and</w:t>
      </w:r>
      <w:r w:rsidR="004B5AB2">
        <w:rPr>
          <w:rFonts w:ascii="Arial" w:eastAsia="Times New Roman" w:hAnsi="Arial" w:cs="Arial"/>
          <w:sz w:val="20"/>
          <w:szCs w:val="20"/>
          <w:lang w:val="en-US"/>
        </w:rPr>
        <w:t xml:space="preserve"> </w:t>
      </w:r>
      <w:r w:rsidRPr="009222C8">
        <w:rPr>
          <w:rFonts w:ascii="Arial" w:eastAsia="Times New Roman" w:hAnsi="Arial" w:cs="Arial"/>
          <w:sz w:val="20"/>
          <w:szCs w:val="20"/>
          <w:lang w:val="en-US"/>
        </w:rPr>
        <w:t xml:space="preserve">availability of </w:t>
      </w:r>
      <w:r w:rsidR="00842B12">
        <w:rPr>
          <w:rFonts w:ascii="Arial" w:eastAsia="Times New Roman" w:hAnsi="Arial" w:cs="Arial"/>
          <w:sz w:val="20"/>
          <w:szCs w:val="20"/>
          <w:lang w:val="en-US"/>
        </w:rPr>
        <w:t>MIT</w:t>
      </w:r>
      <w:r w:rsidRPr="009222C8">
        <w:rPr>
          <w:rFonts w:ascii="Arial" w:eastAsia="Times New Roman" w:hAnsi="Arial" w:cs="Arial"/>
          <w:sz w:val="20"/>
          <w:szCs w:val="20"/>
          <w:lang w:val="en-US"/>
        </w:rPr>
        <w:t>'s information is maintained when services are delivered through a cloud</w:t>
      </w:r>
      <w:r>
        <w:rPr>
          <w:rFonts w:ascii="Arial" w:eastAsia="Times New Roman" w:hAnsi="Arial" w:cs="Arial"/>
          <w:sz w:val="20"/>
          <w:szCs w:val="20"/>
          <w:lang w:val="en-US"/>
        </w:rPr>
        <w:t xml:space="preserve"> </w:t>
      </w:r>
      <w:r w:rsidRPr="009222C8">
        <w:rPr>
          <w:rFonts w:ascii="Arial" w:eastAsia="Times New Roman" w:hAnsi="Arial" w:cs="Arial"/>
          <w:sz w:val="20"/>
          <w:szCs w:val="20"/>
          <w:lang w:val="en-US"/>
        </w:rPr>
        <w:t>computing environment. As the cloud can be private or public, local or international it is important to</w:t>
      </w:r>
      <w:r>
        <w:rPr>
          <w:rFonts w:ascii="Arial" w:eastAsia="Times New Roman" w:hAnsi="Arial" w:cs="Arial"/>
          <w:sz w:val="20"/>
          <w:szCs w:val="20"/>
          <w:lang w:val="en-US"/>
        </w:rPr>
        <w:t xml:space="preserve"> </w:t>
      </w:r>
      <w:r w:rsidRPr="009222C8">
        <w:rPr>
          <w:rFonts w:ascii="Arial" w:eastAsia="Times New Roman" w:hAnsi="Arial" w:cs="Arial"/>
          <w:sz w:val="20"/>
          <w:szCs w:val="20"/>
          <w:lang w:val="en-US"/>
        </w:rPr>
        <w:t xml:space="preserve">ensure that arrangements are supported by a </w:t>
      </w:r>
      <w:r w:rsidR="007805B6">
        <w:rPr>
          <w:rFonts w:ascii="Arial" w:eastAsia="Times New Roman" w:hAnsi="Arial" w:cs="Arial"/>
          <w:sz w:val="20"/>
          <w:szCs w:val="20"/>
          <w:lang w:val="en-US"/>
        </w:rPr>
        <w:t>s</w:t>
      </w:r>
      <w:r w:rsidRPr="009222C8">
        <w:rPr>
          <w:rFonts w:ascii="Arial" w:eastAsia="Times New Roman" w:hAnsi="Arial" w:cs="Arial"/>
          <w:sz w:val="20"/>
          <w:szCs w:val="20"/>
          <w:lang w:val="en-US"/>
        </w:rPr>
        <w:t xml:space="preserve">ervice agreement, meet </w:t>
      </w:r>
      <w:r w:rsidR="00842B12">
        <w:rPr>
          <w:rFonts w:ascii="Arial" w:eastAsia="Times New Roman" w:hAnsi="Arial" w:cs="Arial"/>
          <w:sz w:val="20"/>
          <w:szCs w:val="20"/>
          <w:lang w:val="en-US"/>
        </w:rPr>
        <w:t>MIT</w:t>
      </w:r>
      <w:r w:rsidRPr="009222C8">
        <w:rPr>
          <w:rFonts w:ascii="Arial" w:eastAsia="Times New Roman" w:hAnsi="Arial" w:cs="Arial"/>
          <w:sz w:val="20"/>
          <w:szCs w:val="20"/>
          <w:lang w:val="en-US"/>
        </w:rPr>
        <w:t>'s requirements</w:t>
      </w:r>
      <w:r>
        <w:rPr>
          <w:rFonts w:ascii="Arial" w:eastAsia="Times New Roman" w:hAnsi="Arial" w:cs="Arial"/>
          <w:sz w:val="20"/>
          <w:szCs w:val="20"/>
          <w:lang w:val="en-US"/>
        </w:rPr>
        <w:t xml:space="preserve"> </w:t>
      </w:r>
      <w:r w:rsidRPr="009222C8">
        <w:rPr>
          <w:rFonts w:ascii="Arial" w:eastAsia="Times New Roman" w:hAnsi="Arial" w:cs="Arial"/>
          <w:sz w:val="20"/>
          <w:szCs w:val="20"/>
          <w:lang w:val="en-US"/>
        </w:rPr>
        <w:t>for information security and enable statutory and legislative obligations to be met</w:t>
      </w:r>
      <w:r w:rsidR="00CD3903" w:rsidRPr="009222C8">
        <w:rPr>
          <w:rFonts w:ascii="Arial" w:hAnsi="Arial" w:cs="Arial"/>
          <w:sz w:val="20"/>
          <w:szCs w:val="20"/>
        </w:rPr>
        <w:t>.</w:t>
      </w:r>
    </w:p>
    <w:p w14:paraId="7E5EBE2B" w14:textId="77777777" w:rsidR="009222C8" w:rsidRDefault="009222C8" w:rsidP="00B069B2">
      <w:pPr>
        <w:widowControl w:val="0"/>
        <w:autoSpaceDE w:val="0"/>
        <w:autoSpaceDN w:val="0"/>
        <w:adjustRightInd w:val="0"/>
        <w:ind w:left="1134"/>
        <w:jc w:val="both"/>
        <w:rPr>
          <w:rFonts w:ascii="Arial" w:hAnsi="Arial" w:cs="Arial"/>
          <w:sz w:val="20"/>
          <w:szCs w:val="20"/>
        </w:rPr>
      </w:pPr>
    </w:p>
    <w:p w14:paraId="039C94FC" w14:textId="53094B68" w:rsidR="009222C8" w:rsidRPr="007E1553" w:rsidRDefault="009222C8" w:rsidP="002E07C6">
      <w:pPr>
        <w:pStyle w:val="Heading3"/>
      </w:pPr>
      <w:bookmarkStart w:id="16" w:name="_Toc446335361"/>
      <w:r>
        <w:t>Background</w:t>
      </w:r>
      <w:bookmarkEnd w:id="16"/>
    </w:p>
    <w:p w14:paraId="63DCD64C" w14:textId="77777777" w:rsidR="00145A6A" w:rsidRDefault="00145A6A" w:rsidP="00145A6A">
      <w:pPr>
        <w:ind w:left="1134"/>
        <w:jc w:val="both"/>
        <w:rPr>
          <w:rFonts w:ascii="Arial" w:hAnsi="Arial" w:cs="Arial"/>
          <w:sz w:val="20"/>
          <w:szCs w:val="20"/>
          <w:lang w:val="en-AU"/>
        </w:rPr>
      </w:pPr>
      <w:r w:rsidRPr="009222C8">
        <w:rPr>
          <w:rFonts w:ascii="Arial" w:hAnsi="Arial" w:cs="Arial"/>
          <w:sz w:val="20"/>
          <w:szCs w:val="20"/>
          <w:lang w:val="en-AU"/>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r w:rsidRPr="009222C8">
        <w:rPr>
          <w:rFonts w:ascii="Arial" w:hAnsi="Arial" w:cs="Arial"/>
          <w:sz w:val="20"/>
          <w:szCs w:val="20"/>
          <w:vertAlign w:val="superscript"/>
          <w:lang w:val="en-AU"/>
        </w:rPr>
        <w:footnoteReference w:id="1"/>
      </w:r>
    </w:p>
    <w:p w14:paraId="26AD5D31" w14:textId="77777777" w:rsidR="00145A6A" w:rsidRDefault="00145A6A" w:rsidP="00145A6A">
      <w:pPr>
        <w:ind w:left="1134"/>
        <w:jc w:val="both"/>
        <w:rPr>
          <w:rFonts w:ascii="Arial" w:hAnsi="Arial" w:cs="Arial"/>
          <w:sz w:val="20"/>
          <w:szCs w:val="20"/>
          <w:lang w:val="en-AU"/>
        </w:rPr>
      </w:pPr>
    </w:p>
    <w:p w14:paraId="73ED37DF" w14:textId="77777777" w:rsidR="009222C8" w:rsidRPr="009222C8" w:rsidRDefault="009222C8" w:rsidP="00145A6A">
      <w:pPr>
        <w:ind w:left="1134"/>
        <w:jc w:val="both"/>
        <w:rPr>
          <w:rFonts w:ascii="Arial" w:hAnsi="Arial" w:cs="Arial"/>
          <w:sz w:val="20"/>
          <w:szCs w:val="20"/>
          <w:lang w:val="en-AU"/>
        </w:rPr>
      </w:pPr>
      <w:r w:rsidRPr="009222C8">
        <w:rPr>
          <w:rFonts w:ascii="Arial" w:hAnsi="Arial" w:cs="Arial"/>
          <w:sz w:val="20"/>
          <w:szCs w:val="20"/>
          <w:lang w:val="en-AU"/>
        </w:rPr>
        <w:t>In August 2012, Government released [CAB Min[12] 29/8A]</w:t>
      </w:r>
      <w:r w:rsidRPr="009222C8">
        <w:rPr>
          <w:rFonts w:ascii="Arial" w:hAnsi="Arial" w:cs="Arial"/>
          <w:sz w:val="20"/>
          <w:szCs w:val="20"/>
          <w:vertAlign w:val="superscript"/>
          <w:lang w:val="en-AU"/>
        </w:rPr>
        <w:footnoteReference w:id="2"/>
      </w:r>
      <w:r w:rsidRPr="009222C8">
        <w:rPr>
          <w:rFonts w:ascii="Arial" w:hAnsi="Arial" w:cs="Arial"/>
          <w:sz w:val="20"/>
          <w:szCs w:val="20"/>
          <w:lang w:val="en-AU"/>
        </w:rPr>
        <w:t xml:space="preserve"> directing a “cloud first” policy for the State Sector. The rationale was to allow agencies “to consume ICT as a service which leads to smarter investment and savings across the public sector.”</w:t>
      </w:r>
    </w:p>
    <w:p w14:paraId="6E855308" w14:textId="77777777" w:rsidR="009222C8" w:rsidRPr="009222C8" w:rsidRDefault="009222C8" w:rsidP="00145A6A">
      <w:pPr>
        <w:ind w:left="1134"/>
        <w:jc w:val="both"/>
        <w:rPr>
          <w:rFonts w:ascii="Arial" w:hAnsi="Arial" w:cs="Arial"/>
          <w:sz w:val="20"/>
          <w:szCs w:val="20"/>
          <w:lang w:val="en-AU"/>
        </w:rPr>
      </w:pPr>
    </w:p>
    <w:p w14:paraId="0BCF3ED7" w14:textId="77777777" w:rsidR="009222C8" w:rsidRPr="009222C8" w:rsidRDefault="009222C8" w:rsidP="00145A6A">
      <w:pPr>
        <w:ind w:left="1134"/>
        <w:jc w:val="both"/>
        <w:rPr>
          <w:rFonts w:ascii="Arial" w:hAnsi="Arial" w:cs="Arial"/>
          <w:sz w:val="20"/>
          <w:szCs w:val="20"/>
          <w:lang w:val="en-AU"/>
        </w:rPr>
      </w:pPr>
      <w:r w:rsidRPr="009222C8">
        <w:rPr>
          <w:rFonts w:ascii="Arial" w:hAnsi="Arial" w:cs="Arial"/>
          <w:sz w:val="20"/>
          <w:szCs w:val="20"/>
          <w:lang w:val="en-AU"/>
        </w:rPr>
        <w:t>The benefits</w:t>
      </w:r>
      <w:r w:rsidRPr="009222C8">
        <w:rPr>
          <w:rFonts w:ascii="Arial" w:hAnsi="Arial" w:cs="Arial"/>
          <w:sz w:val="20"/>
          <w:szCs w:val="20"/>
          <w:vertAlign w:val="superscript"/>
          <w:lang w:val="en-AU"/>
        </w:rPr>
        <w:footnoteReference w:id="3"/>
      </w:r>
      <w:r w:rsidRPr="009222C8">
        <w:rPr>
          <w:rFonts w:ascii="Arial" w:hAnsi="Arial" w:cs="Arial"/>
          <w:sz w:val="20"/>
          <w:szCs w:val="20"/>
          <w:lang w:val="en-AU"/>
        </w:rPr>
        <w:t xml:space="preserve"> that Government saw from cloud computing were:</w:t>
      </w:r>
    </w:p>
    <w:p w14:paraId="28AA64FF" w14:textId="77777777" w:rsidR="009222C8" w:rsidRPr="009222C8" w:rsidRDefault="009222C8" w:rsidP="00145A6A">
      <w:pPr>
        <w:ind w:left="-284"/>
        <w:jc w:val="both"/>
        <w:rPr>
          <w:rFonts w:ascii="Arial" w:hAnsi="Arial" w:cs="Arial"/>
          <w:sz w:val="20"/>
          <w:szCs w:val="20"/>
          <w:lang w:val="en-AU"/>
        </w:rPr>
      </w:pPr>
    </w:p>
    <w:p w14:paraId="2BF14887" w14:textId="77777777" w:rsidR="009222C8" w:rsidRPr="009222C8" w:rsidRDefault="009222C8" w:rsidP="00145A6A">
      <w:pPr>
        <w:numPr>
          <w:ilvl w:val="0"/>
          <w:numId w:val="30"/>
        </w:numPr>
        <w:spacing w:line="276" w:lineRule="auto"/>
        <w:ind w:left="1418" w:hanging="284"/>
        <w:jc w:val="both"/>
        <w:rPr>
          <w:rFonts w:ascii="Arial" w:hAnsi="Arial" w:cs="Arial"/>
          <w:sz w:val="20"/>
          <w:szCs w:val="20"/>
          <w:lang w:val="en-AU"/>
        </w:rPr>
      </w:pPr>
      <w:r w:rsidRPr="009222C8">
        <w:rPr>
          <w:rFonts w:ascii="Arial" w:hAnsi="Arial" w:cs="Arial"/>
          <w:sz w:val="20"/>
          <w:szCs w:val="20"/>
          <w:lang w:val="en-AU"/>
        </w:rPr>
        <w:t>Cloud computing solutions are scalable: agencies can purchase as much or as little resource as they need at any particular time.  They pay for what they use.</w:t>
      </w:r>
    </w:p>
    <w:p w14:paraId="62783E3B" w14:textId="77777777" w:rsidR="009222C8" w:rsidRPr="009222C8" w:rsidRDefault="009222C8" w:rsidP="00145A6A">
      <w:pPr>
        <w:numPr>
          <w:ilvl w:val="0"/>
          <w:numId w:val="30"/>
        </w:numPr>
        <w:spacing w:line="276" w:lineRule="auto"/>
        <w:ind w:left="1418" w:hanging="284"/>
        <w:jc w:val="both"/>
        <w:rPr>
          <w:rFonts w:ascii="Arial" w:hAnsi="Arial" w:cs="Arial"/>
          <w:sz w:val="20"/>
          <w:szCs w:val="20"/>
          <w:lang w:val="en-AU"/>
        </w:rPr>
      </w:pPr>
      <w:r w:rsidRPr="009222C8">
        <w:rPr>
          <w:rFonts w:ascii="Arial" w:hAnsi="Arial" w:cs="Arial"/>
          <w:sz w:val="20"/>
          <w:szCs w:val="20"/>
          <w:lang w:val="en-AU"/>
        </w:rPr>
        <w:t>Agencies do not have to make large capital outlays on computing hardware, or pay for the upkeep of that hardware.</w:t>
      </w:r>
    </w:p>
    <w:p w14:paraId="39F83972" w14:textId="77777777" w:rsidR="009222C8" w:rsidRPr="009222C8" w:rsidRDefault="009222C8" w:rsidP="00145A6A">
      <w:pPr>
        <w:numPr>
          <w:ilvl w:val="0"/>
          <w:numId w:val="30"/>
        </w:numPr>
        <w:spacing w:line="276" w:lineRule="auto"/>
        <w:ind w:left="1418" w:hanging="284"/>
        <w:jc w:val="both"/>
        <w:rPr>
          <w:rFonts w:ascii="Arial" w:hAnsi="Arial" w:cs="Arial"/>
          <w:sz w:val="20"/>
          <w:szCs w:val="20"/>
          <w:lang w:val="en-AU"/>
        </w:rPr>
      </w:pPr>
      <w:r w:rsidRPr="009222C8">
        <w:rPr>
          <w:rFonts w:ascii="Arial" w:hAnsi="Arial" w:cs="Arial"/>
          <w:sz w:val="20"/>
          <w:szCs w:val="20"/>
          <w:lang w:val="en-AU"/>
        </w:rPr>
        <w:t>Cloud computing provides economies of scale through all-of-government volume discounts. This is particularly beneficial for smaller ICT users.</w:t>
      </w:r>
    </w:p>
    <w:p w14:paraId="02C0A65B" w14:textId="77777777" w:rsidR="009222C8" w:rsidRPr="009222C8" w:rsidRDefault="009222C8" w:rsidP="00145A6A">
      <w:pPr>
        <w:numPr>
          <w:ilvl w:val="0"/>
          <w:numId w:val="30"/>
        </w:numPr>
        <w:spacing w:line="276" w:lineRule="auto"/>
        <w:ind w:left="1418" w:hanging="284"/>
        <w:jc w:val="both"/>
        <w:rPr>
          <w:rFonts w:ascii="Arial" w:hAnsi="Arial" w:cs="Arial"/>
          <w:sz w:val="20"/>
          <w:szCs w:val="20"/>
          <w:lang w:val="en-AU"/>
        </w:rPr>
      </w:pPr>
      <w:r w:rsidRPr="009222C8">
        <w:rPr>
          <w:rFonts w:ascii="Arial" w:hAnsi="Arial" w:cs="Arial"/>
          <w:sz w:val="20"/>
          <w:szCs w:val="20"/>
          <w:lang w:val="en-AU"/>
        </w:rPr>
        <w:t>Agencies can easily access the latest versions of common software, which deliver improved and robust functionality, and eliminating significant costs associated with version upgrades.</w:t>
      </w:r>
    </w:p>
    <w:p w14:paraId="33BA9FAA" w14:textId="77777777" w:rsidR="009222C8" w:rsidRPr="009222C8" w:rsidRDefault="009222C8" w:rsidP="00145A6A">
      <w:pPr>
        <w:numPr>
          <w:ilvl w:val="0"/>
          <w:numId w:val="30"/>
        </w:numPr>
        <w:spacing w:line="276" w:lineRule="auto"/>
        <w:ind w:left="1418" w:hanging="284"/>
        <w:jc w:val="both"/>
        <w:rPr>
          <w:rFonts w:ascii="Arial" w:hAnsi="Arial" w:cs="Arial"/>
          <w:sz w:val="20"/>
          <w:szCs w:val="20"/>
          <w:lang w:val="en-AU"/>
        </w:rPr>
      </w:pPr>
      <w:r w:rsidRPr="009222C8">
        <w:rPr>
          <w:rFonts w:ascii="Arial" w:hAnsi="Arial" w:cs="Arial"/>
          <w:sz w:val="20"/>
          <w:szCs w:val="20"/>
          <w:lang w:val="en-AU"/>
        </w:rPr>
        <w:t>If agencies are able to access the same programmes, and up-to-date versions of those programmes, this will improve resiliency and reduce productivity losses caused when applications are incompatible across agencies.</w:t>
      </w:r>
    </w:p>
    <w:p w14:paraId="0566D743" w14:textId="77777777" w:rsidR="009222C8" w:rsidRDefault="009222C8" w:rsidP="00145A6A">
      <w:pPr>
        <w:ind w:left="1134"/>
        <w:jc w:val="both"/>
        <w:rPr>
          <w:rFonts w:ascii="Arial" w:hAnsi="Arial" w:cs="Arial"/>
          <w:sz w:val="20"/>
          <w:szCs w:val="20"/>
          <w:lang w:val="en-AU"/>
        </w:rPr>
      </w:pPr>
    </w:p>
    <w:p w14:paraId="2E2F158D" w14:textId="4415B225" w:rsidR="009222C8" w:rsidRPr="009222C8" w:rsidRDefault="009222C8" w:rsidP="00145A6A">
      <w:pPr>
        <w:ind w:left="1134"/>
        <w:jc w:val="both"/>
        <w:rPr>
          <w:rFonts w:ascii="Arial" w:hAnsi="Arial" w:cs="Arial"/>
          <w:sz w:val="20"/>
          <w:szCs w:val="20"/>
          <w:lang w:val="en-AU"/>
        </w:rPr>
      </w:pPr>
      <w:r w:rsidRPr="009222C8">
        <w:rPr>
          <w:rFonts w:ascii="Arial" w:hAnsi="Arial" w:cs="Arial"/>
          <w:sz w:val="20"/>
          <w:szCs w:val="20"/>
          <w:lang w:val="en-AU"/>
        </w:rPr>
        <w:t xml:space="preserve">The Government recognised that while </w:t>
      </w:r>
      <w:r w:rsidR="007805B6">
        <w:rPr>
          <w:rFonts w:ascii="Arial" w:hAnsi="Arial" w:cs="Arial"/>
          <w:sz w:val="20"/>
          <w:szCs w:val="20"/>
          <w:lang w:val="en-AU"/>
        </w:rPr>
        <w:t>cloud c</w:t>
      </w:r>
      <w:r w:rsidRPr="009222C8">
        <w:rPr>
          <w:rFonts w:ascii="Arial" w:hAnsi="Arial" w:cs="Arial"/>
          <w:sz w:val="20"/>
          <w:szCs w:val="20"/>
          <w:lang w:val="en-AU"/>
        </w:rPr>
        <w:t>omputing offered significant financial and operational benefits, there were associated risks that must be managed. To this end the Government released its Cloud Computing Risk and Assurance Framework, [CAB Min[13] 37/6B]</w:t>
      </w:r>
      <w:r w:rsidRPr="009222C8">
        <w:rPr>
          <w:rFonts w:ascii="Arial" w:hAnsi="Arial" w:cs="Arial"/>
          <w:sz w:val="20"/>
          <w:szCs w:val="20"/>
          <w:vertAlign w:val="superscript"/>
          <w:lang w:val="en-AU"/>
        </w:rPr>
        <w:footnoteReference w:id="4"/>
      </w:r>
      <w:r w:rsidRPr="009222C8">
        <w:rPr>
          <w:rFonts w:ascii="Arial" w:hAnsi="Arial" w:cs="Arial"/>
          <w:sz w:val="20"/>
          <w:szCs w:val="20"/>
          <w:lang w:val="en-AU"/>
        </w:rPr>
        <w:t xml:space="preserve"> </w:t>
      </w:r>
      <w:r w:rsidR="00145A6A">
        <w:rPr>
          <w:rFonts w:ascii="Arial" w:hAnsi="Arial" w:cs="Arial"/>
          <w:sz w:val="20"/>
          <w:szCs w:val="20"/>
          <w:lang w:val="en-AU"/>
        </w:rPr>
        <w:t>in</w:t>
      </w:r>
      <w:r w:rsidR="00145A6A" w:rsidRPr="009222C8">
        <w:rPr>
          <w:rFonts w:ascii="Arial" w:hAnsi="Arial" w:cs="Arial"/>
          <w:sz w:val="20"/>
          <w:szCs w:val="20"/>
          <w:lang w:val="en-AU"/>
        </w:rPr>
        <w:t xml:space="preserve"> </w:t>
      </w:r>
      <w:r w:rsidRPr="009222C8">
        <w:rPr>
          <w:rFonts w:ascii="Arial" w:hAnsi="Arial" w:cs="Arial"/>
          <w:sz w:val="20"/>
          <w:szCs w:val="20"/>
          <w:lang w:val="en-AU"/>
        </w:rPr>
        <w:t xml:space="preserve">October 2013 which all State Service agencies are expected to follow. To support this </w:t>
      </w:r>
      <w:r w:rsidRPr="009222C8">
        <w:rPr>
          <w:rFonts w:ascii="Arial" w:hAnsi="Arial" w:cs="Arial"/>
          <w:sz w:val="20"/>
          <w:szCs w:val="20"/>
          <w:lang w:val="en-AU"/>
        </w:rPr>
        <w:lastRenderedPageBreak/>
        <w:t>the Government CIO produced the “Cloud Computing: Information Security and Privacy Considerations”</w:t>
      </w:r>
      <w:r w:rsidRPr="009222C8">
        <w:rPr>
          <w:rFonts w:ascii="Arial" w:hAnsi="Arial" w:cs="Arial"/>
          <w:sz w:val="20"/>
          <w:szCs w:val="20"/>
          <w:vertAlign w:val="superscript"/>
          <w:lang w:val="en-AU"/>
        </w:rPr>
        <w:footnoteReference w:id="5"/>
      </w:r>
      <w:r w:rsidRPr="009222C8">
        <w:rPr>
          <w:rFonts w:ascii="Arial" w:hAnsi="Arial" w:cs="Arial"/>
          <w:sz w:val="20"/>
          <w:szCs w:val="20"/>
          <w:lang w:val="en-AU"/>
        </w:rPr>
        <w:t xml:space="preserve"> publication, which needs to be followed to ensure adherence to the framework.</w:t>
      </w:r>
    </w:p>
    <w:bookmarkStart w:id="17" w:name="_Toc321122939"/>
    <w:bookmarkStart w:id="18" w:name="_Toc321125840"/>
    <w:bookmarkStart w:id="19" w:name="_Toc446335362"/>
    <w:p w14:paraId="221CB6B2" w14:textId="77777777" w:rsidR="00CD3903" w:rsidRPr="007E1553" w:rsidRDefault="004B608B" w:rsidP="00AF2146">
      <w:pPr>
        <w:pStyle w:val="Heading3"/>
      </w:pPr>
      <w:sdt>
        <w:sdtPr>
          <w:id w:val="-1818178647"/>
          <w:lock w:val="sdtContentLocked"/>
          <w:placeholder>
            <w:docPart w:val="A5E80BCE747D46D281BB8FDE7ADE9EC5"/>
          </w:placeholder>
        </w:sdtPr>
        <w:sdtEndPr/>
        <w:sdtContent>
          <w:r w:rsidR="00CD3903" w:rsidRPr="0096415D">
            <w:t>Policy</w:t>
          </w:r>
          <w:bookmarkEnd w:id="17"/>
          <w:bookmarkEnd w:id="18"/>
        </w:sdtContent>
      </w:sdt>
      <w:bookmarkEnd w:id="19"/>
      <w:r w:rsidR="00CD3903" w:rsidRPr="007E1553">
        <w:t xml:space="preserve"> </w:t>
      </w:r>
    </w:p>
    <w:p w14:paraId="429987BB" w14:textId="7B8E2566" w:rsidR="00CD3903" w:rsidRDefault="009222C8" w:rsidP="00145A6A">
      <w:pPr>
        <w:ind w:left="1134"/>
        <w:jc w:val="both"/>
        <w:rPr>
          <w:rFonts w:ascii="Arial" w:hAnsi="Arial" w:cs="Arial"/>
          <w:sz w:val="20"/>
          <w:szCs w:val="20"/>
          <w:lang w:val="en-AU"/>
        </w:rPr>
      </w:pPr>
      <w:bookmarkStart w:id="20" w:name="_Toc300139184"/>
      <w:bookmarkStart w:id="21" w:name="_Toc300666445"/>
      <w:r w:rsidRPr="009222C8">
        <w:rPr>
          <w:rFonts w:ascii="Arial" w:hAnsi="Arial" w:cs="Arial"/>
          <w:sz w:val="20"/>
          <w:szCs w:val="20"/>
          <w:lang w:val="en-AU"/>
        </w:rPr>
        <w:t xml:space="preserve">MIT </w:t>
      </w:r>
      <w:r>
        <w:rPr>
          <w:rFonts w:ascii="Arial" w:hAnsi="Arial" w:cs="Arial"/>
          <w:sz w:val="20"/>
          <w:szCs w:val="20"/>
          <w:lang w:val="en-AU"/>
        </w:rPr>
        <w:t xml:space="preserve">will </w:t>
      </w:r>
      <w:r w:rsidRPr="009222C8">
        <w:rPr>
          <w:rFonts w:ascii="Arial" w:hAnsi="Arial" w:cs="Arial"/>
          <w:sz w:val="20"/>
          <w:szCs w:val="20"/>
          <w:lang w:val="en-AU"/>
        </w:rPr>
        <w:t xml:space="preserve">follow the intent of Government and move to fully utilising </w:t>
      </w:r>
      <w:r w:rsidR="000763F9">
        <w:rPr>
          <w:rFonts w:ascii="Arial" w:hAnsi="Arial" w:cs="Arial"/>
          <w:sz w:val="20"/>
          <w:szCs w:val="20"/>
          <w:lang w:val="en-AU"/>
        </w:rPr>
        <w:t>c</w:t>
      </w:r>
      <w:r w:rsidRPr="009222C8">
        <w:rPr>
          <w:rFonts w:ascii="Arial" w:hAnsi="Arial" w:cs="Arial"/>
          <w:sz w:val="20"/>
          <w:szCs w:val="20"/>
          <w:lang w:val="en-AU"/>
        </w:rPr>
        <w:t xml:space="preserve">loud </w:t>
      </w:r>
      <w:r w:rsidR="000763F9">
        <w:rPr>
          <w:rFonts w:ascii="Arial" w:hAnsi="Arial" w:cs="Arial"/>
          <w:sz w:val="20"/>
          <w:szCs w:val="20"/>
          <w:lang w:val="en-AU"/>
        </w:rPr>
        <w:t>c</w:t>
      </w:r>
      <w:r w:rsidRPr="009222C8">
        <w:rPr>
          <w:rFonts w:ascii="Arial" w:hAnsi="Arial" w:cs="Arial"/>
          <w:sz w:val="20"/>
          <w:szCs w:val="20"/>
          <w:lang w:val="en-AU"/>
        </w:rPr>
        <w:t xml:space="preserve">omputing in order to accrue the advantages that have been identified. MIT will comply with </w:t>
      </w:r>
      <w:r w:rsidR="00145A6A">
        <w:rPr>
          <w:rFonts w:ascii="Arial" w:hAnsi="Arial" w:cs="Arial"/>
          <w:sz w:val="20"/>
          <w:szCs w:val="20"/>
          <w:lang w:val="en-AU"/>
        </w:rPr>
        <w:t>Government’s</w:t>
      </w:r>
      <w:r w:rsidR="00145A6A" w:rsidRPr="009222C8">
        <w:rPr>
          <w:rFonts w:ascii="Arial" w:hAnsi="Arial" w:cs="Arial"/>
          <w:sz w:val="20"/>
          <w:szCs w:val="20"/>
          <w:lang w:val="en-AU"/>
        </w:rPr>
        <w:t xml:space="preserve"> </w:t>
      </w:r>
      <w:r w:rsidRPr="009222C8">
        <w:rPr>
          <w:rFonts w:ascii="Arial" w:hAnsi="Arial" w:cs="Arial"/>
          <w:sz w:val="20"/>
          <w:szCs w:val="20"/>
          <w:lang w:val="en-AU"/>
        </w:rPr>
        <w:t xml:space="preserve">Cloud Computing Risk and Assurance Framework for all </w:t>
      </w:r>
      <w:r w:rsidR="004B5AB2">
        <w:rPr>
          <w:rFonts w:ascii="Arial" w:hAnsi="Arial" w:cs="Arial"/>
          <w:sz w:val="20"/>
          <w:szCs w:val="20"/>
          <w:lang w:val="en-AU"/>
        </w:rPr>
        <w:t>C</w:t>
      </w:r>
      <w:r w:rsidRPr="009222C8">
        <w:rPr>
          <w:rFonts w:ascii="Arial" w:hAnsi="Arial" w:cs="Arial"/>
          <w:sz w:val="20"/>
          <w:szCs w:val="20"/>
          <w:lang w:val="en-AU"/>
        </w:rPr>
        <w:t xml:space="preserve">loud </w:t>
      </w:r>
      <w:r w:rsidR="004B5AB2">
        <w:rPr>
          <w:rFonts w:ascii="Arial" w:hAnsi="Arial" w:cs="Arial"/>
          <w:sz w:val="20"/>
          <w:szCs w:val="20"/>
          <w:lang w:val="en-AU"/>
        </w:rPr>
        <w:t>C</w:t>
      </w:r>
      <w:r w:rsidRPr="009222C8">
        <w:rPr>
          <w:rFonts w:ascii="Arial" w:hAnsi="Arial" w:cs="Arial"/>
          <w:sz w:val="20"/>
          <w:szCs w:val="20"/>
          <w:lang w:val="en-AU"/>
        </w:rPr>
        <w:t>omputing initiatives.</w:t>
      </w:r>
      <w:bookmarkEnd w:id="20"/>
      <w:bookmarkEnd w:id="21"/>
    </w:p>
    <w:p w14:paraId="05229A6A" w14:textId="77777777" w:rsidR="00145A6A" w:rsidRDefault="00145A6A" w:rsidP="00145A6A">
      <w:pPr>
        <w:ind w:left="1134"/>
        <w:jc w:val="both"/>
        <w:rPr>
          <w:rFonts w:ascii="Arial" w:hAnsi="Arial" w:cs="Arial"/>
          <w:sz w:val="20"/>
          <w:szCs w:val="20"/>
          <w:lang w:val="en-AU"/>
        </w:rPr>
      </w:pPr>
    </w:p>
    <w:p w14:paraId="339A1CFD" w14:textId="14B361B6" w:rsidR="00233D23" w:rsidRDefault="00145A6A" w:rsidP="00145A6A">
      <w:pPr>
        <w:ind w:left="1134"/>
        <w:jc w:val="both"/>
        <w:rPr>
          <w:rFonts w:ascii="Arial" w:hAnsi="Arial" w:cs="Arial"/>
          <w:sz w:val="20"/>
          <w:szCs w:val="20"/>
          <w:lang w:val="en-AU"/>
        </w:rPr>
      </w:pPr>
      <w:r>
        <w:rPr>
          <w:rFonts w:ascii="Arial" w:hAnsi="Arial" w:cs="Arial"/>
          <w:sz w:val="20"/>
          <w:szCs w:val="20"/>
          <w:lang w:val="en-AU"/>
        </w:rPr>
        <w:t xml:space="preserve">MIT will implement the following controls for Cloud services: </w:t>
      </w:r>
    </w:p>
    <w:p w14:paraId="1785657D" w14:textId="77777777" w:rsidR="00233D23" w:rsidRDefault="00233D23" w:rsidP="009222C8">
      <w:pPr>
        <w:ind w:left="1134" w:right="-330"/>
        <w:rPr>
          <w:rFonts w:ascii="Arial" w:hAnsi="Arial" w:cs="Arial"/>
          <w:sz w:val="20"/>
          <w:szCs w:val="20"/>
          <w:lang w:val="en-AU"/>
        </w:rPr>
      </w:pPr>
    </w:p>
    <w:tbl>
      <w:tblPr>
        <w:tblStyle w:val="TableGrid"/>
        <w:tblW w:w="8647"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8041"/>
      </w:tblGrid>
      <w:tr w:rsidR="00233D23" w:rsidRPr="00DA4CD8" w14:paraId="03AFFB6C" w14:textId="77777777" w:rsidTr="00145A6A">
        <w:tc>
          <w:tcPr>
            <w:tcW w:w="606" w:type="dxa"/>
          </w:tcPr>
          <w:p w14:paraId="21F544BC" w14:textId="114D1F93" w:rsidR="00233D23" w:rsidRPr="009B2CD4" w:rsidRDefault="00233D23" w:rsidP="009B2CD4">
            <w:pPr>
              <w:pStyle w:val="TableText"/>
              <w:widowControl w:val="0"/>
              <w:spacing w:before="120" w:after="120"/>
              <w:jc w:val="both"/>
              <w:rPr>
                <w:rFonts w:cs="Arial"/>
                <w:b/>
              </w:rPr>
            </w:pPr>
            <w:r w:rsidRPr="009B2CD4">
              <w:rPr>
                <w:rFonts w:cs="Arial"/>
                <w:b/>
              </w:rPr>
              <w:t>1.</w:t>
            </w:r>
          </w:p>
        </w:tc>
        <w:tc>
          <w:tcPr>
            <w:tcW w:w="8041" w:type="dxa"/>
          </w:tcPr>
          <w:p w14:paraId="595A9917" w14:textId="56C10CDD" w:rsidR="00233D23" w:rsidRPr="009B2CD4" w:rsidRDefault="00233D23" w:rsidP="009B2CD4">
            <w:pPr>
              <w:pStyle w:val="TableText"/>
              <w:widowControl w:val="0"/>
              <w:spacing w:before="120" w:after="120"/>
              <w:jc w:val="both"/>
              <w:rPr>
                <w:rFonts w:cs="Arial"/>
                <w:b/>
              </w:rPr>
            </w:pPr>
            <w:r w:rsidRPr="009B2CD4">
              <w:rPr>
                <w:rFonts w:cs="Arial"/>
                <w:b/>
              </w:rPr>
              <w:t xml:space="preserve">Information Security Requirements </w:t>
            </w:r>
          </w:p>
        </w:tc>
      </w:tr>
      <w:tr w:rsidR="00233D23" w:rsidRPr="00233D23" w14:paraId="7BF4D9F1" w14:textId="77777777" w:rsidTr="00145A6A">
        <w:tc>
          <w:tcPr>
            <w:tcW w:w="606" w:type="dxa"/>
          </w:tcPr>
          <w:p w14:paraId="23B3721A" w14:textId="7AD5793C" w:rsidR="00233D23" w:rsidRPr="009B2CD4" w:rsidRDefault="00233D23" w:rsidP="009B2CD4">
            <w:pPr>
              <w:pStyle w:val="TableText"/>
              <w:widowControl w:val="0"/>
              <w:spacing w:before="120" w:after="120"/>
              <w:jc w:val="both"/>
              <w:rPr>
                <w:rFonts w:cs="Arial"/>
              </w:rPr>
            </w:pPr>
            <w:r w:rsidRPr="009B2CD4">
              <w:rPr>
                <w:rFonts w:cs="Arial"/>
              </w:rPr>
              <w:t>1.</w:t>
            </w:r>
            <w:r w:rsidR="007077D0" w:rsidRPr="009B2CD4">
              <w:rPr>
                <w:rFonts w:cs="Arial"/>
              </w:rPr>
              <w:t>2</w:t>
            </w:r>
          </w:p>
        </w:tc>
        <w:tc>
          <w:tcPr>
            <w:tcW w:w="8041" w:type="dxa"/>
          </w:tcPr>
          <w:p w14:paraId="362D1E6C" w14:textId="6CF04B5E" w:rsidR="00233D23" w:rsidRPr="009B2CD4" w:rsidRDefault="00DC4E28" w:rsidP="009B2CD4">
            <w:pPr>
              <w:pStyle w:val="TableText"/>
              <w:widowControl w:val="0"/>
              <w:spacing w:before="120" w:after="120"/>
              <w:jc w:val="both"/>
              <w:rPr>
                <w:rFonts w:cs="Arial"/>
              </w:rPr>
            </w:pPr>
            <w:r w:rsidRPr="009B2CD4">
              <w:rPr>
                <w:rFonts w:cs="Arial"/>
              </w:rPr>
              <w:t xml:space="preserve">MIT must confirm the responsibilities of the cloud service provider with regard to information security. These responsibilities must be documented in an agreement which is signed by both </w:t>
            </w:r>
            <w:r w:rsidR="004579E5" w:rsidRPr="009B2CD4">
              <w:rPr>
                <w:rFonts w:cs="Arial"/>
              </w:rPr>
              <w:t>MIT</w:t>
            </w:r>
            <w:r w:rsidRPr="009B2CD4">
              <w:rPr>
                <w:rFonts w:cs="Arial"/>
              </w:rPr>
              <w:t xml:space="preserve"> and the cloud service provider, and approved in accordance with the Agreement Approval Policy</w:t>
            </w:r>
            <w:r w:rsidR="00233D23" w:rsidRPr="009B2CD4">
              <w:rPr>
                <w:rFonts w:cs="Arial"/>
              </w:rPr>
              <w:t xml:space="preserve">. </w:t>
            </w:r>
          </w:p>
        </w:tc>
      </w:tr>
      <w:tr w:rsidR="00233D23" w:rsidRPr="00233D23" w14:paraId="6B5565DD" w14:textId="77777777" w:rsidTr="00145A6A">
        <w:tc>
          <w:tcPr>
            <w:tcW w:w="606" w:type="dxa"/>
          </w:tcPr>
          <w:p w14:paraId="7B59E20A" w14:textId="06BAEF41" w:rsidR="00233D23" w:rsidRPr="009B2CD4" w:rsidRDefault="00233D23" w:rsidP="009B2CD4">
            <w:pPr>
              <w:pStyle w:val="TableText"/>
              <w:widowControl w:val="0"/>
              <w:spacing w:before="120" w:after="120"/>
              <w:jc w:val="both"/>
              <w:rPr>
                <w:rFonts w:cs="Arial"/>
              </w:rPr>
            </w:pPr>
            <w:r w:rsidRPr="009B2CD4">
              <w:rPr>
                <w:rFonts w:cs="Arial"/>
              </w:rPr>
              <w:t>1.</w:t>
            </w:r>
            <w:r w:rsidR="007077D0" w:rsidRPr="009B2CD4">
              <w:rPr>
                <w:rFonts w:cs="Arial"/>
              </w:rPr>
              <w:t>3</w:t>
            </w:r>
          </w:p>
        </w:tc>
        <w:tc>
          <w:tcPr>
            <w:tcW w:w="8041" w:type="dxa"/>
          </w:tcPr>
          <w:p w14:paraId="2C644102" w14:textId="5061CD15" w:rsidR="00233D23" w:rsidRPr="009B2CD4" w:rsidRDefault="00233D23" w:rsidP="009B2CD4">
            <w:pPr>
              <w:pStyle w:val="TableText"/>
              <w:widowControl w:val="0"/>
              <w:spacing w:before="120" w:after="120"/>
              <w:jc w:val="both"/>
              <w:rPr>
                <w:rFonts w:cs="Arial"/>
              </w:rPr>
            </w:pPr>
            <w:r w:rsidRPr="009B2CD4">
              <w:rPr>
                <w:rFonts w:cs="Arial"/>
              </w:rPr>
              <w:t xml:space="preserve">The cloud service provider </w:t>
            </w:r>
            <w:r w:rsidR="00DA3AA9">
              <w:rPr>
                <w:rFonts w:cs="Arial"/>
              </w:rPr>
              <w:t>must</w:t>
            </w:r>
            <w:r w:rsidRPr="009B2CD4">
              <w:rPr>
                <w:rFonts w:cs="Arial"/>
              </w:rPr>
              <w:t xml:space="preserve"> sign a confidentiality agreement as part of</w:t>
            </w:r>
            <w:r w:rsidR="00DA4CD8" w:rsidRPr="009B2CD4">
              <w:rPr>
                <w:rFonts w:cs="Arial"/>
              </w:rPr>
              <w:t xml:space="preserve"> </w:t>
            </w:r>
            <w:r w:rsidRPr="009B2CD4">
              <w:rPr>
                <w:rFonts w:cs="Arial"/>
              </w:rPr>
              <w:t>their contract. This may include:</w:t>
            </w:r>
          </w:p>
          <w:p w14:paraId="46231DE4" w14:textId="06F36DAA" w:rsidR="00233D23" w:rsidRPr="009B2CD4" w:rsidRDefault="00233D23" w:rsidP="009B2CD4">
            <w:pPr>
              <w:pStyle w:val="TableText"/>
              <w:widowControl w:val="0"/>
              <w:numPr>
                <w:ilvl w:val="0"/>
                <w:numId w:val="29"/>
              </w:numPr>
              <w:spacing w:before="120" w:after="120"/>
              <w:ind w:left="284" w:hanging="284"/>
              <w:jc w:val="both"/>
              <w:rPr>
                <w:rFonts w:cs="Arial"/>
              </w:rPr>
            </w:pPr>
            <w:r w:rsidRPr="009B2CD4">
              <w:rPr>
                <w:rFonts w:cs="Arial"/>
              </w:rPr>
              <w:t>Definition of the information to be protected</w:t>
            </w:r>
            <w:r w:rsidR="00D47475" w:rsidRPr="009B2CD4">
              <w:rPr>
                <w:rFonts w:cs="Arial"/>
              </w:rPr>
              <w:t>.</w:t>
            </w:r>
          </w:p>
          <w:p w14:paraId="4C3E85E0" w14:textId="64ED8425" w:rsidR="00233D23" w:rsidRPr="009B2CD4" w:rsidRDefault="00233D23" w:rsidP="009B2CD4">
            <w:pPr>
              <w:pStyle w:val="TableText"/>
              <w:widowControl w:val="0"/>
              <w:numPr>
                <w:ilvl w:val="0"/>
                <w:numId w:val="29"/>
              </w:numPr>
              <w:spacing w:before="120" w:after="120"/>
              <w:ind w:left="284" w:hanging="284"/>
              <w:jc w:val="both"/>
              <w:rPr>
                <w:rFonts w:cs="Arial"/>
              </w:rPr>
            </w:pPr>
            <w:r w:rsidRPr="009B2CD4">
              <w:rPr>
                <w:rFonts w:cs="Arial"/>
              </w:rPr>
              <w:t>Duration of the agreement</w:t>
            </w:r>
            <w:r w:rsidR="00D47475" w:rsidRPr="009B2CD4">
              <w:rPr>
                <w:rFonts w:cs="Arial"/>
              </w:rPr>
              <w:t>.</w:t>
            </w:r>
          </w:p>
          <w:p w14:paraId="15A2B83F" w14:textId="7501E650" w:rsidR="00233D23" w:rsidRPr="009B2CD4" w:rsidRDefault="00233D23" w:rsidP="009B2CD4">
            <w:pPr>
              <w:pStyle w:val="TableText"/>
              <w:widowControl w:val="0"/>
              <w:numPr>
                <w:ilvl w:val="0"/>
                <w:numId w:val="29"/>
              </w:numPr>
              <w:spacing w:before="120" w:after="120"/>
              <w:ind w:left="284" w:hanging="284"/>
              <w:jc w:val="both"/>
              <w:rPr>
                <w:rFonts w:cs="Arial"/>
              </w:rPr>
            </w:pPr>
            <w:r w:rsidRPr="009B2CD4">
              <w:rPr>
                <w:rFonts w:cs="Arial"/>
              </w:rPr>
              <w:t>Termination procedure</w:t>
            </w:r>
            <w:r w:rsidR="00D47475" w:rsidRPr="009B2CD4">
              <w:rPr>
                <w:rFonts w:cs="Arial"/>
              </w:rPr>
              <w:t>.</w:t>
            </w:r>
          </w:p>
          <w:p w14:paraId="1E830282" w14:textId="14CF6FD4" w:rsidR="00233D23" w:rsidRPr="009B2CD4" w:rsidRDefault="00233D23" w:rsidP="009B2CD4">
            <w:pPr>
              <w:pStyle w:val="TableText"/>
              <w:widowControl w:val="0"/>
              <w:numPr>
                <w:ilvl w:val="0"/>
                <w:numId w:val="29"/>
              </w:numPr>
              <w:spacing w:before="120" w:after="120"/>
              <w:ind w:left="284" w:hanging="284"/>
              <w:jc w:val="both"/>
              <w:rPr>
                <w:rFonts w:cs="Arial"/>
              </w:rPr>
            </w:pPr>
            <w:r w:rsidRPr="009B2CD4">
              <w:rPr>
                <w:rFonts w:cs="Arial"/>
              </w:rPr>
              <w:t>Security responsibilities to avoid information disclosure</w:t>
            </w:r>
            <w:r w:rsidR="00D47475" w:rsidRPr="009B2CD4">
              <w:rPr>
                <w:rFonts w:cs="Arial"/>
              </w:rPr>
              <w:t>.</w:t>
            </w:r>
          </w:p>
          <w:p w14:paraId="230402DB" w14:textId="2EB29A1F" w:rsidR="00233D23" w:rsidRPr="009B2CD4" w:rsidRDefault="00233D23" w:rsidP="009B2CD4">
            <w:pPr>
              <w:pStyle w:val="TableText"/>
              <w:widowControl w:val="0"/>
              <w:numPr>
                <w:ilvl w:val="0"/>
                <w:numId w:val="29"/>
              </w:numPr>
              <w:spacing w:before="120" w:after="120"/>
              <w:ind w:left="284" w:hanging="284"/>
              <w:jc w:val="both"/>
              <w:rPr>
                <w:rFonts w:cs="Arial"/>
              </w:rPr>
            </w:pPr>
            <w:r w:rsidRPr="009B2CD4">
              <w:rPr>
                <w:rFonts w:cs="Arial"/>
              </w:rPr>
              <w:t>Notification process for reporting any breaches of confidentiality</w:t>
            </w:r>
            <w:r w:rsidR="00D47475" w:rsidRPr="009B2CD4">
              <w:rPr>
                <w:rFonts w:cs="Arial"/>
              </w:rPr>
              <w:t>.</w:t>
            </w:r>
          </w:p>
          <w:p w14:paraId="6BEE45ED" w14:textId="5EF9C2CA" w:rsidR="00233D23" w:rsidRPr="009B2CD4" w:rsidRDefault="00233D23" w:rsidP="009B2CD4">
            <w:pPr>
              <w:pStyle w:val="TableText"/>
              <w:widowControl w:val="0"/>
              <w:numPr>
                <w:ilvl w:val="0"/>
                <w:numId w:val="29"/>
              </w:numPr>
              <w:spacing w:before="120" w:after="120"/>
              <w:ind w:left="284" w:hanging="284"/>
              <w:jc w:val="both"/>
              <w:rPr>
                <w:rFonts w:cs="Arial"/>
              </w:rPr>
            </w:pPr>
            <w:r w:rsidRPr="009B2CD4">
              <w:rPr>
                <w:rFonts w:cs="Arial"/>
              </w:rPr>
              <w:t>Non-compliance actions</w:t>
            </w:r>
            <w:r w:rsidR="00D47475" w:rsidRPr="009B2CD4">
              <w:rPr>
                <w:rFonts w:cs="Arial"/>
              </w:rPr>
              <w:t>.</w:t>
            </w:r>
          </w:p>
          <w:p w14:paraId="2EFD820B" w14:textId="2C3A9884" w:rsidR="00233D23" w:rsidRPr="009B2CD4" w:rsidRDefault="00233D23" w:rsidP="009B2CD4">
            <w:pPr>
              <w:pStyle w:val="TableText"/>
              <w:widowControl w:val="0"/>
              <w:numPr>
                <w:ilvl w:val="0"/>
                <w:numId w:val="29"/>
              </w:numPr>
              <w:spacing w:before="120" w:after="120"/>
              <w:ind w:left="284" w:hanging="284"/>
              <w:jc w:val="both"/>
              <w:rPr>
                <w:rFonts w:cs="Arial"/>
              </w:rPr>
            </w:pPr>
            <w:r w:rsidRPr="009B2CD4">
              <w:rPr>
                <w:rFonts w:cs="Arial"/>
              </w:rPr>
              <w:t>Ownership of the information</w:t>
            </w:r>
            <w:r w:rsidR="00D47475" w:rsidRPr="009B2CD4">
              <w:rPr>
                <w:rFonts w:cs="Arial"/>
              </w:rPr>
              <w:t>.</w:t>
            </w:r>
          </w:p>
          <w:p w14:paraId="4E72BE08" w14:textId="68FF7BBB" w:rsidR="00233D23" w:rsidRPr="009B2CD4" w:rsidRDefault="00233D23" w:rsidP="009B2CD4">
            <w:pPr>
              <w:pStyle w:val="TableText"/>
              <w:widowControl w:val="0"/>
              <w:numPr>
                <w:ilvl w:val="0"/>
                <w:numId w:val="29"/>
              </w:numPr>
              <w:spacing w:before="120" w:after="120"/>
              <w:ind w:left="284" w:hanging="284"/>
              <w:jc w:val="both"/>
              <w:rPr>
                <w:rFonts w:cs="Arial"/>
              </w:rPr>
            </w:pPr>
            <w:r w:rsidRPr="009B2CD4">
              <w:rPr>
                <w:rFonts w:cs="Arial"/>
              </w:rPr>
              <w:t>Permitted use of the information or system by the service provider</w:t>
            </w:r>
            <w:r w:rsidR="00D47475" w:rsidRPr="009B2CD4">
              <w:rPr>
                <w:rFonts w:cs="Arial"/>
              </w:rPr>
              <w:t>.</w:t>
            </w:r>
          </w:p>
          <w:p w14:paraId="4241A4A0" w14:textId="1882B251" w:rsidR="00233D23" w:rsidRPr="009B2CD4" w:rsidRDefault="00233D23" w:rsidP="009B2CD4">
            <w:pPr>
              <w:pStyle w:val="TableText"/>
              <w:widowControl w:val="0"/>
              <w:numPr>
                <w:ilvl w:val="0"/>
                <w:numId w:val="29"/>
              </w:numPr>
              <w:spacing w:before="120" w:after="120"/>
              <w:ind w:left="284" w:hanging="284"/>
              <w:jc w:val="both"/>
              <w:rPr>
                <w:rFonts w:cs="Arial"/>
              </w:rPr>
            </w:pPr>
            <w:r w:rsidRPr="009B2CD4">
              <w:rPr>
                <w:rFonts w:cs="Arial"/>
              </w:rPr>
              <w:t>Right to monitor and audit</w:t>
            </w:r>
            <w:r w:rsidR="00D47475" w:rsidRPr="009B2CD4">
              <w:rPr>
                <w:rFonts w:cs="Arial"/>
              </w:rPr>
              <w:t>.</w:t>
            </w:r>
          </w:p>
        </w:tc>
      </w:tr>
      <w:tr w:rsidR="00117CCB" w:rsidRPr="00DA4CD8" w14:paraId="5A4AE930" w14:textId="77777777" w:rsidTr="00145A6A">
        <w:tc>
          <w:tcPr>
            <w:tcW w:w="606" w:type="dxa"/>
          </w:tcPr>
          <w:p w14:paraId="0F1C1365" w14:textId="1802D464" w:rsidR="00117CCB" w:rsidRPr="009B2CD4" w:rsidRDefault="00117CCB" w:rsidP="009B2CD4">
            <w:pPr>
              <w:pStyle w:val="TableText"/>
              <w:widowControl w:val="0"/>
              <w:spacing w:before="120" w:after="120"/>
              <w:jc w:val="both"/>
              <w:rPr>
                <w:rFonts w:cs="Arial"/>
                <w:b/>
              </w:rPr>
            </w:pPr>
            <w:r w:rsidRPr="009B2CD4">
              <w:rPr>
                <w:rFonts w:cs="Arial"/>
                <w:b/>
              </w:rPr>
              <w:t>2.</w:t>
            </w:r>
          </w:p>
        </w:tc>
        <w:tc>
          <w:tcPr>
            <w:tcW w:w="8041" w:type="dxa"/>
          </w:tcPr>
          <w:p w14:paraId="4320BEF7" w14:textId="73BA4809" w:rsidR="00117CCB" w:rsidRPr="009B2CD4" w:rsidRDefault="009B6285" w:rsidP="009B2CD4">
            <w:pPr>
              <w:pStyle w:val="TableText"/>
              <w:widowControl w:val="0"/>
              <w:spacing w:before="120" w:after="120"/>
              <w:jc w:val="both"/>
              <w:rPr>
                <w:rFonts w:cs="Arial"/>
                <w:b/>
              </w:rPr>
            </w:pPr>
            <w:r w:rsidRPr="009B2CD4">
              <w:rPr>
                <w:rFonts w:cs="Arial"/>
                <w:b/>
              </w:rPr>
              <w:t xml:space="preserve">Authorisation </w:t>
            </w:r>
          </w:p>
        </w:tc>
      </w:tr>
      <w:tr w:rsidR="00117CCB" w:rsidRPr="00233D23" w14:paraId="69045518" w14:textId="77777777" w:rsidTr="00145A6A">
        <w:tc>
          <w:tcPr>
            <w:tcW w:w="606" w:type="dxa"/>
          </w:tcPr>
          <w:p w14:paraId="7C1F3CA8" w14:textId="2C2A606F" w:rsidR="00117CCB" w:rsidRPr="009B2CD4" w:rsidRDefault="00117CCB" w:rsidP="009B2CD4">
            <w:pPr>
              <w:pStyle w:val="TableText"/>
              <w:widowControl w:val="0"/>
              <w:spacing w:before="120" w:after="120"/>
              <w:jc w:val="both"/>
              <w:rPr>
                <w:rFonts w:cs="Arial"/>
              </w:rPr>
            </w:pPr>
            <w:r w:rsidRPr="009B2CD4">
              <w:rPr>
                <w:rFonts w:cs="Arial"/>
              </w:rPr>
              <w:t>2.1</w:t>
            </w:r>
          </w:p>
        </w:tc>
        <w:tc>
          <w:tcPr>
            <w:tcW w:w="8041" w:type="dxa"/>
          </w:tcPr>
          <w:p w14:paraId="47E314B2" w14:textId="77777777" w:rsidR="00835CF2" w:rsidRPr="009B2CD4" w:rsidRDefault="00835CF2" w:rsidP="009B2CD4">
            <w:pPr>
              <w:pStyle w:val="TableText"/>
              <w:widowControl w:val="0"/>
              <w:spacing w:before="120" w:after="120"/>
              <w:jc w:val="both"/>
              <w:rPr>
                <w:rFonts w:cs="Arial"/>
              </w:rPr>
            </w:pPr>
            <w:r w:rsidRPr="009B2CD4">
              <w:rPr>
                <w:rFonts w:cs="Arial"/>
              </w:rPr>
              <w:t>It is not appropriate for users to sign up to cloud computing services without MIT undertaking a full assessment of the value of the service and the potential risks involved.</w:t>
            </w:r>
          </w:p>
          <w:p w14:paraId="6D9DC781" w14:textId="77777777" w:rsidR="00835CF2" w:rsidRPr="009B2CD4" w:rsidRDefault="00835CF2" w:rsidP="009B2CD4">
            <w:pPr>
              <w:pStyle w:val="TableText"/>
              <w:widowControl w:val="0"/>
              <w:spacing w:before="120" w:after="120"/>
              <w:jc w:val="both"/>
              <w:rPr>
                <w:rFonts w:cs="Arial"/>
              </w:rPr>
            </w:pPr>
            <w:r w:rsidRPr="009B2CD4">
              <w:rPr>
                <w:rFonts w:cs="Arial"/>
              </w:rPr>
              <w:t xml:space="preserve">As cloud computing services may include the external hosting of data, applications and the use of hardware supplied by a third party, MIT must be confident that the benefits of subscribing to the service outweigh the risks and the service, and that MIT’s information will be available as required and sufficiently protected from vulnerabilities and threats. </w:t>
            </w:r>
          </w:p>
          <w:p w14:paraId="5566EFA4" w14:textId="58FB8DB5" w:rsidR="00117CCB" w:rsidRPr="009B2CD4" w:rsidRDefault="00835CF2" w:rsidP="009B2CD4">
            <w:pPr>
              <w:pStyle w:val="TableText"/>
              <w:widowControl w:val="0"/>
              <w:spacing w:before="120" w:after="120"/>
              <w:jc w:val="both"/>
              <w:rPr>
                <w:rFonts w:cs="Arial"/>
              </w:rPr>
            </w:pPr>
            <w:r w:rsidRPr="009B2CD4">
              <w:rPr>
                <w:rFonts w:cs="Arial"/>
              </w:rPr>
              <w:t>For this reason, no cloud based system will be implemented unless it has been evaluated by ICTS and deemed to comply with the Government’s Cloud Computing Risk and Assurance Framework</w:t>
            </w:r>
            <w:r w:rsidR="00CF2092" w:rsidRPr="009B2CD4">
              <w:rPr>
                <w:rFonts w:cs="Arial"/>
              </w:rPr>
              <w:t xml:space="preserve">.  </w:t>
            </w:r>
          </w:p>
        </w:tc>
      </w:tr>
      <w:tr w:rsidR="00117CCB" w:rsidRPr="00DA4CD8" w14:paraId="37944E3E" w14:textId="77777777" w:rsidTr="00145A6A">
        <w:tc>
          <w:tcPr>
            <w:tcW w:w="606" w:type="dxa"/>
          </w:tcPr>
          <w:p w14:paraId="600D8DA7" w14:textId="49F7CF51" w:rsidR="00117CCB" w:rsidRPr="009B2CD4" w:rsidRDefault="00117CCB" w:rsidP="009B2CD4">
            <w:pPr>
              <w:pStyle w:val="TableText"/>
              <w:widowControl w:val="0"/>
              <w:spacing w:before="120" w:after="120"/>
              <w:jc w:val="both"/>
              <w:rPr>
                <w:rFonts w:cs="Arial"/>
                <w:b/>
              </w:rPr>
            </w:pPr>
            <w:r w:rsidRPr="009B2CD4">
              <w:rPr>
                <w:rFonts w:cs="Arial"/>
                <w:b/>
              </w:rPr>
              <w:lastRenderedPageBreak/>
              <w:t>3.</w:t>
            </w:r>
          </w:p>
        </w:tc>
        <w:tc>
          <w:tcPr>
            <w:tcW w:w="8041" w:type="dxa"/>
          </w:tcPr>
          <w:p w14:paraId="030024E6" w14:textId="29FBC9B1" w:rsidR="00117CCB" w:rsidRPr="009B2CD4" w:rsidRDefault="00117CCB" w:rsidP="009B2CD4">
            <w:pPr>
              <w:pStyle w:val="TableText"/>
              <w:widowControl w:val="0"/>
              <w:spacing w:before="120" w:after="120"/>
              <w:jc w:val="both"/>
              <w:rPr>
                <w:rFonts w:cs="Arial"/>
                <w:b/>
              </w:rPr>
            </w:pPr>
            <w:r w:rsidRPr="009B2CD4">
              <w:rPr>
                <w:rFonts w:cs="Arial"/>
                <w:b/>
              </w:rPr>
              <w:t xml:space="preserve">Risk Assessment </w:t>
            </w:r>
          </w:p>
        </w:tc>
      </w:tr>
      <w:tr w:rsidR="00117CCB" w:rsidRPr="00233D23" w14:paraId="6CEF6BAA" w14:textId="77777777" w:rsidTr="00145A6A">
        <w:tc>
          <w:tcPr>
            <w:tcW w:w="606" w:type="dxa"/>
          </w:tcPr>
          <w:p w14:paraId="31DEC837" w14:textId="27B36C8A" w:rsidR="00117CCB" w:rsidRPr="009B2CD4" w:rsidRDefault="00117CCB" w:rsidP="009B2CD4">
            <w:pPr>
              <w:pStyle w:val="TableText"/>
              <w:widowControl w:val="0"/>
              <w:spacing w:before="120" w:after="120"/>
              <w:jc w:val="both"/>
              <w:rPr>
                <w:rFonts w:cs="Arial"/>
              </w:rPr>
            </w:pPr>
            <w:r w:rsidRPr="009B2CD4">
              <w:rPr>
                <w:rFonts w:cs="Arial"/>
              </w:rPr>
              <w:t>3.</w:t>
            </w:r>
            <w:r w:rsidR="00EB33C2" w:rsidRPr="009B2CD4">
              <w:rPr>
                <w:rFonts w:cs="Arial"/>
              </w:rPr>
              <w:t>1</w:t>
            </w:r>
          </w:p>
        </w:tc>
        <w:tc>
          <w:tcPr>
            <w:tcW w:w="8041" w:type="dxa"/>
          </w:tcPr>
          <w:p w14:paraId="20F36364" w14:textId="092B97B6" w:rsidR="002101B1" w:rsidRPr="009B2CD4" w:rsidRDefault="002101B1" w:rsidP="009B2CD4">
            <w:pPr>
              <w:pStyle w:val="TableText"/>
              <w:widowControl w:val="0"/>
              <w:spacing w:before="120" w:after="120"/>
              <w:jc w:val="both"/>
              <w:rPr>
                <w:rFonts w:cs="Arial"/>
              </w:rPr>
            </w:pPr>
            <w:r w:rsidRPr="009B2CD4">
              <w:rPr>
                <w:rFonts w:cs="Arial"/>
              </w:rPr>
              <w:t xml:space="preserve">MIT </w:t>
            </w:r>
            <w:r w:rsidR="00E71933">
              <w:rPr>
                <w:rFonts w:cs="Arial"/>
              </w:rPr>
              <w:t>should</w:t>
            </w:r>
            <w:r w:rsidRPr="009B2CD4">
              <w:rPr>
                <w:rFonts w:cs="Arial"/>
              </w:rPr>
              <w:t xml:space="preserve"> identify the risks to information and information processing facilities caused by the use of cloud computing services and implement the appropriate security controls and agreements before starting to use the service. The security requirements related to customers accessing organisational assets should be addressed using customer agreements which contain all identified risks and security requirements. </w:t>
            </w:r>
          </w:p>
          <w:p w14:paraId="58E20236" w14:textId="09ACDDE6" w:rsidR="00117CCB" w:rsidRPr="009B2CD4" w:rsidRDefault="00117CCB" w:rsidP="009B2CD4">
            <w:pPr>
              <w:pStyle w:val="TableText"/>
              <w:widowControl w:val="0"/>
              <w:spacing w:before="120" w:after="120"/>
              <w:jc w:val="both"/>
              <w:rPr>
                <w:rFonts w:cs="Arial"/>
              </w:rPr>
            </w:pPr>
            <w:r w:rsidRPr="009B2CD4">
              <w:rPr>
                <w:rFonts w:cs="Arial"/>
              </w:rPr>
              <w:t xml:space="preserve">The identification of risks specific to </w:t>
            </w:r>
            <w:r w:rsidR="000763F9" w:rsidRPr="009B2CD4">
              <w:rPr>
                <w:rFonts w:cs="Arial"/>
              </w:rPr>
              <w:t>c</w:t>
            </w:r>
            <w:r w:rsidRPr="009B2CD4">
              <w:rPr>
                <w:rFonts w:cs="Arial"/>
              </w:rPr>
              <w:t xml:space="preserve">loud </w:t>
            </w:r>
            <w:r w:rsidR="000763F9" w:rsidRPr="009B2CD4">
              <w:rPr>
                <w:rFonts w:cs="Arial"/>
              </w:rPr>
              <w:t>c</w:t>
            </w:r>
            <w:r w:rsidRPr="009B2CD4">
              <w:rPr>
                <w:rFonts w:cs="Arial"/>
              </w:rPr>
              <w:t>omputing services should take into</w:t>
            </w:r>
            <w:r w:rsidR="00DA4CD8" w:rsidRPr="009B2CD4">
              <w:rPr>
                <w:rFonts w:cs="Arial"/>
              </w:rPr>
              <w:t xml:space="preserve"> </w:t>
            </w:r>
            <w:r w:rsidRPr="009B2CD4">
              <w:rPr>
                <w:rFonts w:cs="Arial"/>
              </w:rPr>
              <w:t>account that:</w:t>
            </w:r>
          </w:p>
          <w:p w14:paraId="32C91E05" w14:textId="498F4624" w:rsidR="00117CCB" w:rsidRPr="009B2CD4" w:rsidRDefault="00117CCB" w:rsidP="009B2CD4">
            <w:pPr>
              <w:pStyle w:val="TableText"/>
              <w:widowControl w:val="0"/>
              <w:numPr>
                <w:ilvl w:val="0"/>
                <w:numId w:val="31"/>
              </w:numPr>
              <w:spacing w:before="120" w:after="120"/>
              <w:ind w:left="284" w:hanging="284"/>
              <w:jc w:val="both"/>
              <w:rPr>
                <w:rFonts w:cs="Arial"/>
              </w:rPr>
            </w:pPr>
            <w:r w:rsidRPr="009B2CD4">
              <w:rPr>
                <w:rFonts w:cs="Arial"/>
              </w:rPr>
              <w:t>The information is stored in the hardware owned by cloud service</w:t>
            </w:r>
            <w:r w:rsidR="00DA4CD8" w:rsidRPr="009B2CD4">
              <w:rPr>
                <w:rFonts w:cs="Arial"/>
              </w:rPr>
              <w:t xml:space="preserve"> </w:t>
            </w:r>
            <w:r w:rsidRPr="009B2CD4">
              <w:rPr>
                <w:rFonts w:cs="Arial"/>
              </w:rPr>
              <w:t>provider</w:t>
            </w:r>
            <w:r w:rsidR="00D47475" w:rsidRPr="009B2CD4">
              <w:rPr>
                <w:rFonts w:cs="Arial"/>
              </w:rPr>
              <w:t>.</w:t>
            </w:r>
          </w:p>
          <w:p w14:paraId="689169C6" w14:textId="7A7A86B8" w:rsidR="00117CCB" w:rsidRPr="009B2CD4" w:rsidRDefault="00117CCB" w:rsidP="009B2CD4">
            <w:pPr>
              <w:pStyle w:val="TableText"/>
              <w:widowControl w:val="0"/>
              <w:numPr>
                <w:ilvl w:val="0"/>
                <w:numId w:val="31"/>
              </w:numPr>
              <w:spacing w:before="120" w:after="120"/>
              <w:ind w:left="284" w:hanging="284"/>
              <w:jc w:val="both"/>
              <w:rPr>
                <w:rFonts w:cs="Arial"/>
              </w:rPr>
            </w:pPr>
            <w:r w:rsidRPr="009B2CD4">
              <w:rPr>
                <w:rFonts w:cs="Arial"/>
              </w:rPr>
              <w:t>Cloud service provider may use other cloud computing services</w:t>
            </w:r>
            <w:r w:rsidR="00D47475" w:rsidRPr="009B2CD4">
              <w:rPr>
                <w:rFonts w:cs="Arial"/>
              </w:rPr>
              <w:t>.</w:t>
            </w:r>
          </w:p>
          <w:p w14:paraId="195807B6" w14:textId="0AD72386" w:rsidR="00117CCB" w:rsidRPr="009B2CD4" w:rsidRDefault="00117CCB" w:rsidP="009B2CD4">
            <w:pPr>
              <w:pStyle w:val="TableText"/>
              <w:widowControl w:val="0"/>
              <w:numPr>
                <w:ilvl w:val="0"/>
                <w:numId w:val="31"/>
              </w:numPr>
              <w:spacing w:before="120" w:after="120"/>
              <w:ind w:left="284" w:hanging="284"/>
              <w:jc w:val="both"/>
              <w:rPr>
                <w:rFonts w:cs="Arial"/>
              </w:rPr>
            </w:pPr>
            <w:r w:rsidRPr="009B2CD4">
              <w:rPr>
                <w:rFonts w:cs="Arial"/>
              </w:rPr>
              <w:t>Business processes of other cloud service users may share the same</w:t>
            </w:r>
            <w:r w:rsidR="00DA4CD8" w:rsidRPr="009B2CD4">
              <w:rPr>
                <w:rFonts w:cs="Arial"/>
              </w:rPr>
              <w:t xml:space="preserve"> </w:t>
            </w:r>
            <w:r w:rsidRPr="009B2CD4">
              <w:rPr>
                <w:rFonts w:cs="Arial"/>
              </w:rPr>
              <w:t>hardware</w:t>
            </w:r>
            <w:r w:rsidR="00D47475" w:rsidRPr="009B2CD4">
              <w:rPr>
                <w:rFonts w:cs="Arial"/>
              </w:rPr>
              <w:t>.</w:t>
            </w:r>
          </w:p>
          <w:p w14:paraId="0304771D" w14:textId="22895D90" w:rsidR="00117CCB" w:rsidRPr="009B2CD4" w:rsidRDefault="00117CCB" w:rsidP="009B2CD4">
            <w:pPr>
              <w:pStyle w:val="TableText"/>
              <w:widowControl w:val="0"/>
              <w:numPr>
                <w:ilvl w:val="0"/>
                <w:numId w:val="31"/>
              </w:numPr>
              <w:spacing w:before="120" w:after="120"/>
              <w:ind w:left="284" w:hanging="284"/>
              <w:jc w:val="both"/>
              <w:rPr>
                <w:rFonts w:cs="Arial"/>
              </w:rPr>
            </w:pPr>
            <w:r w:rsidRPr="009B2CD4">
              <w:rPr>
                <w:rFonts w:cs="Arial"/>
              </w:rPr>
              <w:t>After the termination of use of the cloud computing services, the</w:t>
            </w:r>
            <w:r w:rsidR="00DA4CD8" w:rsidRPr="009B2CD4">
              <w:rPr>
                <w:rFonts w:cs="Arial"/>
              </w:rPr>
              <w:t xml:space="preserve"> </w:t>
            </w:r>
            <w:r w:rsidRPr="009B2CD4">
              <w:rPr>
                <w:rFonts w:cs="Arial"/>
              </w:rPr>
              <w:t>system resource used by the services is generally being reused</w:t>
            </w:r>
            <w:r w:rsidR="00D47475" w:rsidRPr="009B2CD4">
              <w:rPr>
                <w:rFonts w:cs="Arial"/>
              </w:rPr>
              <w:t>.</w:t>
            </w:r>
          </w:p>
          <w:p w14:paraId="2F3ACD32" w14:textId="42493B9E" w:rsidR="00F16376" w:rsidRPr="009B2CD4" w:rsidRDefault="00117CCB" w:rsidP="009B2CD4">
            <w:pPr>
              <w:pStyle w:val="TableText"/>
              <w:widowControl w:val="0"/>
              <w:numPr>
                <w:ilvl w:val="0"/>
                <w:numId w:val="31"/>
              </w:numPr>
              <w:spacing w:before="120" w:after="120"/>
              <w:ind w:left="284" w:hanging="284"/>
              <w:jc w:val="both"/>
              <w:rPr>
                <w:rFonts w:cs="Arial"/>
              </w:rPr>
            </w:pPr>
            <w:r w:rsidRPr="009B2CD4">
              <w:rPr>
                <w:rFonts w:cs="Arial"/>
              </w:rPr>
              <w:t xml:space="preserve">Some of </w:t>
            </w:r>
            <w:r w:rsidR="00842B12" w:rsidRPr="009B2CD4">
              <w:rPr>
                <w:rFonts w:cs="Arial"/>
              </w:rPr>
              <w:t>MIT</w:t>
            </w:r>
            <w:r w:rsidRPr="009B2CD4">
              <w:rPr>
                <w:rFonts w:cs="Arial"/>
              </w:rPr>
              <w:t>'s information security requirements and controls</w:t>
            </w:r>
            <w:r w:rsidR="00DA4CD8" w:rsidRPr="009B2CD4">
              <w:rPr>
                <w:rFonts w:cs="Arial"/>
              </w:rPr>
              <w:t xml:space="preserve"> </w:t>
            </w:r>
            <w:r w:rsidRPr="009B2CD4">
              <w:rPr>
                <w:rFonts w:cs="Arial"/>
              </w:rPr>
              <w:t>may be ineffective upon use of cloud computing services</w:t>
            </w:r>
            <w:r w:rsidR="00D47475" w:rsidRPr="009B2CD4">
              <w:rPr>
                <w:rFonts w:cs="Arial"/>
              </w:rPr>
              <w:t>.</w:t>
            </w:r>
          </w:p>
          <w:p w14:paraId="4AB3C092" w14:textId="421CC2C5" w:rsidR="00117CCB" w:rsidRPr="009B2CD4" w:rsidRDefault="00117CCB" w:rsidP="009B2CD4">
            <w:pPr>
              <w:pStyle w:val="TableText"/>
              <w:widowControl w:val="0"/>
              <w:numPr>
                <w:ilvl w:val="0"/>
                <w:numId w:val="31"/>
              </w:numPr>
              <w:spacing w:before="120" w:after="120"/>
              <w:ind w:left="284" w:hanging="284"/>
              <w:jc w:val="both"/>
              <w:rPr>
                <w:rFonts w:cs="Arial"/>
              </w:rPr>
            </w:pPr>
            <w:r w:rsidRPr="009B2CD4">
              <w:rPr>
                <w:rFonts w:cs="Arial"/>
              </w:rPr>
              <w:t>Changes within the operating environment (e.g. mobility). that can be</w:t>
            </w:r>
            <w:r w:rsidR="00DA4CD8" w:rsidRPr="009B2CD4">
              <w:rPr>
                <w:rFonts w:cs="Arial"/>
              </w:rPr>
              <w:t xml:space="preserve"> </w:t>
            </w:r>
            <w:r w:rsidRPr="009B2CD4">
              <w:rPr>
                <w:rFonts w:cs="Arial"/>
              </w:rPr>
              <w:t>achieved by using cloud computing services. Business operation, e.g.</w:t>
            </w:r>
            <w:r w:rsidR="00DA4CD8" w:rsidRPr="009B2CD4">
              <w:rPr>
                <w:rFonts w:cs="Arial"/>
              </w:rPr>
              <w:t xml:space="preserve"> </w:t>
            </w:r>
            <w:r w:rsidRPr="009B2CD4">
              <w:rPr>
                <w:rFonts w:cs="Arial"/>
              </w:rPr>
              <w:t>mobile computing, may change through the use of cloud computing</w:t>
            </w:r>
            <w:r w:rsidR="00DA4CD8" w:rsidRPr="009B2CD4">
              <w:rPr>
                <w:rFonts w:cs="Arial"/>
              </w:rPr>
              <w:t xml:space="preserve"> </w:t>
            </w:r>
            <w:r w:rsidRPr="009B2CD4">
              <w:rPr>
                <w:rFonts w:cs="Arial"/>
              </w:rPr>
              <w:t>services</w:t>
            </w:r>
            <w:r w:rsidR="00D47475" w:rsidRPr="009B2CD4">
              <w:rPr>
                <w:rFonts w:cs="Arial"/>
              </w:rPr>
              <w:t>.</w:t>
            </w:r>
          </w:p>
        </w:tc>
      </w:tr>
      <w:tr w:rsidR="00117CCB" w:rsidRPr="00233D23" w14:paraId="55713580" w14:textId="77777777" w:rsidTr="00145A6A">
        <w:tc>
          <w:tcPr>
            <w:tcW w:w="606" w:type="dxa"/>
          </w:tcPr>
          <w:p w14:paraId="44CCB0B4" w14:textId="65578A53" w:rsidR="00117CCB" w:rsidRPr="009B2CD4" w:rsidRDefault="00117CCB" w:rsidP="009B2CD4">
            <w:pPr>
              <w:pStyle w:val="TableText"/>
              <w:widowControl w:val="0"/>
              <w:spacing w:before="120" w:after="120"/>
              <w:jc w:val="both"/>
              <w:rPr>
                <w:rFonts w:cs="Arial"/>
              </w:rPr>
            </w:pPr>
            <w:r w:rsidRPr="009B2CD4">
              <w:rPr>
                <w:rFonts w:cs="Arial"/>
              </w:rPr>
              <w:t>3.2</w:t>
            </w:r>
          </w:p>
        </w:tc>
        <w:tc>
          <w:tcPr>
            <w:tcW w:w="8041" w:type="dxa"/>
          </w:tcPr>
          <w:p w14:paraId="3923B7EC" w14:textId="749562E5" w:rsidR="000C0C83" w:rsidRPr="009B2CD4" w:rsidRDefault="00842B12" w:rsidP="009B2CD4">
            <w:pPr>
              <w:pStyle w:val="TableText"/>
              <w:widowControl w:val="0"/>
              <w:spacing w:before="120" w:after="120"/>
              <w:jc w:val="both"/>
              <w:rPr>
                <w:rFonts w:cs="Arial"/>
              </w:rPr>
            </w:pPr>
            <w:r w:rsidRPr="009B2CD4">
              <w:rPr>
                <w:rFonts w:cs="Arial"/>
              </w:rPr>
              <w:t>MIT</w:t>
            </w:r>
            <w:r w:rsidR="000C0C83" w:rsidRPr="009B2CD4">
              <w:rPr>
                <w:rFonts w:cs="Arial"/>
              </w:rPr>
              <w:t xml:space="preserve"> </w:t>
            </w:r>
            <w:r w:rsidR="00E71933">
              <w:rPr>
                <w:rFonts w:cs="Arial"/>
              </w:rPr>
              <w:t>must</w:t>
            </w:r>
            <w:r w:rsidR="000C0C83" w:rsidRPr="009B2CD4">
              <w:rPr>
                <w:rFonts w:cs="Arial"/>
              </w:rPr>
              <w:t xml:space="preserve"> evaluate the use of cloud computing services with regard to</w:t>
            </w:r>
            <w:r w:rsidR="00DA4CD8" w:rsidRPr="009B2CD4">
              <w:rPr>
                <w:rFonts w:cs="Arial"/>
              </w:rPr>
              <w:t xml:space="preserve"> </w:t>
            </w:r>
            <w:r w:rsidR="000C0C83" w:rsidRPr="009B2CD4">
              <w:rPr>
                <w:rFonts w:cs="Arial"/>
              </w:rPr>
              <w:t>the risks associated with business continuity including:</w:t>
            </w:r>
          </w:p>
          <w:p w14:paraId="2378F90F" w14:textId="532937E4" w:rsidR="000C0C83" w:rsidRPr="009B2CD4" w:rsidRDefault="000C0C83" w:rsidP="009B2CD4">
            <w:pPr>
              <w:pStyle w:val="TableText"/>
              <w:widowControl w:val="0"/>
              <w:numPr>
                <w:ilvl w:val="0"/>
                <w:numId w:val="31"/>
              </w:numPr>
              <w:spacing w:before="120" w:after="120"/>
              <w:ind w:left="284" w:hanging="284"/>
              <w:jc w:val="both"/>
              <w:rPr>
                <w:rFonts w:cs="Arial"/>
              </w:rPr>
            </w:pPr>
            <w:r w:rsidRPr="009B2CD4">
              <w:rPr>
                <w:rFonts w:cs="Arial"/>
              </w:rPr>
              <w:t>Failure of cloud computing service</w:t>
            </w:r>
            <w:r w:rsidR="00D47475" w:rsidRPr="009B2CD4">
              <w:rPr>
                <w:rFonts w:cs="Arial"/>
              </w:rPr>
              <w:t>.</w:t>
            </w:r>
          </w:p>
          <w:p w14:paraId="72F77675" w14:textId="6D3CDE4E" w:rsidR="000C0C83" w:rsidRPr="009B2CD4" w:rsidRDefault="000C0C83" w:rsidP="009B2CD4">
            <w:pPr>
              <w:pStyle w:val="TableText"/>
              <w:widowControl w:val="0"/>
              <w:numPr>
                <w:ilvl w:val="0"/>
                <w:numId w:val="31"/>
              </w:numPr>
              <w:spacing w:before="120" w:after="120"/>
              <w:ind w:left="284" w:hanging="284"/>
              <w:jc w:val="both"/>
              <w:rPr>
                <w:rFonts w:cs="Arial"/>
              </w:rPr>
            </w:pPr>
            <w:r w:rsidRPr="009B2CD4">
              <w:rPr>
                <w:rFonts w:cs="Arial"/>
              </w:rPr>
              <w:t>Internet connectivity</w:t>
            </w:r>
            <w:r w:rsidR="00D47475" w:rsidRPr="009B2CD4">
              <w:rPr>
                <w:rFonts w:cs="Arial"/>
              </w:rPr>
              <w:t>.</w:t>
            </w:r>
          </w:p>
          <w:p w14:paraId="1A8867AF" w14:textId="3C2186CB" w:rsidR="000C0C83" w:rsidRPr="009B2CD4" w:rsidRDefault="000C0C83" w:rsidP="009B2CD4">
            <w:pPr>
              <w:pStyle w:val="TableText"/>
              <w:widowControl w:val="0"/>
              <w:numPr>
                <w:ilvl w:val="0"/>
                <w:numId w:val="31"/>
              </w:numPr>
              <w:spacing w:before="120" w:after="120"/>
              <w:ind w:left="284" w:hanging="284"/>
              <w:jc w:val="both"/>
              <w:rPr>
                <w:rFonts w:cs="Arial"/>
              </w:rPr>
            </w:pPr>
            <w:r w:rsidRPr="009B2CD4">
              <w:rPr>
                <w:rFonts w:cs="Arial"/>
              </w:rPr>
              <w:t>Service unavailability by law enforcers' confiscation</w:t>
            </w:r>
            <w:r w:rsidR="00D47475" w:rsidRPr="009B2CD4">
              <w:rPr>
                <w:rFonts w:cs="Arial"/>
              </w:rPr>
              <w:t>.</w:t>
            </w:r>
          </w:p>
          <w:p w14:paraId="7DFE5DBE" w14:textId="16E07627" w:rsidR="000C0C83" w:rsidRPr="009B2CD4" w:rsidRDefault="000C0C83" w:rsidP="009B2CD4">
            <w:pPr>
              <w:pStyle w:val="TableText"/>
              <w:widowControl w:val="0"/>
              <w:numPr>
                <w:ilvl w:val="0"/>
                <w:numId w:val="31"/>
              </w:numPr>
              <w:spacing w:before="120" w:after="120"/>
              <w:ind w:left="284" w:hanging="284"/>
              <w:jc w:val="both"/>
              <w:rPr>
                <w:rFonts w:cs="Arial"/>
              </w:rPr>
            </w:pPr>
            <w:r w:rsidRPr="009B2CD4">
              <w:rPr>
                <w:rFonts w:cs="Arial"/>
              </w:rPr>
              <w:t>Termination of cloud computing service</w:t>
            </w:r>
            <w:r w:rsidR="00D47475" w:rsidRPr="009B2CD4">
              <w:rPr>
                <w:rFonts w:cs="Arial"/>
              </w:rPr>
              <w:t>.</w:t>
            </w:r>
          </w:p>
          <w:p w14:paraId="7BA3C95F" w14:textId="157A7B7F" w:rsidR="000C0C83" w:rsidRPr="009B2CD4" w:rsidRDefault="000C0C83" w:rsidP="009B2CD4">
            <w:pPr>
              <w:pStyle w:val="TableText"/>
              <w:widowControl w:val="0"/>
              <w:numPr>
                <w:ilvl w:val="0"/>
                <w:numId w:val="31"/>
              </w:numPr>
              <w:spacing w:before="120" w:after="120"/>
              <w:ind w:left="284" w:hanging="284"/>
              <w:jc w:val="both"/>
              <w:rPr>
                <w:rFonts w:cs="Arial"/>
              </w:rPr>
            </w:pPr>
            <w:r w:rsidRPr="009B2CD4">
              <w:rPr>
                <w:rFonts w:cs="Arial"/>
              </w:rPr>
              <w:t>Potential vendor lock-in</w:t>
            </w:r>
            <w:r w:rsidR="00D47475" w:rsidRPr="009B2CD4">
              <w:rPr>
                <w:rFonts w:cs="Arial"/>
              </w:rPr>
              <w:t>.</w:t>
            </w:r>
          </w:p>
        </w:tc>
      </w:tr>
      <w:tr w:rsidR="00117CCB" w:rsidRPr="00DA4CD8" w14:paraId="084D4954" w14:textId="77777777" w:rsidTr="00145A6A">
        <w:tc>
          <w:tcPr>
            <w:tcW w:w="606" w:type="dxa"/>
          </w:tcPr>
          <w:p w14:paraId="20F86B47" w14:textId="776F48A9" w:rsidR="00117CCB" w:rsidRPr="009B2CD4" w:rsidRDefault="000C0C83" w:rsidP="009B2CD4">
            <w:pPr>
              <w:pStyle w:val="TableText"/>
              <w:widowControl w:val="0"/>
              <w:spacing w:before="120" w:after="120"/>
              <w:jc w:val="both"/>
              <w:rPr>
                <w:rFonts w:cs="Arial"/>
                <w:b/>
              </w:rPr>
            </w:pPr>
            <w:r w:rsidRPr="009B2CD4">
              <w:rPr>
                <w:rFonts w:cs="Arial"/>
                <w:b/>
              </w:rPr>
              <w:t>4</w:t>
            </w:r>
          </w:p>
        </w:tc>
        <w:tc>
          <w:tcPr>
            <w:tcW w:w="8041" w:type="dxa"/>
          </w:tcPr>
          <w:p w14:paraId="753834C4" w14:textId="03436559" w:rsidR="00117CCB" w:rsidRPr="009B2CD4" w:rsidRDefault="000C0C83" w:rsidP="009B2CD4">
            <w:pPr>
              <w:pStyle w:val="TableText"/>
              <w:widowControl w:val="0"/>
              <w:spacing w:before="120" w:after="120"/>
              <w:jc w:val="both"/>
              <w:rPr>
                <w:rFonts w:cs="Arial"/>
                <w:b/>
              </w:rPr>
            </w:pPr>
            <w:r w:rsidRPr="009B2CD4">
              <w:rPr>
                <w:rFonts w:cs="Arial"/>
                <w:b/>
              </w:rPr>
              <w:t>System Requirements</w:t>
            </w:r>
          </w:p>
        </w:tc>
      </w:tr>
      <w:tr w:rsidR="000C0C83" w:rsidRPr="00233D23" w14:paraId="19A6C99C" w14:textId="77777777" w:rsidTr="00145A6A">
        <w:tc>
          <w:tcPr>
            <w:tcW w:w="606" w:type="dxa"/>
          </w:tcPr>
          <w:p w14:paraId="332D0C27" w14:textId="11A7DCED" w:rsidR="000C0C83" w:rsidRPr="009B2CD4" w:rsidRDefault="000C0C83" w:rsidP="009B2CD4">
            <w:pPr>
              <w:pStyle w:val="TableText"/>
              <w:widowControl w:val="0"/>
              <w:spacing w:before="120" w:after="120"/>
              <w:jc w:val="both"/>
              <w:rPr>
                <w:rFonts w:cs="Arial"/>
              </w:rPr>
            </w:pPr>
            <w:r w:rsidRPr="009B2CD4">
              <w:rPr>
                <w:rFonts w:cs="Arial"/>
              </w:rPr>
              <w:t>4.1</w:t>
            </w:r>
          </w:p>
        </w:tc>
        <w:tc>
          <w:tcPr>
            <w:tcW w:w="8041" w:type="dxa"/>
          </w:tcPr>
          <w:p w14:paraId="623801B8" w14:textId="6E7E1B79" w:rsidR="000C0C83" w:rsidRPr="009B2CD4" w:rsidRDefault="000C0C83" w:rsidP="00E71933">
            <w:pPr>
              <w:pStyle w:val="TableText"/>
              <w:widowControl w:val="0"/>
              <w:spacing w:before="120" w:after="120"/>
              <w:jc w:val="both"/>
              <w:rPr>
                <w:rFonts w:cs="Arial"/>
              </w:rPr>
            </w:pPr>
            <w:r w:rsidRPr="009B2CD4">
              <w:rPr>
                <w:rFonts w:cs="Arial"/>
              </w:rPr>
              <w:t xml:space="preserve">The Head of ICTS </w:t>
            </w:r>
            <w:r w:rsidR="00E71933">
              <w:rPr>
                <w:rFonts w:cs="Arial"/>
              </w:rPr>
              <w:t>must</w:t>
            </w:r>
            <w:r w:rsidRPr="009B2CD4">
              <w:rPr>
                <w:rFonts w:cs="Arial"/>
              </w:rPr>
              <w:t xml:space="preserve"> ensure that cloud computing services have the capacity</w:t>
            </w:r>
            <w:r w:rsidR="00DA4CD8" w:rsidRPr="009B2CD4">
              <w:rPr>
                <w:rFonts w:cs="Arial"/>
              </w:rPr>
              <w:t xml:space="preserve"> </w:t>
            </w:r>
            <w:r w:rsidRPr="009B2CD4">
              <w:rPr>
                <w:rFonts w:cs="Arial"/>
              </w:rPr>
              <w:t>and functionality to deliver the expected level of system performance.</w:t>
            </w:r>
          </w:p>
        </w:tc>
      </w:tr>
      <w:tr w:rsidR="000C0C83" w:rsidRPr="00233D23" w14:paraId="01DC5BA4" w14:textId="77777777" w:rsidTr="00145A6A">
        <w:tc>
          <w:tcPr>
            <w:tcW w:w="606" w:type="dxa"/>
          </w:tcPr>
          <w:p w14:paraId="47372E4B" w14:textId="595B2747" w:rsidR="000C0C83" w:rsidRPr="009B2CD4" w:rsidRDefault="000C0C83" w:rsidP="009B2CD4">
            <w:pPr>
              <w:pStyle w:val="TableText"/>
              <w:widowControl w:val="0"/>
              <w:spacing w:before="120" w:after="120"/>
              <w:jc w:val="both"/>
              <w:rPr>
                <w:rFonts w:cs="Arial"/>
              </w:rPr>
            </w:pPr>
            <w:r w:rsidRPr="009B2CD4">
              <w:rPr>
                <w:rFonts w:cs="Arial"/>
              </w:rPr>
              <w:t>4.2</w:t>
            </w:r>
          </w:p>
        </w:tc>
        <w:tc>
          <w:tcPr>
            <w:tcW w:w="8041" w:type="dxa"/>
          </w:tcPr>
          <w:p w14:paraId="2AF7DCBF" w14:textId="11C2C1DA" w:rsidR="000C0C83" w:rsidRPr="009B2CD4" w:rsidRDefault="00842B12" w:rsidP="00E71933">
            <w:pPr>
              <w:pStyle w:val="TableText"/>
              <w:widowControl w:val="0"/>
              <w:spacing w:before="120" w:after="120"/>
              <w:jc w:val="both"/>
              <w:rPr>
                <w:rFonts w:cs="Arial"/>
              </w:rPr>
            </w:pPr>
            <w:r w:rsidRPr="009B2CD4">
              <w:rPr>
                <w:rFonts w:cs="Arial"/>
              </w:rPr>
              <w:t>MIT</w:t>
            </w:r>
            <w:r w:rsidR="000C0C83" w:rsidRPr="009B2CD4">
              <w:rPr>
                <w:rFonts w:cs="Arial"/>
              </w:rPr>
              <w:t xml:space="preserve"> </w:t>
            </w:r>
            <w:r w:rsidR="00E71933">
              <w:rPr>
                <w:rFonts w:cs="Arial"/>
              </w:rPr>
              <w:t>must</w:t>
            </w:r>
            <w:r w:rsidR="000C0C83" w:rsidRPr="009B2CD4">
              <w:rPr>
                <w:rFonts w:cs="Arial"/>
              </w:rPr>
              <w:t xml:space="preserve"> define which mobile devices and methods of connectivity are</w:t>
            </w:r>
            <w:r w:rsidR="00DA4CD8" w:rsidRPr="009B2CD4">
              <w:rPr>
                <w:rFonts w:cs="Arial"/>
              </w:rPr>
              <w:t xml:space="preserve"> </w:t>
            </w:r>
            <w:r w:rsidR="000C0C83" w:rsidRPr="009B2CD4">
              <w:rPr>
                <w:rFonts w:cs="Arial"/>
              </w:rPr>
              <w:t>approved for the cloud computing environment. Security controls must be</w:t>
            </w:r>
            <w:r w:rsidR="00DA4CD8" w:rsidRPr="009B2CD4">
              <w:rPr>
                <w:rFonts w:cs="Arial"/>
              </w:rPr>
              <w:t xml:space="preserve"> </w:t>
            </w:r>
            <w:r w:rsidR="000C0C83" w:rsidRPr="009B2CD4">
              <w:rPr>
                <w:rFonts w:cs="Arial"/>
              </w:rPr>
              <w:t>applied based on the functionality of the mobile device and service used.</w:t>
            </w:r>
          </w:p>
        </w:tc>
      </w:tr>
      <w:tr w:rsidR="000C0C83" w:rsidRPr="00DA4CD8" w14:paraId="0377CC1D" w14:textId="77777777" w:rsidTr="00145A6A">
        <w:trPr>
          <w:trHeight w:val="497"/>
        </w:trPr>
        <w:tc>
          <w:tcPr>
            <w:tcW w:w="606" w:type="dxa"/>
          </w:tcPr>
          <w:p w14:paraId="0F3682C9" w14:textId="746A030A" w:rsidR="000C0C83" w:rsidRPr="009B2CD4" w:rsidRDefault="000C0C83" w:rsidP="009B2CD4">
            <w:pPr>
              <w:pStyle w:val="TableText"/>
              <w:widowControl w:val="0"/>
              <w:spacing w:before="120" w:after="120"/>
              <w:jc w:val="both"/>
              <w:rPr>
                <w:rFonts w:cs="Arial"/>
                <w:b/>
              </w:rPr>
            </w:pPr>
            <w:r w:rsidRPr="009B2CD4">
              <w:rPr>
                <w:rFonts w:cs="Arial"/>
                <w:b/>
              </w:rPr>
              <w:t>5.</w:t>
            </w:r>
          </w:p>
        </w:tc>
        <w:tc>
          <w:tcPr>
            <w:tcW w:w="8041" w:type="dxa"/>
          </w:tcPr>
          <w:p w14:paraId="3944121E" w14:textId="70C1E661" w:rsidR="000C0C83" w:rsidRPr="009B2CD4" w:rsidRDefault="000C0C83" w:rsidP="009B2CD4">
            <w:pPr>
              <w:pStyle w:val="TableText"/>
              <w:widowControl w:val="0"/>
              <w:spacing w:before="120" w:after="120"/>
              <w:jc w:val="both"/>
              <w:rPr>
                <w:rFonts w:cs="Arial"/>
                <w:b/>
              </w:rPr>
            </w:pPr>
            <w:r w:rsidRPr="009B2CD4">
              <w:rPr>
                <w:rFonts w:cs="Arial"/>
                <w:b/>
              </w:rPr>
              <w:t xml:space="preserve">Protecting Systems from Risk </w:t>
            </w:r>
          </w:p>
        </w:tc>
      </w:tr>
      <w:tr w:rsidR="000C0C83" w:rsidRPr="00233D23" w14:paraId="4EAEBC3B" w14:textId="77777777" w:rsidTr="00145A6A">
        <w:tc>
          <w:tcPr>
            <w:tcW w:w="606" w:type="dxa"/>
          </w:tcPr>
          <w:p w14:paraId="6A68B40E" w14:textId="688E1106" w:rsidR="000C0C83" w:rsidRPr="009B2CD4" w:rsidRDefault="000C0C83" w:rsidP="009B2CD4">
            <w:pPr>
              <w:pStyle w:val="TableText"/>
              <w:widowControl w:val="0"/>
              <w:spacing w:before="120" w:after="120"/>
              <w:jc w:val="both"/>
              <w:rPr>
                <w:rFonts w:cs="Arial"/>
              </w:rPr>
            </w:pPr>
            <w:r w:rsidRPr="009B2CD4">
              <w:rPr>
                <w:rFonts w:cs="Arial"/>
              </w:rPr>
              <w:t>5.1</w:t>
            </w:r>
          </w:p>
        </w:tc>
        <w:tc>
          <w:tcPr>
            <w:tcW w:w="8041" w:type="dxa"/>
          </w:tcPr>
          <w:p w14:paraId="4DD06490" w14:textId="722FADCE" w:rsidR="000C0C83" w:rsidRPr="009B2CD4" w:rsidRDefault="00842B12" w:rsidP="00E71933">
            <w:pPr>
              <w:pStyle w:val="TableText"/>
              <w:widowControl w:val="0"/>
              <w:spacing w:before="120" w:after="120"/>
              <w:jc w:val="both"/>
              <w:rPr>
                <w:rFonts w:cs="Arial"/>
              </w:rPr>
            </w:pPr>
            <w:r w:rsidRPr="009B2CD4">
              <w:rPr>
                <w:rFonts w:cs="Arial"/>
              </w:rPr>
              <w:t>MIT</w:t>
            </w:r>
            <w:r w:rsidR="000C0C83" w:rsidRPr="009B2CD4">
              <w:rPr>
                <w:rFonts w:cs="Arial"/>
              </w:rPr>
              <w:t xml:space="preserve"> </w:t>
            </w:r>
            <w:r w:rsidR="00E71933">
              <w:rPr>
                <w:rFonts w:cs="Arial"/>
              </w:rPr>
              <w:t>must</w:t>
            </w:r>
            <w:r w:rsidR="000C0C83" w:rsidRPr="009B2CD4">
              <w:rPr>
                <w:rFonts w:cs="Arial"/>
              </w:rPr>
              <w:t xml:space="preserve"> ensure that the cloud service provider has implemented</w:t>
            </w:r>
            <w:r w:rsidR="00DA4CD8" w:rsidRPr="009B2CD4">
              <w:rPr>
                <w:rFonts w:cs="Arial"/>
              </w:rPr>
              <w:t xml:space="preserve"> </w:t>
            </w:r>
            <w:r w:rsidR="00420016" w:rsidRPr="009B2CD4">
              <w:rPr>
                <w:rFonts w:cs="Arial"/>
              </w:rPr>
              <w:t xml:space="preserve">sufficient </w:t>
            </w:r>
            <w:r w:rsidR="000C0C83" w:rsidRPr="009B2CD4">
              <w:rPr>
                <w:rFonts w:cs="Arial"/>
              </w:rPr>
              <w:t xml:space="preserve">measures to combat the introduction of malicious code. </w:t>
            </w:r>
            <w:r w:rsidRPr="009B2CD4">
              <w:rPr>
                <w:rFonts w:cs="Arial"/>
              </w:rPr>
              <w:t>MIT</w:t>
            </w:r>
            <w:r w:rsidR="000C0C83" w:rsidRPr="009B2CD4">
              <w:rPr>
                <w:rFonts w:cs="Arial"/>
              </w:rPr>
              <w:t xml:space="preserve"> must also</w:t>
            </w:r>
            <w:r w:rsidR="00DA4CD8" w:rsidRPr="009B2CD4">
              <w:rPr>
                <w:rFonts w:cs="Arial"/>
              </w:rPr>
              <w:t xml:space="preserve"> </w:t>
            </w:r>
            <w:r w:rsidR="000C0C83" w:rsidRPr="009B2CD4">
              <w:rPr>
                <w:rFonts w:cs="Arial"/>
              </w:rPr>
              <w:t>implement measures internally to protect information systems from any threat</w:t>
            </w:r>
            <w:r w:rsidR="00DA4CD8" w:rsidRPr="009B2CD4">
              <w:rPr>
                <w:rFonts w:cs="Arial"/>
              </w:rPr>
              <w:t xml:space="preserve"> </w:t>
            </w:r>
            <w:r w:rsidR="000C0C83" w:rsidRPr="009B2CD4">
              <w:rPr>
                <w:rFonts w:cs="Arial"/>
              </w:rPr>
              <w:t>originating from this source.</w:t>
            </w:r>
          </w:p>
        </w:tc>
      </w:tr>
      <w:tr w:rsidR="000C0C83" w:rsidRPr="00233D23" w14:paraId="11ADB181" w14:textId="77777777" w:rsidTr="00145A6A">
        <w:tc>
          <w:tcPr>
            <w:tcW w:w="606" w:type="dxa"/>
          </w:tcPr>
          <w:p w14:paraId="3CDDBE58" w14:textId="531453EC" w:rsidR="000C0C83" w:rsidRPr="009B2CD4" w:rsidRDefault="000C0C83" w:rsidP="009B2CD4">
            <w:pPr>
              <w:pStyle w:val="TableText"/>
              <w:widowControl w:val="0"/>
              <w:spacing w:before="120" w:after="120"/>
              <w:jc w:val="both"/>
              <w:rPr>
                <w:rFonts w:cs="Arial"/>
              </w:rPr>
            </w:pPr>
            <w:r w:rsidRPr="009B2CD4">
              <w:rPr>
                <w:rFonts w:cs="Arial"/>
              </w:rPr>
              <w:t>5.2</w:t>
            </w:r>
          </w:p>
        </w:tc>
        <w:tc>
          <w:tcPr>
            <w:tcW w:w="8041" w:type="dxa"/>
          </w:tcPr>
          <w:p w14:paraId="21DC0B64" w14:textId="69E42D84" w:rsidR="000C0C83" w:rsidRPr="009B2CD4" w:rsidRDefault="000C0C83" w:rsidP="00E71933">
            <w:pPr>
              <w:pStyle w:val="TableText"/>
              <w:widowControl w:val="0"/>
              <w:spacing w:before="120" w:after="120"/>
              <w:jc w:val="both"/>
              <w:rPr>
                <w:rFonts w:cs="Arial"/>
              </w:rPr>
            </w:pPr>
            <w:r w:rsidRPr="009B2CD4">
              <w:rPr>
                <w:rFonts w:cs="Arial"/>
              </w:rPr>
              <w:t xml:space="preserve">The Head of ICTS </w:t>
            </w:r>
            <w:r w:rsidR="00E71933">
              <w:rPr>
                <w:rFonts w:cs="Arial"/>
              </w:rPr>
              <w:t>must</w:t>
            </w:r>
            <w:r w:rsidRPr="009B2CD4">
              <w:rPr>
                <w:rFonts w:cs="Arial"/>
              </w:rPr>
              <w:t xml:space="preserve"> approve the networks that may be used for cloud</w:t>
            </w:r>
            <w:r w:rsidR="00DA4CD8" w:rsidRPr="009B2CD4">
              <w:rPr>
                <w:rFonts w:cs="Arial"/>
              </w:rPr>
              <w:t xml:space="preserve"> </w:t>
            </w:r>
            <w:r w:rsidRPr="009B2CD4">
              <w:rPr>
                <w:rFonts w:cs="Arial"/>
              </w:rPr>
              <w:t>computing services. If a public network is approved additional technical and</w:t>
            </w:r>
            <w:r w:rsidR="00DA4CD8" w:rsidRPr="009B2CD4">
              <w:rPr>
                <w:rFonts w:cs="Arial"/>
              </w:rPr>
              <w:t xml:space="preserve"> </w:t>
            </w:r>
            <w:r w:rsidRPr="009B2CD4">
              <w:rPr>
                <w:rFonts w:cs="Arial"/>
              </w:rPr>
              <w:t>security controls may be required to ensure the information remains secure.</w:t>
            </w:r>
          </w:p>
        </w:tc>
      </w:tr>
      <w:tr w:rsidR="000C0C83" w:rsidRPr="00233D23" w14:paraId="7483C930" w14:textId="77777777" w:rsidTr="00145A6A">
        <w:tc>
          <w:tcPr>
            <w:tcW w:w="606" w:type="dxa"/>
          </w:tcPr>
          <w:p w14:paraId="099A95D6" w14:textId="7ECA1B36" w:rsidR="000C0C83" w:rsidRPr="009B2CD4" w:rsidRDefault="000C0C83" w:rsidP="009B2CD4">
            <w:pPr>
              <w:pStyle w:val="TableText"/>
              <w:widowControl w:val="0"/>
              <w:spacing w:before="120" w:after="120"/>
              <w:jc w:val="both"/>
              <w:rPr>
                <w:rFonts w:cs="Arial"/>
              </w:rPr>
            </w:pPr>
            <w:r w:rsidRPr="009B2CD4">
              <w:rPr>
                <w:rFonts w:cs="Arial"/>
              </w:rPr>
              <w:lastRenderedPageBreak/>
              <w:t>5.3</w:t>
            </w:r>
          </w:p>
        </w:tc>
        <w:tc>
          <w:tcPr>
            <w:tcW w:w="8041" w:type="dxa"/>
          </w:tcPr>
          <w:p w14:paraId="3B62D1A0" w14:textId="7DCA0732" w:rsidR="000C0C83" w:rsidRPr="009B2CD4" w:rsidRDefault="000C0C83" w:rsidP="009B2CD4">
            <w:pPr>
              <w:pStyle w:val="TableText"/>
              <w:widowControl w:val="0"/>
              <w:spacing w:before="120" w:after="120"/>
              <w:jc w:val="both"/>
              <w:rPr>
                <w:rFonts w:cs="Arial"/>
              </w:rPr>
            </w:pPr>
            <w:r w:rsidRPr="009B2CD4">
              <w:rPr>
                <w:rFonts w:cs="Arial"/>
              </w:rPr>
              <w:t>As cloud service providers often use shared infrastructure and network</w:t>
            </w:r>
            <w:r w:rsidR="00DA4CD8" w:rsidRPr="009B2CD4">
              <w:rPr>
                <w:rFonts w:cs="Arial"/>
              </w:rPr>
              <w:t xml:space="preserve"> </w:t>
            </w:r>
            <w:r w:rsidRPr="009B2CD4">
              <w:rPr>
                <w:rFonts w:cs="Arial"/>
              </w:rPr>
              <w:t xml:space="preserve">services (like active directory), </w:t>
            </w:r>
            <w:r w:rsidR="00842B12" w:rsidRPr="009B2CD4">
              <w:rPr>
                <w:rFonts w:cs="Arial"/>
              </w:rPr>
              <w:t>MIT</w:t>
            </w:r>
            <w:r w:rsidRPr="009B2CD4">
              <w:rPr>
                <w:rFonts w:cs="Arial"/>
              </w:rPr>
              <w:t xml:space="preserve"> </w:t>
            </w:r>
            <w:r w:rsidR="00E71933">
              <w:rPr>
                <w:rFonts w:cs="Arial"/>
              </w:rPr>
              <w:t>must</w:t>
            </w:r>
            <w:r w:rsidRPr="009B2CD4">
              <w:rPr>
                <w:rFonts w:cs="Arial"/>
              </w:rPr>
              <w:t xml:space="preserve"> ensure that this is an</w:t>
            </w:r>
            <w:r w:rsidR="00DA4CD8" w:rsidRPr="009B2CD4">
              <w:rPr>
                <w:rFonts w:cs="Arial"/>
              </w:rPr>
              <w:t xml:space="preserve"> </w:t>
            </w:r>
            <w:r w:rsidRPr="009B2CD4">
              <w:rPr>
                <w:rFonts w:cs="Arial"/>
              </w:rPr>
              <w:t>appropriate platform for the information involved and that there is adequate</w:t>
            </w:r>
            <w:r w:rsidR="00DA4CD8" w:rsidRPr="009B2CD4">
              <w:rPr>
                <w:rFonts w:cs="Arial"/>
              </w:rPr>
              <w:t xml:space="preserve"> </w:t>
            </w:r>
            <w:r w:rsidRPr="009B2CD4">
              <w:rPr>
                <w:rFonts w:cs="Arial"/>
              </w:rPr>
              <w:t>security to protect it from unauthorised access.</w:t>
            </w:r>
            <w:r w:rsidR="00DA4CD8" w:rsidRPr="009B2CD4">
              <w:rPr>
                <w:rFonts w:cs="Arial"/>
              </w:rPr>
              <w:t xml:space="preserve"> </w:t>
            </w:r>
          </w:p>
          <w:p w14:paraId="0A72E339" w14:textId="26DABA86" w:rsidR="000C0C83" w:rsidRPr="009B2CD4" w:rsidRDefault="000C0C83" w:rsidP="009B2CD4">
            <w:pPr>
              <w:pStyle w:val="TableText"/>
              <w:widowControl w:val="0"/>
              <w:spacing w:before="120" w:after="120"/>
              <w:jc w:val="both"/>
              <w:rPr>
                <w:rFonts w:cs="Arial"/>
              </w:rPr>
            </w:pPr>
            <w:r w:rsidRPr="009B2CD4">
              <w:rPr>
                <w:rFonts w:cs="Arial"/>
              </w:rPr>
              <w:t>Where information is confidential or sensitive, system segregation or complete</w:t>
            </w:r>
            <w:r w:rsidR="00DA4CD8" w:rsidRPr="009B2CD4">
              <w:rPr>
                <w:rFonts w:cs="Arial"/>
              </w:rPr>
              <w:t xml:space="preserve"> </w:t>
            </w:r>
            <w:r w:rsidRPr="009B2CD4">
              <w:rPr>
                <w:rFonts w:cs="Arial"/>
              </w:rPr>
              <w:t>isolation may be a requirement and if this is the case these requirements must</w:t>
            </w:r>
            <w:r w:rsidR="00DA4CD8" w:rsidRPr="009B2CD4">
              <w:rPr>
                <w:rFonts w:cs="Arial"/>
              </w:rPr>
              <w:t xml:space="preserve"> </w:t>
            </w:r>
            <w:r w:rsidRPr="009B2CD4">
              <w:rPr>
                <w:rFonts w:cs="Arial"/>
              </w:rPr>
              <w:t>be included in contractual agreements.</w:t>
            </w:r>
          </w:p>
        </w:tc>
      </w:tr>
      <w:tr w:rsidR="000C0C83" w:rsidRPr="00DA4CD8" w14:paraId="7DACE74C" w14:textId="77777777" w:rsidTr="00145A6A">
        <w:tc>
          <w:tcPr>
            <w:tcW w:w="606" w:type="dxa"/>
          </w:tcPr>
          <w:p w14:paraId="13950493" w14:textId="559C90D5" w:rsidR="000C0C83" w:rsidRPr="009B2CD4" w:rsidRDefault="000C0C83" w:rsidP="009B2CD4">
            <w:pPr>
              <w:pStyle w:val="TableText"/>
              <w:widowControl w:val="0"/>
              <w:spacing w:before="120" w:after="120"/>
              <w:jc w:val="both"/>
              <w:rPr>
                <w:rFonts w:cs="Arial"/>
                <w:b/>
              </w:rPr>
            </w:pPr>
            <w:r w:rsidRPr="009B2CD4">
              <w:rPr>
                <w:rFonts w:cs="Arial"/>
                <w:b/>
              </w:rPr>
              <w:t>6.</w:t>
            </w:r>
          </w:p>
        </w:tc>
        <w:tc>
          <w:tcPr>
            <w:tcW w:w="8041" w:type="dxa"/>
          </w:tcPr>
          <w:p w14:paraId="56DD2A4E" w14:textId="726D0D7F" w:rsidR="000C0C83" w:rsidRPr="009B2CD4" w:rsidRDefault="000C0C83" w:rsidP="009B2CD4">
            <w:pPr>
              <w:pStyle w:val="TableText"/>
              <w:widowControl w:val="0"/>
              <w:spacing w:before="120" w:after="120"/>
              <w:jc w:val="both"/>
              <w:rPr>
                <w:rFonts w:cs="Arial"/>
                <w:b/>
              </w:rPr>
            </w:pPr>
            <w:r w:rsidRPr="009B2CD4">
              <w:rPr>
                <w:rFonts w:cs="Arial"/>
                <w:b/>
              </w:rPr>
              <w:t xml:space="preserve">Monitoring, Logging and Audit </w:t>
            </w:r>
          </w:p>
        </w:tc>
      </w:tr>
      <w:tr w:rsidR="000C0C83" w:rsidRPr="00233D23" w14:paraId="6E251EAF" w14:textId="77777777" w:rsidTr="00145A6A">
        <w:tc>
          <w:tcPr>
            <w:tcW w:w="606" w:type="dxa"/>
          </w:tcPr>
          <w:p w14:paraId="145900AF" w14:textId="2EC5B89D" w:rsidR="000C0C83" w:rsidRPr="009B2CD4" w:rsidRDefault="000C0C83" w:rsidP="009B2CD4">
            <w:pPr>
              <w:pStyle w:val="TableText"/>
              <w:widowControl w:val="0"/>
              <w:spacing w:before="120" w:after="120"/>
              <w:jc w:val="both"/>
              <w:rPr>
                <w:rFonts w:cs="Arial"/>
              </w:rPr>
            </w:pPr>
            <w:r w:rsidRPr="009B2CD4">
              <w:rPr>
                <w:rFonts w:cs="Arial"/>
              </w:rPr>
              <w:t>6.1</w:t>
            </w:r>
          </w:p>
        </w:tc>
        <w:tc>
          <w:tcPr>
            <w:tcW w:w="8041" w:type="dxa"/>
          </w:tcPr>
          <w:p w14:paraId="357BEC4D" w14:textId="770338EF" w:rsidR="000C0C83" w:rsidRPr="009B2CD4" w:rsidRDefault="00842B12" w:rsidP="00E71933">
            <w:pPr>
              <w:pStyle w:val="TableText"/>
              <w:widowControl w:val="0"/>
              <w:spacing w:before="120" w:after="120"/>
              <w:jc w:val="both"/>
              <w:rPr>
                <w:rFonts w:cs="Arial"/>
              </w:rPr>
            </w:pPr>
            <w:r w:rsidRPr="009B2CD4">
              <w:rPr>
                <w:rFonts w:cs="Arial"/>
              </w:rPr>
              <w:t>MIT</w:t>
            </w:r>
            <w:r w:rsidR="000C0C83" w:rsidRPr="009B2CD4">
              <w:rPr>
                <w:rFonts w:cs="Arial"/>
              </w:rPr>
              <w:t xml:space="preserve"> </w:t>
            </w:r>
            <w:r w:rsidR="00E71933">
              <w:rPr>
                <w:rFonts w:cs="Arial"/>
              </w:rPr>
              <w:t>should</w:t>
            </w:r>
            <w:r w:rsidR="000C0C83" w:rsidRPr="009B2CD4">
              <w:rPr>
                <w:rFonts w:cs="Arial"/>
              </w:rPr>
              <w:t xml:space="preserve"> regularly monitor and review the services, reports and</w:t>
            </w:r>
            <w:r w:rsidR="00C05569" w:rsidRPr="009B2CD4">
              <w:rPr>
                <w:rFonts w:cs="Arial"/>
              </w:rPr>
              <w:t xml:space="preserve"> </w:t>
            </w:r>
            <w:r w:rsidR="000C0C83" w:rsidRPr="009B2CD4">
              <w:rPr>
                <w:rFonts w:cs="Arial"/>
              </w:rPr>
              <w:t xml:space="preserve">records provided by the cloud service provider and </w:t>
            </w:r>
            <w:r w:rsidR="00E71933">
              <w:rPr>
                <w:rFonts w:cs="Arial"/>
              </w:rPr>
              <w:t>must</w:t>
            </w:r>
            <w:r w:rsidR="000C0C83" w:rsidRPr="009B2CD4">
              <w:rPr>
                <w:rFonts w:cs="Arial"/>
              </w:rPr>
              <w:t xml:space="preserve"> conduct a regular</w:t>
            </w:r>
            <w:r w:rsidR="00C05569" w:rsidRPr="009B2CD4">
              <w:rPr>
                <w:rFonts w:cs="Arial"/>
              </w:rPr>
              <w:t xml:space="preserve"> </w:t>
            </w:r>
            <w:r w:rsidR="000C0C83" w:rsidRPr="009B2CD4">
              <w:rPr>
                <w:rFonts w:cs="Arial"/>
              </w:rPr>
              <w:t>audit of the cloud service provider's performance in accordance with the</w:t>
            </w:r>
            <w:r w:rsidR="00C05569" w:rsidRPr="009B2CD4">
              <w:rPr>
                <w:rFonts w:cs="Arial"/>
              </w:rPr>
              <w:t xml:space="preserve"> </w:t>
            </w:r>
            <w:r w:rsidR="000C0C83" w:rsidRPr="009B2CD4">
              <w:rPr>
                <w:rFonts w:cs="Arial"/>
              </w:rPr>
              <w:t>service agreement. Faults within the system must be logged and reported.</w:t>
            </w:r>
          </w:p>
        </w:tc>
      </w:tr>
      <w:tr w:rsidR="000C0C83" w:rsidRPr="00233D23" w14:paraId="4DC58D2C" w14:textId="77777777" w:rsidTr="00145A6A">
        <w:tc>
          <w:tcPr>
            <w:tcW w:w="606" w:type="dxa"/>
          </w:tcPr>
          <w:p w14:paraId="44BB877E" w14:textId="66181C91" w:rsidR="000C0C83" w:rsidRPr="009B2CD4" w:rsidRDefault="000C0C83" w:rsidP="009B2CD4">
            <w:pPr>
              <w:pStyle w:val="TableText"/>
              <w:widowControl w:val="0"/>
              <w:spacing w:before="120" w:after="120"/>
              <w:jc w:val="both"/>
              <w:rPr>
                <w:rFonts w:cs="Arial"/>
              </w:rPr>
            </w:pPr>
            <w:r w:rsidRPr="009B2CD4">
              <w:rPr>
                <w:rFonts w:cs="Arial"/>
              </w:rPr>
              <w:t>6.2</w:t>
            </w:r>
          </w:p>
        </w:tc>
        <w:tc>
          <w:tcPr>
            <w:tcW w:w="8041" w:type="dxa"/>
          </w:tcPr>
          <w:p w14:paraId="6949C2DD" w14:textId="65155E5F" w:rsidR="000C0C83" w:rsidRPr="009B2CD4" w:rsidRDefault="000C0C83" w:rsidP="00E71933">
            <w:pPr>
              <w:pStyle w:val="TableText"/>
              <w:widowControl w:val="0"/>
              <w:spacing w:before="120" w:after="120"/>
              <w:jc w:val="both"/>
              <w:rPr>
                <w:rFonts w:cs="Arial"/>
              </w:rPr>
            </w:pPr>
            <w:r w:rsidRPr="009B2CD4">
              <w:rPr>
                <w:rFonts w:cs="Arial"/>
              </w:rPr>
              <w:t xml:space="preserve">Cloud computing services </w:t>
            </w:r>
            <w:r w:rsidR="00E71933">
              <w:rPr>
                <w:rFonts w:cs="Arial"/>
              </w:rPr>
              <w:t>should</w:t>
            </w:r>
            <w:r w:rsidRPr="009B2CD4">
              <w:rPr>
                <w:rFonts w:cs="Arial"/>
              </w:rPr>
              <w:t xml:space="preserve"> be monitored to ensure that users are only</w:t>
            </w:r>
            <w:r w:rsidR="00C05569" w:rsidRPr="009B2CD4">
              <w:rPr>
                <w:rFonts w:cs="Arial"/>
              </w:rPr>
              <w:t xml:space="preserve"> </w:t>
            </w:r>
            <w:r w:rsidRPr="009B2CD4">
              <w:rPr>
                <w:rFonts w:cs="Arial"/>
              </w:rPr>
              <w:t>performing activities that they have been authorised to perform. System</w:t>
            </w:r>
            <w:r w:rsidR="00C05569" w:rsidRPr="009B2CD4">
              <w:rPr>
                <w:rFonts w:cs="Arial"/>
              </w:rPr>
              <w:t xml:space="preserve"> </w:t>
            </w:r>
            <w:r w:rsidRPr="009B2CD4">
              <w:rPr>
                <w:rFonts w:cs="Arial"/>
              </w:rPr>
              <w:t xml:space="preserve">administration functions carried out by the cloud service provider </w:t>
            </w:r>
            <w:r w:rsidR="00E71933">
              <w:rPr>
                <w:rFonts w:cs="Arial"/>
              </w:rPr>
              <w:t>must</w:t>
            </w:r>
            <w:r w:rsidRPr="009B2CD4">
              <w:rPr>
                <w:rFonts w:cs="Arial"/>
              </w:rPr>
              <w:t xml:space="preserve"> also be</w:t>
            </w:r>
            <w:r w:rsidR="00C05569" w:rsidRPr="009B2CD4">
              <w:rPr>
                <w:rFonts w:cs="Arial"/>
              </w:rPr>
              <w:t xml:space="preserve"> </w:t>
            </w:r>
            <w:r w:rsidRPr="009B2CD4">
              <w:rPr>
                <w:rFonts w:cs="Arial"/>
              </w:rPr>
              <w:t xml:space="preserve">logged. All logs </w:t>
            </w:r>
            <w:r w:rsidR="00E71933">
              <w:rPr>
                <w:rFonts w:cs="Arial"/>
              </w:rPr>
              <w:t>must</w:t>
            </w:r>
            <w:r w:rsidRPr="009B2CD4">
              <w:rPr>
                <w:rFonts w:cs="Arial"/>
              </w:rPr>
              <w:t xml:space="preserve"> be protected from unauthorised access and modification</w:t>
            </w:r>
            <w:r w:rsidR="00C05569" w:rsidRPr="009B2CD4">
              <w:rPr>
                <w:rFonts w:cs="Arial"/>
              </w:rPr>
              <w:t xml:space="preserve"> </w:t>
            </w:r>
            <w:r w:rsidRPr="009B2CD4">
              <w:rPr>
                <w:rFonts w:cs="Arial"/>
              </w:rPr>
              <w:t>so that evidence is not compromised if required for any purpose.</w:t>
            </w:r>
          </w:p>
        </w:tc>
      </w:tr>
      <w:tr w:rsidR="000C0C83" w:rsidRPr="00233D23" w14:paraId="4D0959F3" w14:textId="77777777" w:rsidTr="00145A6A">
        <w:tc>
          <w:tcPr>
            <w:tcW w:w="606" w:type="dxa"/>
          </w:tcPr>
          <w:p w14:paraId="39FD4AD2" w14:textId="1BE83294" w:rsidR="000C0C83" w:rsidRPr="009B2CD4" w:rsidRDefault="0054104A" w:rsidP="009B2CD4">
            <w:pPr>
              <w:pStyle w:val="TableText"/>
              <w:widowControl w:val="0"/>
              <w:spacing w:before="120" w:after="120"/>
              <w:jc w:val="both"/>
              <w:rPr>
                <w:rFonts w:cs="Arial"/>
              </w:rPr>
            </w:pPr>
            <w:r w:rsidRPr="009B2CD4">
              <w:rPr>
                <w:rFonts w:cs="Arial"/>
              </w:rPr>
              <w:t>6.3</w:t>
            </w:r>
          </w:p>
        </w:tc>
        <w:tc>
          <w:tcPr>
            <w:tcW w:w="8041" w:type="dxa"/>
          </w:tcPr>
          <w:p w14:paraId="124A0D2F" w14:textId="5C32901D" w:rsidR="000C0C83" w:rsidRPr="009B2CD4" w:rsidRDefault="000C0C83" w:rsidP="009B2CD4">
            <w:pPr>
              <w:pStyle w:val="TableText"/>
              <w:widowControl w:val="0"/>
              <w:spacing w:before="120" w:after="120"/>
              <w:jc w:val="both"/>
              <w:rPr>
                <w:rFonts w:cs="Arial"/>
              </w:rPr>
            </w:pPr>
            <w:r w:rsidRPr="009B2CD4">
              <w:rPr>
                <w:rFonts w:cs="Arial"/>
              </w:rPr>
              <w:t xml:space="preserve">As part of any service contract, </w:t>
            </w:r>
            <w:r w:rsidR="00842B12" w:rsidRPr="009B2CD4">
              <w:rPr>
                <w:rFonts w:cs="Arial"/>
              </w:rPr>
              <w:t>MIT</w:t>
            </w:r>
            <w:r w:rsidRPr="009B2CD4">
              <w:rPr>
                <w:rFonts w:cs="Arial"/>
              </w:rPr>
              <w:t xml:space="preserve"> </w:t>
            </w:r>
            <w:r w:rsidR="00CD2431">
              <w:rPr>
                <w:rFonts w:cs="Arial"/>
              </w:rPr>
              <w:t>must</w:t>
            </w:r>
            <w:r w:rsidRPr="009B2CD4">
              <w:rPr>
                <w:rFonts w:cs="Arial"/>
              </w:rPr>
              <w:t xml:space="preserve"> define its requirements with</w:t>
            </w:r>
            <w:r w:rsidR="00C05569" w:rsidRPr="009B2CD4">
              <w:rPr>
                <w:rFonts w:cs="Arial"/>
              </w:rPr>
              <w:t xml:space="preserve"> </w:t>
            </w:r>
            <w:r w:rsidRPr="009B2CD4">
              <w:rPr>
                <w:rFonts w:cs="Arial"/>
              </w:rPr>
              <w:t>regard to the collection and retention of audit logs. The information recorded in</w:t>
            </w:r>
            <w:r w:rsidR="00C05569" w:rsidRPr="009B2CD4">
              <w:rPr>
                <w:rFonts w:cs="Arial"/>
              </w:rPr>
              <w:t xml:space="preserve"> </w:t>
            </w:r>
            <w:r w:rsidRPr="009B2CD4">
              <w:rPr>
                <w:rFonts w:cs="Arial"/>
              </w:rPr>
              <w:t xml:space="preserve">the logs </w:t>
            </w:r>
            <w:r w:rsidR="00CD2431">
              <w:rPr>
                <w:rFonts w:cs="Arial"/>
              </w:rPr>
              <w:t xml:space="preserve">must </w:t>
            </w:r>
            <w:r w:rsidRPr="009B2CD4">
              <w:rPr>
                <w:rFonts w:cs="Arial"/>
              </w:rPr>
              <w:t>be made available upon request and particularly when required</w:t>
            </w:r>
            <w:r w:rsidR="00C05569" w:rsidRPr="009B2CD4">
              <w:rPr>
                <w:rFonts w:cs="Arial"/>
              </w:rPr>
              <w:t xml:space="preserve"> </w:t>
            </w:r>
            <w:r w:rsidRPr="009B2CD4">
              <w:rPr>
                <w:rFonts w:cs="Arial"/>
              </w:rPr>
              <w:t>for evidential purposes.</w:t>
            </w:r>
          </w:p>
          <w:p w14:paraId="3C452731" w14:textId="275EBC50" w:rsidR="00AB3B3C" w:rsidRPr="009B2CD4" w:rsidRDefault="000C0C83" w:rsidP="009B2CD4">
            <w:pPr>
              <w:pStyle w:val="TableText"/>
              <w:widowControl w:val="0"/>
              <w:spacing w:before="120" w:after="120"/>
              <w:jc w:val="both"/>
              <w:rPr>
                <w:rFonts w:cs="Arial"/>
              </w:rPr>
            </w:pPr>
            <w:r w:rsidRPr="009B2CD4">
              <w:rPr>
                <w:rFonts w:cs="Arial"/>
              </w:rPr>
              <w:t>These requirements</w:t>
            </w:r>
            <w:r w:rsidR="00AB3B3C" w:rsidRPr="009B2CD4">
              <w:rPr>
                <w:rFonts w:cs="Arial"/>
              </w:rPr>
              <w:t xml:space="preserve"> </w:t>
            </w:r>
            <w:r w:rsidR="00CD2431">
              <w:rPr>
                <w:rFonts w:cs="Arial"/>
              </w:rPr>
              <w:t>should</w:t>
            </w:r>
            <w:r w:rsidR="00AB3B3C" w:rsidRPr="009B2CD4">
              <w:rPr>
                <w:rFonts w:cs="Arial"/>
              </w:rPr>
              <w:t xml:space="preserve"> determine the:</w:t>
            </w:r>
          </w:p>
          <w:p w14:paraId="1BEE5A80" w14:textId="6F5212D9" w:rsidR="000C0C83" w:rsidRPr="009B2CD4" w:rsidRDefault="00AB3B3C" w:rsidP="009B2CD4">
            <w:pPr>
              <w:pStyle w:val="TableText"/>
              <w:widowControl w:val="0"/>
              <w:numPr>
                <w:ilvl w:val="0"/>
                <w:numId w:val="32"/>
              </w:numPr>
              <w:spacing w:before="120" w:after="120"/>
              <w:ind w:left="284" w:hanging="284"/>
              <w:jc w:val="both"/>
              <w:rPr>
                <w:rFonts w:cs="Arial"/>
              </w:rPr>
            </w:pPr>
            <w:r w:rsidRPr="009B2CD4">
              <w:rPr>
                <w:rFonts w:cs="Arial"/>
              </w:rPr>
              <w:t>E</w:t>
            </w:r>
            <w:r w:rsidR="000C0C83" w:rsidRPr="009B2CD4">
              <w:rPr>
                <w:rFonts w:cs="Arial"/>
              </w:rPr>
              <w:t>vents to be logged</w:t>
            </w:r>
            <w:r w:rsidR="00D47475" w:rsidRPr="009B2CD4">
              <w:rPr>
                <w:rFonts w:cs="Arial"/>
              </w:rPr>
              <w:t>.</w:t>
            </w:r>
          </w:p>
          <w:p w14:paraId="22128F2F" w14:textId="3AA9F3B0" w:rsidR="000C0C83" w:rsidRPr="009B2CD4" w:rsidRDefault="00AB3B3C" w:rsidP="009B2CD4">
            <w:pPr>
              <w:pStyle w:val="TableText"/>
              <w:widowControl w:val="0"/>
              <w:numPr>
                <w:ilvl w:val="0"/>
                <w:numId w:val="32"/>
              </w:numPr>
              <w:spacing w:before="120" w:after="120"/>
              <w:ind w:left="284" w:hanging="284"/>
              <w:jc w:val="both"/>
              <w:rPr>
                <w:rFonts w:cs="Arial"/>
              </w:rPr>
            </w:pPr>
            <w:r w:rsidRPr="009B2CD4">
              <w:rPr>
                <w:rFonts w:cs="Arial"/>
              </w:rPr>
              <w:t>I</w:t>
            </w:r>
            <w:r w:rsidR="000C0C83" w:rsidRPr="009B2CD4">
              <w:rPr>
                <w:rFonts w:cs="Arial"/>
              </w:rPr>
              <w:t>nformation and data format to be recorded as audit logs</w:t>
            </w:r>
            <w:r w:rsidR="00D47475" w:rsidRPr="009B2CD4">
              <w:rPr>
                <w:rFonts w:cs="Arial"/>
              </w:rPr>
              <w:t>.</w:t>
            </w:r>
          </w:p>
          <w:p w14:paraId="3D0BB7C5" w14:textId="24F66D4C" w:rsidR="000C0C83" w:rsidRPr="009B2CD4" w:rsidRDefault="00AB3B3C" w:rsidP="009B2CD4">
            <w:pPr>
              <w:pStyle w:val="TableText"/>
              <w:widowControl w:val="0"/>
              <w:numPr>
                <w:ilvl w:val="0"/>
                <w:numId w:val="32"/>
              </w:numPr>
              <w:spacing w:before="120" w:after="120"/>
              <w:ind w:left="284" w:hanging="284"/>
              <w:jc w:val="both"/>
              <w:rPr>
                <w:rFonts w:cs="Arial"/>
              </w:rPr>
            </w:pPr>
            <w:r w:rsidRPr="009B2CD4">
              <w:rPr>
                <w:rFonts w:cs="Arial"/>
              </w:rPr>
              <w:t>R</w:t>
            </w:r>
            <w:r w:rsidR="000C0C83" w:rsidRPr="009B2CD4">
              <w:rPr>
                <w:rFonts w:cs="Arial"/>
              </w:rPr>
              <w:t>etention period of audit logs</w:t>
            </w:r>
            <w:r w:rsidR="00D47475" w:rsidRPr="009B2CD4">
              <w:rPr>
                <w:rFonts w:cs="Arial"/>
              </w:rPr>
              <w:t>.</w:t>
            </w:r>
          </w:p>
          <w:p w14:paraId="0595D52A" w14:textId="1CCBC598" w:rsidR="000C0C83" w:rsidRPr="009B2CD4" w:rsidRDefault="00AB3B3C" w:rsidP="009B2CD4">
            <w:pPr>
              <w:pStyle w:val="TableText"/>
              <w:widowControl w:val="0"/>
              <w:numPr>
                <w:ilvl w:val="0"/>
                <w:numId w:val="32"/>
              </w:numPr>
              <w:spacing w:before="120" w:after="120"/>
              <w:ind w:left="284" w:hanging="284"/>
              <w:jc w:val="both"/>
              <w:rPr>
                <w:rFonts w:cs="Arial"/>
              </w:rPr>
            </w:pPr>
            <w:r w:rsidRPr="009B2CD4">
              <w:rPr>
                <w:rFonts w:cs="Arial"/>
              </w:rPr>
              <w:t>I</w:t>
            </w:r>
            <w:r w:rsidR="000C0C83" w:rsidRPr="009B2CD4">
              <w:rPr>
                <w:rFonts w:cs="Arial"/>
              </w:rPr>
              <w:t>nteractively accessible period</w:t>
            </w:r>
            <w:r w:rsidR="00D47475" w:rsidRPr="009B2CD4">
              <w:rPr>
                <w:rFonts w:cs="Arial"/>
              </w:rPr>
              <w:t>.</w:t>
            </w:r>
          </w:p>
          <w:p w14:paraId="452C3C12" w14:textId="5068088C" w:rsidR="000C0C83" w:rsidRPr="009B2CD4" w:rsidRDefault="00AB3B3C" w:rsidP="009B2CD4">
            <w:pPr>
              <w:pStyle w:val="TableText"/>
              <w:widowControl w:val="0"/>
              <w:numPr>
                <w:ilvl w:val="0"/>
                <w:numId w:val="32"/>
              </w:numPr>
              <w:spacing w:before="120" w:after="120"/>
              <w:ind w:left="284" w:hanging="284"/>
              <w:jc w:val="both"/>
              <w:rPr>
                <w:rFonts w:cs="Arial"/>
              </w:rPr>
            </w:pPr>
            <w:r w:rsidRPr="009B2CD4">
              <w:rPr>
                <w:rFonts w:cs="Arial"/>
              </w:rPr>
              <w:t>M</w:t>
            </w:r>
            <w:r w:rsidR="000C0C83" w:rsidRPr="009B2CD4">
              <w:rPr>
                <w:rFonts w:cs="Arial"/>
              </w:rPr>
              <w:t>ethod of verifying integrity of audit logs</w:t>
            </w:r>
            <w:r w:rsidR="00D47475" w:rsidRPr="009B2CD4">
              <w:rPr>
                <w:rFonts w:cs="Arial"/>
              </w:rPr>
              <w:t>.</w:t>
            </w:r>
          </w:p>
        </w:tc>
      </w:tr>
      <w:tr w:rsidR="00AB3B3C" w:rsidRPr="00233D23" w14:paraId="339BAD95" w14:textId="77777777" w:rsidTr="00145A6A">
        <w:tc>
          <w:tcPr>
            <w:tcW w:w="606" w:type="dxa"/>
          </w:tcPr>
          <w:p w14:paraId="1FA8037A" w14:textId="765EE9D1" w:rsidR="00AB3B3C" w:rsidRPr="009B2CD4" w:rsidRDefault="00AB3B3C" w:rsidP="009B2CD4">
            <w:pPr>
              <w:pStyle w:val="TableText"/>
              <w:widowControl w:val="0"/>
              <w:spacing w:before="120" w:after="120"/>
              <w:jc w:val="both"/>
              <w:rPr>
                <w:rFonts w:cs="Arial"/>
              </w:rPr>
            </w:pPr>
            <w:r w:rsidRPr="009B2CD4">
              <w:rPr>
                <w:rFonts w:cs="Arial"/>
              </w:rPr>
              <w:t>6.4</w:t>
            </w:r>
          </w:p>
        </w:tc>
        <w:tc>
          <w:tcPr>
            <w:tcW w:w="8041" w:type="dxa"/>
          </w:tcPr>
          <w:p w14:paraId="0B9A2575" w14:textId="70CBE18E" w:rsidR="0054104A" w:rsidRPr="009B2CD4" w:rsidRDefault="00842B12" w:rsidP="00CD2431">
            <w:pPr>
              <w:pStyle w:val="TableText"/>
              <w:widowControl w:val="0"/>
              <w:spacing w:before="120" w:after="120"/>
              <w:jc w:val="both"/>
              <w:rPr>
                <w:rFonts w:cs="Arial"/>
              </w:rPr>
            </w:pPr>
            <w:r w:rsidRPr="009B2CD4">
              <w:rPr>
                <w:rFonts w:cs="Arial"/>
              </w:rPr>
              <w:t>MIT</w:t>
            </w:r>
            <w:r w:rsidR="00AB3B3C" w:rsidRPr="009B2CD4">
              <w:rPr>
                <w:rFonts w:cs="Arial"/>
              </w:rPr>
              <w:t xml:space="preserve"> </w:t>
            </w:r>
            <w:r w:rsidR="00CD2431">
              <w:rPr>
                <w:rFonts w:cs="Arial"/>
              </w:rPr>
              <w:t>must</w:t>
            </w:r>
            <w:r w:rsidR="00AB3B3C" w:rsidRPr="009B2CD4">
              <w:rPr>
                <w:rFonts w:cs="Arial"/>
              </w:rPr>
              <w:t xml:space="preserve"> include a regular audit of the cloud computing environment</w:t>
            </w:r>
            <w:r w:rsidR="00C05569" w:rsidRPr="009B2CD4">
              <w:rPr>
                <w:rFonts w:cs="Arial"/>
              </w:rPr>
              <w:t xml:space="preserve"> </w:t>
            </w:r>
            <w:r w:rsidR="00AB3B3C" w:rsidRPr="009B2CD4">
              <w:rPr>
                <w:rFonts w:cs="Arial"/>
              </w:rPr>
              <w:t xml:space="preserve">as part of the service agreement. The scope of the audit </w:t>
            </w:r>
            <w:r w:rsidR="00CD2431">
              <w:rPr>
                <w:rFonts w:cs="Arial"/>
              </w:rPr>
              <w:t>must</w:t>
            </w:r>
            <w:r w:rsidR="00AB3B3C" w:rsidRPr="009B2CD4">
              <w:rPr>
                <w:rFonts w:cs="Arial"/>
              </w:rPr>
              <w:t xml:space="preserve"> be agreed by the</w:t>
            </w:r>
            <w:r w:rsidR="00C05569" w:rsidRPr="009B2CD4">
              <w:rPr>
                <w:rFonts w:cs="Arial"/>
              </w:rPr>
              <w:t xml:space="preserve"> </w:t>
            </w:r>
            <w:r w:rsidR="00AB3B3C" w:rsidRPr="009B2CD4">
              <w:rPr>
                <w:rFonts w:cs="Arial"/>
              </w:rPr>
              <w:t>cloud service provider and may include hardware, operating systems,</w:t>
            </w:r>
            <w:r w:rsidR="00C05569" w:rsidRPr="009B2CD4">
              <w:rPr>
                <w:rFonts w:cs="Arial"/>
              </w:rPr>
              <w:t xml:space="preserve"> </w:t>
            </w:r>
            <w:r w:rsidR="00AB3B3C" w:rsidRPr="009B2CD4">
              <w:rPr>
                <w:rFonts w:cs="Arial"/>
              </w:rPr>
              <w:t>applications, information and communications links.</w:t>
            </w:r>
          </w:p>
        </w:tc>
      </w:tr>
      <w:tr w:rsidR="00AB3B3C" w:rsidRPr="00DA4CD8" w14:paraId="78D5DAD9" w14:textId="77777777" w:rsidTr="00145A6A">
        <w:tc>
          <w:tcPr>
            <w:tcW w:w="606" w:type="dxa"/>
          </w:tcPr>
          <w:p w14:paraId="06482510" w14:textId="3F39A4C1" w:rsidR="00AB3B3C" w:rsidRPr="009B2CD4" w:rsidRDefault="00AB3B3C" w:rsidP="009B2CD4">
            <w:pPr>
              <w:pStyle w:val="TableText"/>
              <w:widowControl w:val="0"/>
              <w:spacing w:before="120" w:after="120"/>
              <w:jc w:val="both"/>
              <w:rPr>
                <w:rFonts w:cs="Arial"/>
                <w:b/>
              </w:rPr>
            </w:pPr>
            <w:r w:rsidRPr="009B2CD4">
              <w:rPr>
                <w:rFonts w:cs="Arial"/>
                <w:b/>
              </w:rPr>
              <w:t>7.</w:t>
            </w:r>
          </w:p>
        </w:tc>
        <w:tc>
          <w:tcPr>
            <w:tcW w:w="8041" w:type="dxa"/>
          </w:tcPr>
          <w:p w14:paraId="18C280DA" w14:textId="21724593" w:rsidR="00AB3B3C" w:rsidRPr="009B2CD4" w:rsidRDefault="00AB3B3C" w:rsidP="009B2CD4">
            <w:pPr>
              <w:pStyle w:val="TableText"/>
              <w:widowControl w:val="0"/>
              <w:spacing w:before="120" w:after="120"/>
              <w:jc w:val="both"/>
              <w:rPr>
                <w:rFonts w:cs="Arial"/>
                <w:b/>
              </w:rPr>
            </w:pPr>
            <w:r w:rsidRPr="009B2CD4">
              <w:rPr>
                <w:rFonts w:cs="Arial"/>
                <w:b/>
              </w:rPr>
              <w:t xml:space="preserve">Systems Management </w:t>
            </w:r>
          </w:p>
        </w:tc>
      </w:tr>
      <w:tr w:rsidR="00AB3B3C" w:rsidRPr="00233D23" w14:paraId="79795557" w14:textId="77777777" w:rsidTr="00145A6A">
        <w:tc>
          <w:tcPr>
            <w:tcW w:w="606" w:type="dxa"/>
          </w:tcPr>
          <w:p w14:paraId="66B66636" w14:textId="64C4A53B" w:rsidR="00AB3B3C" w:rsidRPr="009B2CD4" w:rsidRDefault="00AB3B3C" w:rsidP="009B2CD4">
            <w:pPr>
              <w:pStyle w:val="TableText"/>
              <w:widowControl w:val="0"/>
              <w:spacing w:before="120" w:after="120"/>
              <w:jc w:val="both"/>
              <w:rPr>
                <w:rFonts w:cs="Arial"/>
              </w:rPr>
            </w:pPr>
            <w:r w:rsidRPr="009B2CD4">
              <w:rPr>
                <w:rFonts w:cs="Arial"/>
              </w:rPr>
              <w:t>7.1</w:t>
            </w:r>
          </w:p>
        </w:tc>
        <w:tc>
          <w:tcPr>
            <w:tcW w:w="8041" w:type="dxa"/>
          </w:tcPr>
          <w:p w14:paraId="7E7C1688" w14:textId="01200DB8" w:rsidR="00AB3B3C" w:rsidRPr="009B2CD4" w:rsidRDefault="00AB3B3C" w:rsidP="00CD2431">
            <w:pPr>
              <w:pStyle w:val="TableText"/>
              <w:widowControl w:val="0"/>
              <w:spacing w:before="120" w:after="120"/>
              <w:jc w:val="both"/>
              <w:rPr>
                <w:rFonts w:cs="Arial"/>
              </w:rPr>
            </w:pPr>
            <w:r w:rsidRPr="009B2CD4">
              <w:rPr>
                <w:rFonts w:cs="Arial"/>
              </w:rPr>
              <w:t>The use of system utilities that have the potential to override system and</w:t>
            </w:r>
            <w:r w:rsidR="00C05569" w:rsidRPr="009B2CD4">
              <w:rPr>
                <w:rFonts w:cs="Arial"/>
              </w:rPr>
              <w:t xml:space="preserve"> </w:t>
            </w:r>
            <w:r w:rsidRPr="009B2CD4">
              <w:rPr>
                <w:rFonts w:cs="Arial"/>
              </w:rPr>
              <w:t xml:space="preserve">application controls within the cloud computing environment </w:t>
            </w:r>
            <w:r w:rsidR="00CD2431">
              <w:rPr>
                <w:rFonts w:cs="Arial"/>
              </w:rPr>
              <w:t>must</w:t>
            </w:r>
            <w:r w:rsidRPr="009B2CD4">
              <w:rPr>
                <w:rFonts w:cs="Arial"/>
              </w:rPr>
              <w:t xml:space="preserve"> be strictly</w:t>
            </w:r>
            <w:r w:rsidR="00C05569" w:rsidRPr="009B2CD4">
              <w:rPr>
                <w:rFonts w:cs="Arial"/>
              </w:rPr>
              <w:t xml:space="preserve"> </w:t>
            </w:r>
            <w:r w:rsidRPr="009B2CD4">
              <w:rPr>
                <w:rFonts w:cs="Arial"/>
              </w:rPr>
              <w:t>managed.</w:t>
            </w:r>
          </w:p>
        </w:tc>
      </w:tr>
      <w:tr w:rsidR="00AB3B3C" w:rsidRPr="00233D23" w14:paraId="235C2D8D" w14:textId="77777777" w:rsidTr="00145A6A">
        <w:trPr>
          <w:trHeight w:val="1224"/>
        </w:trPr>
        <w:tc>
          <w:tcPr>
            <w:tcW w:w="606" w:type="dxa"/>
          </w:tcPr>
          <w:p w14:paraId="726A9BCD" w14:textId="224C2F0D" w:rsidR="00AB3B3C" w:rsidRPr="009B2CD4" w:rsidRDefault="00AB3B3C" w:rsidP="009B2CD4">
            <w:pPr>
              <w:pStyle w:val="TableText"/>
              <w:widowControl w:val="0"/>
              <w:spacing w:before="120" w:after="120"/>
              <w:jc w:val="both"/>
              <w:rPr>
                <w:rFonts w:cs="Arial"/>
              </w:rPr>
            </w:pPr>
            <w:r w:rsidRPr="009B2CD4">
              <w:rPr>
                <w:rFonts w:cs="Arial"/>
              </w:rPr>
              <w:t>7.2</w:t>
            </w:r>
          </w:p>
        </w:tc>
        <w:tc>
          <w:tcPr>
            <w:tcW w:w="8041" w:type="dxa"/>
          </w:tcPr>
          <w:p w14:paraId="7EE7F2D7" w14:textId="2E312578" w:rsidR="00AB3B3C" w:rsidRPr="009B2CD4" w:rsidRDefault="00842B12" w:rsidP="00CD2431">
            <w:pPr>
              <w:pStyle w:val="TableText"/>
              <w:widowControl w:val="0"/>
              <w:spacing w:before="120" w:after="120"/>
              <w:jc w:val="both"/>
              <w:rPr>
                <w:rFonts w:cs="Arial"/>
              </w:rPr>
            </w:pPr>
            <w:r w:rsidRPr="009B2CD4">
              <w:rPr>
                <w:rFonts w:cs="Arial"/>
              </w:rPr>
              <w:t>MIT</w:t>
            </w:r>
            <w:r w:rsidR="00AB3B3C" w:rsidRPr="009B2CD4">
              <w:rPr>
                <w:rFonts w:cs="Arial"/>
              </w:rPr>
              <w:t xml:space="preserve"> </w:t>
            </w:r>
            <w:r w:rsidR="00CD2431">
              <w:rPr>
                <w:rFonts w:cs="Arial"/>
              </w:rPr>
              <w:t>must</w:t>
            </w:r>
            <w:r w:rsidR="00AB3B3C" w:rsidRPr="009B2CD4">
              <w:rPr>
                <w:rFonts w:cs="Arial"/>
              </w:rPr>
              <w:t xml:space="preserve"> manage all changes made by the cloud service provider to</w:t>
            </w:r>
            <w:r w:rsidR="00C05569" w:rsidRPr="009B2CD4">
              <w:rPr>
                <w:rFonts w:cs="Arial"/>
              </w:rPr>
              <w:t xml:space="preserve"> </w:t>
            </w:r>
            <w:r w:rsidR="00AB3B3C" w:rsidRPr="009B2CD4">
              <w:rPr>
                <w:rFonts w:cs="Arial"/>
              </w:rPr>
              <w:t>systems and services that affect the security of information or systems within</w:t>
            </w:r>
            <w:r w:rsidR="00C05569" w:rsidRPr="009B2CD4">
              <w:rPr>
                <w:rFonts w:cs="Arial"/>
              </w:rPr>
              <w:t xml:space="preserve"> </w:t>
            </w:r>
            <w:r w:rsidRPr="009B2CD4">
              <w:rPr>
                <w:rFonts w:cs="Arial"/>
              </w:rPr>
              <w:t>MIT</w:t>
            </w:r>
            <w:r w:rsidR="00AB3B3C" w:rsidRPr="009B2CD4">
              <w:rPr>
                <w:rFonts w:cs="Arial"/>
              </w:rPr>
              <w:t>'s change management process. Testing and validating changes</w:t>
            </w:r>
            <w:r w:rsidR="00C05569" w:rsidRPr="009B2CD4">
              <w:rPr>
                <w:rFonts w:cs="Arial"/>
              </w:rPr>
              <w:t xml:space="preserve"> </w:t>
            </w:r>
            <w:r w:rsidR="00CD2431">
              <w:rPr>
                <w:rFonts w:cs="Arial"/>
              </w:rPr>
              <w:t>must</w:t>
            </w:r>
            <w:r w:rsidR="00AB3B3C" w:rsidRPr="009B2CD4">
              <w:rPr>
                <w:rFonts w:cs="Arial"/>
              </w:rPr>
              <w:t xml:space="preserve"> form part of this process to ensure that systems are not adversely</w:t>
            </w:r>
            <w:r w:rsidR="00C05569" w:rsidRPr="009B2CD4">
              <w:rPr>
                <w:rFonts w:cs="Arial"/>
              </w:rPr>
              <w:t xml:space="preserve"> </w:t>
            </w:r>
            <w:r w:rsidR="00AB3B3C" w:rsidRPr="009B2CD4">
              <w:rPr>
                <w:rFonts w:cs="Arial"/>
              </w:rPr>
              <w:t>affected by any change made.</w:t>
            </w:r>
          </w:p>
        </w:tc>
      </w:tr>
      <w:tr w:rsidR="00AB3B3C" w:rsidRPr="00DA4CD8" w14:paraId="5A7E2A9F" w14:textId="77777777" w:rsidTr="00145A6A">
        <w:trPr>
          <w:trHeight w:val="553"/>
        </w:trPr>
        <w:tc>
          <w:tcPr>
            <w:tcW w:w="606" w:type="dxa"/>
          </w:tcPr>
          <w:p w14:paraId="73E04EE8" w14:textId="5379EAA7" w:rsidR="00AB3B3C" w:rsidRPr="009B2CD4" w:rsidRDefault="004B2B03" w:rsidP="009B2CD4">
            <w:pPr>
              <w:pStyle w:val="TableText"/>
              <w:widowControl w:val="0"/>
              <w:spacing w:before="120" w:after="120"/>
              <w:jc w:val="both"/>
              <w:rPr>
                <w:rFonts w:cs="Arial"/>
                <w:b/>
              </w:rPr>
            </w:pPr>
            <w:r w:rsidRPr="009B2CD4">
              <w:rPr>
                <w:rFonts w:cs="Arial"/>
                <w:b/>
              </w:rPr>
              <w:t>8.</w:t>
            </w:r>
          </w:p>
        </w:tc>
        <w:tc>
          <w:tcPr>
            <w:tcW w:w="8041" w:type="dxa"/>
          </w:tcPr>
          <w:p w14:paraId="7F4022A6" w14:textId="3535FA64" w:rsidR="00AB3B3C" w:rsidRPr="009B2CD4" w:rsidRDefault="00AB3B3C" w:rsidP="009B2CD4">
            <w:pPr>
              <w:pStyle w:val="TableText"/>
              <w:widowControl w:val="0"/>
              <w:spacing w:before="120" w:after="120"/>
              <w:jc w:val="both"/>
              <w:rPr>
                <w:rFonts w:cs="Arial"/>
                <w:b/>
              </w:rPr>
            </w:pPr>
            <w:r w:rsidRPr="009B2CD4">
              <w:rPr>
                <w:rFonts w:cs="Arial"/>
                <w:b/>
              </w:rPr>
              <w:t>Management of Users</w:t>
            </w:r>
          </w:p>
        </w:tc>
      </w:tr>
      <w:tr w:rsidR="00AB3B3C" w:rsidRPr="00233D23" w14:paraId="58B7EAFE" w14:textId="77777777" w:rsidTr="00145A6A">
        <w:trPr>
          <w:trHeight w:val="553"/>
        </w:trPr>
        <w:tc>
          <w:tcPr>
            <w:tcW w:w="606" w:type="dxa"/>
          </w:tcPr>
          <w:p w14:paraId="124656E2" w14:textId="072BF013" w:rsidR="00AB3B3C" w:rsidRPr="009B2CD4" w:rsidRDefault="004B2B03" w:rsidP="009B2CD4">
            <w:pPr>
              <w:pStyle w:val="TableText"/>
              <w:widowControl w:val="0"/>
              <w:spacing w:before="120" w:after="120"/>
              <w:jc w:val="both"/>
              <w:rPr>
                <w:rFonts w:cs="Arial"/>
              </w:rPr>
            </w:pPr>
            <w:r w:rsidRPr="009B2CD4">
              <w:rPr>
                <w:rFonts w:cs="Arial"/>
              </w:rPr>
              <w:t>8.1</w:t>
            </w:r>
          </w:p>
        </w:tc>
        <w:tc>
          <w:tcPr>
            <w:tcW w:w="8041" w:type="dxa"/>
          </w:tcPr>
          <w:p w14:paraId="2F7FE66F" w14:textId="222A8449" w:rsidR="00AB3B3C" w:rsidRPr="009B2CD4" w:rsidRDefault="004B2B03" w:rsidP="00CD2431">
            <w:pPr>
              <w:pStyle w:val="TableText"/>
              <w:widowControl w:val="0"/>
              <w:spacing w:before="120" w:after="120"/>
              <w:jc w:val="both"/>
              <w:rPr>
                <w:rFonts w:cs="Arial"/>
              </w:rPr>
            </w:pPr>
            <w:r w:rsidRPr="009B2CD4">
              <w:rPr>
                <w:rFonts w:cs="Arial"/>
              </w:rPr>
              <w:t xml:space="preserve">There </w:t>
            </w:r>
            <w:r w:rsidR="00CD2431">
              <w:rPr>
                <w:rFonts w:cs="Arial"/>
              </w:rPr>
              <w:t>must</w:t>
            </w:r>
            <w:r w:rsidRPr="009B2CD4">
              <w:rPr>
                <w:rFonts w:cs="Arial"/>
              </w:rPr>
              <w:t xml:space="preserve"> be formal registration and de-registration procedures in place for</w:t>
            </w:r>
            <w:r w:rsidR="00C05569" w:rsidRPr="009B2CD4">
              <w:rPr>
                <w:rFonts w:cs="Arial"/>
              </w:rPr>
              <w:t xml:space="preserve"> </w:t>
            </w:r>
            <w:r w:rsidRPr="009B2CD4">
              <w:rPr>
                <w:rFonts w:cs="Arial"/>
              </w:rPr>
              <w:t>cloud computing users. As the management of this function may be external to</w:t>
            </w:r>
            <w:r w:rsidR="00C05569" w:rsidRPr="009B2CD4">
              <w:rPr>
                <w:rFonts w:cs="Arial"/>
              </w:rPr>
              <w:t xml:space="preserve"> </w:t>
            </w:r>
            <w:r w:rsidR="00842B12" w:rsidRPr="009B2CD4">
              <w:rPr>
                <w:rFonts w:cs="Arial"/>
              </w:rPr>
              <w:t>MIT</w:t>
            </w:r>
            <w:r w:rsidRPr="009B2CD4">
              <w:rPr>
                <w:rFonts w:cs="Arial"/>
              </w:rPr>
              <w:t xml:space="preserve">, the cloud service provider </w:t>
            </w:r>
            <w:r w:rsidR="00CD2431">
              <w:rPr>
                <w:rFonts w:cs="Arial"/>
              </w:rPr>
              <w:t>must</w:t>
            </w:r>
            <w:r w:rsidRPr="009B2CD4">
              <w:rPr>
                <w:rFonts w:cs="Arial"/>
              </w:rPr>
              <w:t xml:space="preserve"> ensure that an appropriate and</w:t>
            </w:r>
            <w:r w:rsidR="00C05569" w:rsidRPr="009B2CD4">
              <w:rPr>
                <w:rFonts w:cs="Arial"/>
              </w:rPr>
              <w:t xml:space="preserve"> </w:t>
            </w:r>
            <w:r w:rsidRPr="009B2CD4">
              <w:rPr>
                <w:rFonts w:cs="Arial"/>
              </w:rPr>
              <w:t xml:space="preserve">agreed procedure for granting and </w:t>
            </w:r>
            <w:r w:rsidRPr="009B2CD4">
              <w:rPr>
                <w:rFonts w:cs="Arial"/>
              </w:rPr>
              <w:lastRenderedPageBreak/>
              <w:t>revoking access to systems is included in</w:t>
            </w:r>
            <w:r w:rsidR="00C05569" w:rsidRPr="009B2CD4">
              <w:rPr>
                <w:rFonts w:cs="Arial"/>
              </w:rPr>
              <w:t xml:space="preserve"> </w:t>
            </w:r>
            <w:r w:rsidRPr="009B2CD4">
              <w:rPr>
                <w:rFonts w:cs="Arial"/>
              </w:rPr>
              <w:t>the service agreement.</w:t>
            </w:r>
          </w:p>
        </w:tc>
      </w:tr>
      <w:tr w:rsidR="004B2B03" w:rsidRPr="00233D23" w14:paraId="7F85D490" w14:textId="77777777" w:rsidTr="00145A6A">
        <w:trPr>
          <w:trHeight w:val="553"/>
        </w:trPr>
        <w:tc>
          <w:tcPr>
            <w:tcW w:w="606" w:type="dxa"/>
          </w:tcPr>
          <w:p w14:paraId="2686B034" w14:textId="4C388DCD" w:rsidR="004B2B03" w:rsidRPr="009B2CD4" w:rsidRDefault="004B2B03" w:rsidP="009B2CD4">
            <w:pPr>
              <w:pStyle w:val="TableText"/>
              <w:widowControl w:val="0"/>
              <w:spacing w:before="120" w:after="120"/>
              <w:jc w:val="both"/>
              <w:rPr>
                <w:rFonts w:cs="Arial"/>
              </w:rPr>
            </w:pPr>
            <w:r w:rsidRPr="009B2CD4">
              <w:rPr>
                <w:rFonts w:cs="Arial"/>
              </w:rPr>
              <w:lastRenderedPageBreak/>
              <w:t>8.2</w:t>
            </w:r>
          </w:p>
        </w:tc>
        <w:tc>
          <w:tcPr>
            <w:tcW w:w="8041" w:type="dxa"/>
          </w:tcPr>
          <w:p w14:paraId="304B560F" w14:textId="2B5D3A71" w:rsidR="004B2B03" w:rsidRPr="009B2CD4" w:rsidRDefault="00842B12" w:rsidP="009B2CD4">
            <w:pPr>
              <w:pStyle w:val="TableText"/>
              <w:widowControl w:val="0"/>
              <w:spacing w:before="120" w:after="120"/>
              <w:jc w:val="both"/>
              <w:rPr>
                <w:rFonts w:cs="Arial"/>
              </w:rPr>
            </w:pPr>
            <w:r w:rsidRPr="009B2CD4">
              <w:rPr>
                <w:rFonts w:cs="Arial"/>
              </w:rPr>
              <w:t>MIT</w:t>
            </w:r>
            <w:r w:rsidR="004B2B03" w:rsidRPr="009B2CD4">
              <w:rPr>
                <w:rFonts w:cs="Arial"/>
              </w:rPr>
              <w:t xml:space="preserve"> </w:t>
            </w:r>
            <w:r w:rsidR="00CD2431">
              <w:rPr>
                <w:rFonts w:cs="Arial"/>
              </w:rPr>
              <w:t>must</w:t>
            </w:r>
            <w:r w:rsidR="004B2B03" w:rsidRPr="009B2CD4">
              <w:rPr>
                <w:rFonts w:cs="Arial"/>
              </w:rPr>
              <w:t xml:space="preserve"> ensure that systems and services provided by a cloud</w:t>
            </w:r>
            <w:r w:rsidR="00C05569" w:rsidRPr="009B2CD4">
              <w:rPr>
                <w:rFonts w:cs="Arial"/>
              </w:rPr>
              <w:t xml:space="preserve"> </w:t>
            </w:r>
            <w:r w:rsidR="004B2B03" w:rsidRPr="009B2CD4">
              <w:rPr>
                <w:rFonts w:cs="Arial"/>
              </w:rPr>
              <w:t>service provider include an appropriate and agreed secure method of</w:t>
            </w:r>
            <w:r w:rsidR="00C05569" w:rsidRPr="009B2CD4">
              <w:rPr>
                <w:rFonts w:cs="Arial"/>
              </w:rPr>
              <w:t xml:space="preserve"> </w:t>
            </w:r>
            <w:r w:rsidR="004B2B03" w:rsidRPr="009B2CD4">
              <w:rPr>
                <w:rFonts w:cs="Arial"/>
              </w:rPr>
              <w:t>authenticating users.</w:t>
            </w:r>
          </w:p>
          <w:p w14:paraId="18228645" w14:textId="06F46BA9" w:rsidR="004B2B03" w:rsidRPr="009B2CD4" w:rsidRDefault="004B2B03" w:rsidP="00CD2431">
            <w:pPr>
              <w:pStyle w:val="TableText"/>
              <w:widowControl w:val="0"/>
              <w:spacing w:before="120" w:after="120"/>
              <w:jc w:val="both"/>
              <w:rPr>
                <w:rFonts w:cs="Arial"/>
              </w:rPr>
            </w:pPr>
            <w:r w:rsidRPr="009B2CD4">
              <w:rPr>
                <w:rFonts w:cs="Arial"/>
              </w:rPr>
              <w:t xml:space="preserve">Where </w:t>
            </w:r>
            <w:r w:rsidR="00842B12" w:rsidRPr="009B2CD4">
              <w:rPr>
                <w:rFonts w:cs="Arial"/>
              </w:rPr>
              <w:t>MIT</w:t>
            </w:r>
            <w:r w:rsidRPr="009B2CD4">
              <w:rPr>
                <w:rFonts w:cs="Arial"/>
              </w:rPr>
              <w:t xml:space="preserve"> has existing security requirements with regard to unique</w:t>
            </w:r>
            <w:r w:rsidR="00C05569" w:rsidRPr="009B2CD4">
              <w:rPr>
                <w:rFonts w:cs="Arial"/>
              </w:rPr>
              <w:t xml:space="preserve"> </w:t>
            </w:r>
            <w:r w:rsidRPr="009B2CD4">
              <w:rPr>
                <w:rFonts w:cs="Arial"/>
              </w:rPr>
              <w:t>user IDs, password criteria and any requirement to use two factor</w:t>
            </w:r>
            <w:r w:rsidR="00C05569" w:rsidRPr="009B2CD4">
              <w:rPr>
                <w:rFonts w:cs="Arial"/>
              </w:rPr>
              <w:t xml:space="preserve"> </w:t>
            </w:r>
            <w:r w:rsidRPr="009B2CD4">
              <w:rPr>
                <w:rFonts w:cs="Arial"/>
              </w:rPr>
              <w:t xml:space="preserve">authentication, biometrics or equipment identification, these </w:t>
            </w:r>
            <w:r w:rsidR="00CD2431">
              <w:rPr>
                <w:rFonts w:cs="Arial"/>
              </w:rPr>
              <w:t>must</w:t>
            </w:r>
            <w:r w:rsidRPr="009B2CD4">
              <w:rPr>
                <w:rFonts w:cs="Arial"/>
              </w:rPr>
              <w:t xml:space="preserve"> be applied in</w:t>
            </w:r>
            <w:r w:rsidR="00C05569" w:rsidRPr="009B2CD4">
              <w:rPr>
                <w:rFonts w:cs="Arial"/>
              </w:rPr>
              <w:t xml:space="preserve"> </w:t>
            </w:r>
            <w:r w:rsidRPr="009B2CD4">
              <w:rPr>
                <w:rFonts w:cs="Arial"/>
              </w:rPr>
              <w:t>the cloud computing environment.</w:t>
            </w:r>
          </w:p>
        </w:tc>
      </w:tr>
      <w:tr w:rsidR="004B2B03" w:rsidRPr="00233D23" w14:paraId="2DF871CF" w14:textId="77777777" w:rsidTr="00145A6A">
        <w:trPr>
          <w:trHeight w:val="553"/>
        </w:trPr>
        <w:tc>
          <w:tcPr>
            <w:tcW w:w="606" w:type="dxa"/>
          </w:tcPr>
          <w:p w14:paraId="4A73C3DB" w14:textId="2F32EB71" w:rsidR="004B2B03" w:rsidRPr="009B2CD4" w:rsidRDefault="004B2B03" w:rsidP="009B2CD4">
            <w:pPr>
              <w:pStyle w:val="TableText"/>
              <w:widowControl w:val="0"/>
              <w:spacing w:before="120" w:after="120"/>
              <w:jc w:val="both"/>
              <w:rPr>
                <w:rFonts w:cs="Arial"/>
              </w:rPr>
            </w:pPr>
            <w:r w:rsidRPr="009B2CD4">
              <w:rPr>
                <w:rFonts w:cs="Arial"/>
              </w:rPr>
              <w:t>8.3</w:t>
            </w:r>
          </w:p>
        </w:tc>
        <w:tc>
          <w:tcPr>
            <w:tcW w:w="8041" w:type="dxa"/>
          </w:tcPr>
          <w:p w14:paraId="562D96A1" w14:textId="58A18683" w:rsidR="004B2B03" w:rsidRPr="009B2CD4" w:rsidRDefault="004B2B03" w:rsidP="00CD2431">
            <w:pPr>
              <w:pStyle w:val="TableText"/>
              <w:widowControl w:val="0"/>
              <w:spacing w:before="120" w:after="120"/>
              <w:jc w:val="both"/>
              <w:rPr>
                <w:rFonts w:cs="Arial"/>
              </w:rPr>
            </w:pPr>
            <w:r w:rsidRPr="009B2CD4">
              <w:rPr>
                <w:rFonts w:cs="Arial"/>
              </w:rPr>
              <w:t xml:space="preserve">Users of cloud computing services </w:t>
            </w:r>
            <w:r w:rsidR="00CD2431">
              <w:rPr>
                <w:rFonts w:cs="Arial"/>
              </w:rPr>
              <w:t>must</w:t>
            </w:r>
            <w:r w:rsidRPr="009B2CD4">
              <w:rPr>
                <w:rFonts w:cs="Arial"/>
              </w:rPr>
              <w:t xml:space="preserve"> be restricted only to systems,</w:t>
            </w:r>
            <w:r w:rsidR="00C05569" w:rsidRPr="009B2CD4">
              <w:rPr>
                <w:rFonts w:cs="Arial"/>
              </w:rPr>
              <w:t xml:space="preserve"> </w:t>
            </w:r>
            <w:r w:rsidRPr="009B2CD4">
              <w:rPr>
                <w:rFonts w:cs="Arial"/>
              </w:rPr>
              <w:t>applications and information they are authorised to access and use.</w:t>
            </w:r>
          </w:p>
        </w:tc>
      </w:tr>
      <w:tr w:rsidR="00BF66B7" w:rsidRPr="00233D23" w14:paraId="73CECD61" w14:textId="77777777" w:rsidTr="00145A6A">
        <w:trPr>
          <w:trHeight w:val="553"/>
        </w:trPr>
        <w:tc>
          <w:tcPr>
            <w:tcW w:w="606" w:type="dxa"/>
          </w:tcPr>
          <w:p w14:paraId="2F1FA212" w14:textId="5FA9E6DE" w:rsidR="00BF66B7" w:rsidRPr="009B2CD4" w:rsidRDefault="00BF66B7" w:rsidP="009B2CD4">
            <w:pPr>
              <w:pStyle w:val="TableText"/>
              <w:widowControl w:val="0"/>
              <w:spacing w:before="120" w:after="120"/>
              <w:jc w:val="both"/>
              <w:rPr>
                <w:rFonts w:cs="Arial"/>
              </w:rPr>
            </w:pPr>
            <w:r w:rsidRPr="009B2CD4">
              <w:rPr>
                <w:rFonts w:cs="Arial"/>
              </w:rPr>
              <w:t>8.4</w:t>
            </w:r>
          </w:p>
        </w:tc>
        <w:tc>
          <w:tcPr>
            <w:tcW w:w="8041" w:type="dxa"/>
          </w:tcPr>
          <w:p w14:paraId="6B99513F" w14:textId="464A5A6B" w:rsidR="00BF66B7" w:rsidRPr="009B2CD4" w:rsidRDefault="00BF66B7" w:rsidP="00CD2431">
            <w:pPr>
              <w:pStyle w:val="TableText"/>
              <w:widowControl w:val="0"/>
              <w:spacing w:before="120" w:after="120"/>
              <w:jc w:val="both"/>
              <w:rPr>
                <w:rFonts w:cs="Arial"/>
              </w:rPr>
            </w:pPr>
            <w:r w:rsidRPr="009B2CD4">
              <w:rPr>
                <w:rFonts w:cs="Arial"/>
              </w:rPr>
              <w:t xml:space="preserve">All users </w:t>
            </w:r>
            <w:r w:rsidR="00CD2431">
              <w:rPr>
                <w:rFonts w:cs="Arial"/>
              </w:rPr>
              <w:t>must</w:t>
            </w:r>
            <w:r w:rsidRPr="009B2CD4">
              <w:rPr>
                <w:rFonts w:cs="Arial"/>
              </w:rPr>
              <w:t xml:space="preserve"> be required to undergo the necessary training prior to working on the cloud based system. </w:t>
            </w:r>
            <w:r w:rsidR="005715A2" w:rsidRPr="009B2CD4">
              <w:rPr>
                <w:rFonts w:cs="Arial"/>
              </w:rPr>
              <w:t xml:space="preserve">Training </w:t>
            </w:r>
            <w:r w:rsidR="00CD2431">
              <w:rPr>
                <w:rFonts w:cs="Arial"/>
              </w:rPr>
              <w:t>should</w:t>
            </w:r>
            <w:r w:rsidR="005715A2" w:rsidRPr="009B2CD4">
              <w:rPr>
                <w:rFonts w:cs="Arial"/>
              </w:rPr>
              <w:t xml:space="preserve"> be part of the transition plan for any new system. </w:t>
            </w:r>
          </w:p>
        </w:tc>
      </w:tr>
      <w:tr w:rsidR="004B2B03" w:rsidRPr="00233D23" w14:paraId="5203EB02" w14:textId="77777777" w:rsidTr="00145A6A">
        <w:trPr>
          <w:trHeight w:val="553"/>
        </w:trPr>
        <w:tc>
          <w:tcPr>
            <w:tcW w:w="606" w:type="dxa"/>
          </w:tcPr>
          <w:p w14:paraId="26C85F0A" w14:textId="3EF6893D" w:rsidR="004B2B03" w:rsidRPr="009B2CD4" w:rsidRDefault="004B2B03" w:rsidP="009B2CD4">
            <w:pPr>
              <w:pStyle w:val="TableText"/>
              <w:widowControl w:val="0"/>
              <w:spacing w:before="120" w:after="120"/>
              <w:jc w:val="both"/>
              <w:rPr>
                <w:rFonts w:cs="Arial"/>
              </w:rPr>
            </w:pPr>
            <w:r w:rsidRPr="009B2CD4">
              <w:rPr>
                <w:rFonts w:cs="Arial"/>
              </w:rPr>
              <w:t>8.</w:t>
            </w:r>
            <w:r w:rsidR="00BF66B7" w:rsidRPr="009B2CD4">
              <w:rPr>
                <w:rFonts w:cs="Arial"/>
              </w:rPr>
              <w:t>5</w:t>
            </w:r>
          </w:p>
        </w:tc>
        <w:tc>
          <w:tcPr>
            <w:tcW w:w="8041" w:type="dxa"/>
          </w:tcPr>
          <w:p w14:paraId="6FF2D5E0" w14:textId="77F0E834" w:rsidR="004B2B03" w:rsidRPr="009B2CD4" w:rsidRDefault="004B2B03" w:rsidP="00CD2431">
            <w:pPr>
              <w:pStyle w:val="TableText"/>
              <w:widowControl w:val="0"/>
              <w:spacing w:before="120" w:after="120"/>
              <w:jc w:val="both"/>
              <w:rPr>
                <w:rFonts w:cs="Arial"/>
              </w:rPr>
            </w:pPr>
            <w:r w:rsidRPr="009B2CD4">
              <w:rPr>
                <w:rFonts w:cs="Arial"/>
              </w:rPr>
              <w:t xml:space="preserve">Inactive sessions </w:t>
            </w:r>
            <w:r w:rsidR="00CD2431">
              <w:rPr>
                <w:rFonts w:cs="Arial"/>
              </w:rPr>
              <w:t>must</w:t>
            </w:r>
            <w:r w:rsidRPr="009B2CD4">
              <w:rPr>
                <w:rFonts w:cs="Arial"/>
              </w:rPr>
              <w:t xml:space="preserve"> be automatically shut down after a defined period of</w:t>
            </w:r>
            <w:r w:rsidR="00C05569" w:rsidRPr="009B2CD4">
              <w:rPr>
                <w:rFonts w:cs="Arial"/>
              </w:rPr>
              <w:t xml:space="preserve"> </w:t>
            </w:r>
            <w:r w:rsidRPr="009B2CD4">
              <w:rPr>
                <w:rFonts w:cs="Arial"/>
              </w:rPr>
              <w:t>inactivity and for high risk applications the connection time is limited to</w:t>
            </w:r>
            <w:r w:rsidR="00C05569" w:rsidRPr="009B2CD4">
              <w:rPr>
                <w:rFonts w:cs="Arial"/>
              </w:rPr>
              <w:t xml:space="preserve"> </w:t>
            </w:r>
            <w:r w:rsidRPr="009B2CD4">
              <w:rPr>
                <w:rFonts w:cs="Arial"/>
              </w:rPr>
              <w:t>specific hours of use.</w:t>
            </w:r>
          </w:p>
        </w:tc>
      </w:tr>
      <w:tr w:rsidR="004B2B03" w:rsidRPr="00DA4CD8" w14:paraId="03B02AF2" w14:textId="77777777" w:rsidTr="00145A6A">
        <w:trPr>
          <w:trHeight w:val="553"/>
        </w:trPr>
        <w:tc>
          <w:tcPr>
            <w:tcW w:w="606" w:type="dxa"/>
          </w:tcPr>
          <w:p w14:paraId="573E870D" w14:textId="186C435C" w:rsidR="004B2B03" w:rsidRPr="009B2CD4" w:rsidRDefault="004B2B03" w:rsidP="009B2CD4">
            <w:pPr>
              <w:pStyle w:val="TableText"/>
              <w:widowControl w:val="0"/>
              <w:spacing w:before="120" w:after="120"/>
              <w:jc w:val="both"/>
              <w:rPr>
                <w:rFonts w:cs="Arial"/>
                <w:b/>
              </w:rPr>
            </w:pPr>
            <w:r w:rsidRPr="009B2CD4">
              <w:rPr>
                <w:rFonts w:cs="Arial"/>
                <w:b/>
              </w:rPr>
              <w:t>9.</w:t>
            </w:r>
          </w:p>
        </w:tc>
        <w:tc>
          <w:tcPr>
            <w:tcW w:w="8041" w:type="dxa"/>
          </w:tcPr>
          <w:p w14:paraId="14CFD1CC" w14:textId="0C60D1CE" w:rsidR="004B2B03" w:rsidRPr="009B2CD4" w:rsidRDefault="004B2B03" w:rsidP="009B2CD4">
            <w:pPr>
              <w:pStyle w:val="TableText"/>
              <w:widowControl w:val="0"/>
              <w:spacing w:before="120" w:after="120"/>
              <w:jc w:val="both"/>
              <w:rPr>
                <w:rFonts w:cs="Arial"/>
                <w:b/>
              </w:rPr>
            </w:pPr>
            <w:r w:rsidRPr="009B2CD4">
              <w:rPr>
                <w:rFonts w:cs="Arial"/>
                <w:b/>
              </w:rPr>
              <w:t xml:space="preserve">Information Management </w:t>
            </w:r>
          </w:p>
        </w:tc>
      </w:tr>
      <w:tr w:rsidR="004B2B03" w:rsidRPr="00233D23" w14:paraId="236BAB68" w14:textId="77777777" w:rsidTr="00145A6A">
        <w:trPr>
          <w:trHeight w:val="727"/>
        </w:trPr>
        <w:tc>
          <w:tcPr>
            <w:tcW w:w="606" w:type="dxa"/>
          </w:tcPr>
          <w:p w14:paraId="3629DB85" w14:textId="749B8494" w:rsidR="004B2B03" w:rsidRPr="009B2CD4" w:rsidRDefault="004B2B03" w:rsidP="009B2CD4">
            <w:pPr>
              <w:pStyle w:val="TableText"/>
              <w:widowControl w:val="0"/>
              <w:spacing w:before="120" w:after="120"/>
              <w:jc w:val="both"/>
              <w:rPr>
                <w:rFonts w:cs="Arial"/>
              </w:rPr>
            </w:pPr>
            <w:r w:rsidRPr="009B2CD4">
              <w:rPr>
                <w:rFonts w:cs="Arial"/>
              </w:rPr>
              <w:t>9.2</w:t>
            </w:r>
          </w:p>
        </w:tc>
        <w:tc>
          <w:tcPr>
            <w:tcW w:w="8041" w:type="dxa"/>
          </w:tcPr>
          <w:p w14:paraId="67CD4767" w14:textId="4B9E7C3D" w:rsidR="00835CF2" w:rsidRPr="009B2CD4" w:rsidRDefault="00835CF2" w:rsidP="009B2CD4">
            <w:pPr>
              <w:widowControl w:val="0"/>
              <w:spacing w:before="120" w:after="120"/>
              <w:jc w:val="both"/>
              <w:rPr>
                <w:rFonts w:ascii="Arial" w:hAnsi="Arial" w:cs="Arial"/>
                <w:sz w:val="20"/>
                <w:szCs w:val="20"/>
              </w:rPr>
            </w:pPr>
            <w:r w:rsidRPr="009B2CD4">
              <w:rPr>
                <w:rFonts w:ascii="Arial" w:hAnsi="Arial" w:cs="Arial"/>
                <w:sz w:val="20"/>
                <w:szCs w:val="20"/>
              </w:rPr>
              <w:t xml:space="preserve">MIT </w:t>
            </w:r>
            <w:r w:rsidR="00CD2431">
              <w:rPr>
                <w:rFonts w:ascii="Arial" w:hAnsi="Arial" w:cs="Arial"/>
                <w:sz w:val="20"/>
                <w:szCs w:val="20"/>
              </w:rPr>
              <w:t>must</w:t>
            </w:r>
            <w:r w:rsidRPr="009B2CD4">
              <w:rPr>
                <w:rFonts w:ascii="Arial" w:hAnsi="Arial" w:cs="Arial"/>
                <w:sz w:val="20"/>
                <w:szCs w:val="20"/>
              </w:rPr>
              <w:t xml:space="preserve"> ensure that the cloud service provider has a backup and restore facility included within the service. This service </w:t>
            </w:r>
            <w:r w:rsidR="00CD2431">
              <w:rPr>
                <w:rFonts w:ascii="Arial" w:hAnsi="Arial" w:cs="Arial"/>
                <w:sz w:val="20"/>
                <w:szCs w:val="20"/>
              </w:rPr>
              <w:t>must</w:t>
            </w:r>
            <w:r w:rsidRPr="009B2CD4">
              <w:rPr>
                <w:rFonts w:ascii="Arial" w:hAnsi="Arial" w:cs="Arial"/>
                <w:sz w:val="20"/>
                <w:szCs w:val="20"/>
              </w:rPr>
              <w:t xml:space="preserve"> be appropriate to the classification of the system and information stored within it. The backup and restore facility must conform to MIT’s backup requirements.</w:t>
            </w:r>
          </w:p>
          <w:p w14:paraId="7ED7447F" w14:textId="1D03E4C1" w:rsidR="00F16376" w:rsidRPr="009B2CD4" w:rsidRDefault="00835CF2" w:rsidP="00CD2431">
            <w:pPr>
              <w:pStyle w:val="TableText"/>
              <w:widowControl w:val="0"/>
              <w:spacing w:before="120" w:after="120"/>
              <w:jc w:val="both"/>
              <w:rPr>
                <w:rFonts w:cs="Arial"/>
              </w:rPr>
            </w:pPr>
            <w:r w:rsidRPr="009B2CD4">
              <w:rPr>
                <w:rFonts w:cs="Arial"/>
              </w:rPr>
              <w:t xml:space="preserve">MIT </w:t>
            </w:r>
            <w:r w:rsidR="00CD2431">
              <w:rPr>
                <w:rFonts w:cs="Arial"/>
              </w:rPr>
              <w:t>must</w:t>
            </w:r>
            <w:r w:rsidRPr="009B2CD4">
              <w:rPr>
                <w:rFonts w:cs="Arial"/>
              </w:rPr>
              <w:t xml:space="preserve"> ensure that a copy of the backup is retrieved on a regular basis and that it is in a format that can be accessed if required</w:t>
            </w:r>
            <w:r w:rsidR="004B2B03" w:rsidRPr="009B2CD4">
              <w:rPr>
                <w:rFonts w:cs="Arial"/>
              </w:rPr>
              <w:t>.</w:t>
            </w:r>
          </w:p>
        </w:tc>
      </w:tr>
      <w:tr w:rsidR="004B2B03" w:rsidRPr="00233D23" w14:paraId="61C247D4" w14:textId="77777777" w:rsidTr="00145A6A">
        <w:trPr>
          <w:trHeight w:val="727"/>
        </w:trPr>
        <w:tc>
          <w:tcPr>
            <w:tcW w:w="606" w:type="dxa"/>
          </w:tcPr>
          <w:p w14:paraId="2EFCF053" w14:textId="754A80A1" w:rsidR="004B2B03" w:rsidRPr="009B2CD4" w:rsidRDefault="004B2B03" w:rsidP="009B2CD4">
            <w:pPr>
              <w:pStyle w:val="TableText"/>
              <w:widowControl w:val="0"/>
              <w:spacing w:before="120" w:after="120"/>
              <w:jc w:val="both"/>
              <w:rPr>
                <w:rFonts w:cs="Arial"/>
              </w:rPr>
            </w:pPr>
            <w:r w:rsidRPr="009B2CD4">
              <w:rPr>
                <w:rFonts w:cs="Arial"/>
              </w:rPr>
              <w:t>9.3</w:t>
            </w:r>
          </w:p>
        </w:tc>
        <w:tc>
          <w:tcPr>
            <w:tcW w:w="8041" w:type="dxa"/>
          </w:tcPr>
          <w:p w14:paraId="389C5DAB" w14:textId="73995281" w:rsidR="004B2B03" w:rsidRPr="009B2CD4" w:rsidRDefault="004B2B03" w:rsidP="000A7617">
            <w:pPr>
              <w:pStyle w:val="TableText"/>
              <w:widowControl w:val="0"/>
              <w:spacing w:before="120" w:after="120"/>
              <w:jc w:val="both"/>
              <w:rPr>
                <w:rFonts w:cs="Arial"/>
              </w:rPr>
            </w:pPr>
            <w:r w:rsidRPr="009B2CD4">
              <w:rPr>
                <w:rFonts w:cs="Arial"/>
              </w:rPr>
              <w:t>Intellectual Property Rights and ownership relating to information, applications</w:t>
            </w:r>
            <w:r w:rsidR="00C05569" w:rsidRPr="009B2CD4">
              <w:rPr>
                <w:rFonts w:cs="Arial"/>
              </w:rPr>
              <w:t xml:space="preserve"> </w:t>
            </w:r>
            <w:r w:rsidRPr="009B2CD4">
              <w:rPr>
                <w:rFonts w:cs="Arial"/>
              </w:rPr>
              <w:t xml:space="preserve">and systems </w:t>
            </w:r>
            <w:r w:rsidR="000A7617">
              <w:rPr>
                <w:rFonts w:cs="Arial"/>
              </w:rPr>
              <w:t>must</w:t>
            </w:r>
            <w:r w:rsidRPr="009B2CD4">
              <w:rPr>
                <w:rFonts w:cs="Arial"/>
              </w:rPr>
              <w:t xml:space="preserve"> be specified in the cloud service agreement with the cloud</w:t>
            </w:r>
            <w:r w:rsidR="00C05569" w:rsidRPr="009B2CD4">
              <w:rPr>
                <w:rFonts w:cs="Arial"/>
              </w:rPr>
              <w:t xml:space="preserve"> </w:t>
            </w:r>
            <w:r w:rsidRPr="009B2CD4">
              <w:rPr>
                <w:rFonts w:cs="Arial"/>
              </w:rPr>
              <w:t>service provider where appropriate.</w:t>
            </w:r>
            <w:r w:rsidR="000C56B2" w:rsidRPr="009B2CD4">
              <w:rPr>
                <w:rFonts w:cs="Arial"/>
              </w:rPr>
              <w:t xml:space="preserve"> Any agreement relating to MIT’s intellectual property must comply with the Intellectual Property Policy. </w:t>
            </w:r>
          </w:p>
        </w:tc>
      </w:tr>
      <w:tr w:rsidR="004B2B03" w:rsidRPr="00233D23" w14:paraId="70BD1553" w14:textId="77777777" w:rsidTr="00145A6A">
        <w:trPr>
          <w:trHeight w:val="727"/>
        </w:trPr>
        <w:tc>
          <w:tcPr>
            <w:tcW w:w="606" w:type="dxa"/>
          </w:tcPr>
          <w:p w14:paraId="6AB51383" w14:textId="3B347926" w:rsidR="004B2B03" w:rsidRPr="009B2CD4" w:rsidRDefault="004B2B03" w:rsidP="009B2CD4">
            <w:pPr>
              <w:pStyle w:val="TableText"/>
              <w:widowControl w:val="0"/>
              <w:spacing w:before="120" w:after="120"/>
              <w:jc w:val="both"/>
              <w:rPr>
                <w:rFonts w:cs="Arial"/>
              </w:rPr>
            </w:pPr>
            <w:r w:rsidRPr="009B2CD4">
              <w:rPr>
                <w:rFonts w:cs="Arial"/>
              </w:rPr>
              <w:t>9.4</w:t>
            </w:r>
          </w:p>
        </w:tc>
        <w:tc>
          <w:tcPr>
            <w:tcW w:w="8041" w:type="dxa"/>
          </w:tcPr>
          <w:p w14:paraId="3FBA7F94" w14:textId="6693D2B2" w:rsidR="004B2B03" w:rsidRPr="009B2CD4" w:rsidRDefault="00842B12" w:rsidP="000A7617">
            <w:pPr>
              <w:pStyle w:val="TableText"/>
              <w:widowControl w:val="0"/>
              <w:spacing w:before="120" w:after="120"/>
              <w:jc w:val="both"/>
              <w:rPr>
                <w:rFonts w:cs="Arial"/>
              </w:rPr>
            </w:pPr>
            <w:r w:rsidRPr="009B2CD4">
              <w:rPr>
                <w:rFonts w:cs="Arial"/>
              </w:rPr>
              <w:t>MIT</w:t>
            </w:r>
            <w:r w:rsidR="004B2B03" w:rsidRPr="009B2CD4">
              <w:rPr>
                <w:rFonts w:cs="Arial"/>
              </w:rPr>
              <w:t xml:space="preserve"> </w:t>
            </w:r>
            <w:r w:rsidR="000A7617">
              <w:rPr>
                <w:rFonts w:cs="Arial"/>
              </w:rPr>
              <w:t>must</w:t>
            </w:r>
            <w:r w:rsidR="004B2B03" w:rsidRPr="009B2CD4">
              <w:rPr>
                <w:rFonts w:cs="Arial"/>
              </w:rPr>
              <w:t xml:space="preserve"> confirm that cloud service provider can retain business</w:t>
            </w:r>
            <w:r w:rsidR="00C05569" w:rsidRPr="009B2CD4">
              <w:rPr>
                <w:rFonts w:cs="Arial"/>
              </w:rPr>
              <w:t xml:space="preserve"> </w:t>
            </w:r>
            <w:r w:rsidR="004B2B03" w:rsidRPr="009B2CD4">
              <w:rPr>
                <w:rFonts w:cs="Arial"/>
              </w:rPr>
              <w:t xml:space="preserve">records on cloud computing service for the period required to </w:t>
            </w:r>
            <w:r w:rsidR="007370E6" w:rsidRPr="009B2CD4">
              <w:rPr>
                <w:rFonts w:cs="Arial"/>
              </w:rPr>
              <w:t xml:space="preserve">comply with MIT’s Records Management Policy and to meet any other financial, legal and statutory requirements. </w:t>
            </w:r>
          </w:p>
        </w:tc>
      </w:tr>
      <w:tr w:rsidR="004B2B03" w:rsidRPr="00233D23" w14:paraId="3432A229" w14:textId="77777777" w:rsidTr="002A4642">
        <w:trPr>
          <w:trHeight w:val="805"/>
        </w:trPr>
        <w:tc>
          <w:tcPr>
            <w:tcW w:w="606" w:type="dxa"/>
          </w:tcPr>
          <w:p w14:paraId="5B1E7FF7" w14:textId="1583BB84" w:rsidR="004B2B03" w:rsidRPr="009B2CD4" w:rsidRDefault="004B2B03" w:rsidP="009B2CD4">
            <w:pPr>
              <w:pStyle w:val="TableText"/>
              <w:widowControl w:val="0"/>
              <w:spacing w:before="120" w:after="120"/>
              <w:jc w:val="both"/>
              <w:rPr>
                <w:rFonts w:cs="Arial"/>
              </w:rPr>
            </w:pPr>
            <w:r w:rsidRPr="009B2CD4">
              <w:rPr>
                <w:rFonts w:cs="Arial"/>
              </w:rPr>
              <w:t>9.5</w:t>
            </w:r>
          </w:p>
        </w:tc>
        <w:tc>
          <w:tcPr>
            <w:tcW w:w="8041" w:type="dxa"/>
          </w:tcPr>
          <w:p w14:paraId="3C200A29" w14:textId="035DF6E4" w:rsidR="004B2B03" w:rsidRPr="009B2CD4" w:rsidRDefault="002A4642" w:rsidP="009B2CD4">
            <w:pPr>
              <w:pStyle w:val="TableText"/>
              <w:widowControl w:val="0"/>
              <w:spacing w:before="120" w:after="120"/>
              <w:jc w:val="both"/>
              <w:rPr>
                <w:rFonts w:cs="Arial"/>
              </w:rPr>
            </w:pPr>
            <w:r w:rsidRPr="009B2CD4">
              <w:rPr>
                <w:rFonts w:cs="Arial"/>
              </w:rPr>
              <w:t>Data protection and privacy must be ensured as required by MIT’s Privacy Policy, relevant legislation, regulations, Government’s Cloud Computing Risk and Assurance Framework and, if applicable, contractual clauses</w:t>
            </w:r>
            <w:r w:rsidR="004B2B03" w:rsidRPr="009B2CD4">
              <w:rPr>
                <w:rFonts w:cs="Arial"/>
              </w:rPr>
              <w:t>.</w:t>
            </w:r>
          </w:p>
        </w:tc>
      </w:tr>
      <w:tr w:rsidR="004B2B03" w:rsidRPr="00DA4CD8" w14:paraId="6AF86F8B" w14:textId="77777777" w:rsidTr="00145A6A">
        <w:trPr>
          <w:trHeight w:val="357"/>
        </w:trPr>
        <w:tc>
          <w:tcPr>
            <w:tcW w:w="606" w:type="dxa"/>
          </w:tcPr>
          <w:p w14:paraId="3E9E2EED" w14:textId="57DC0D19" w:rsidR="004B2B03" w:rsidRPr="009B2CD4" w:rsidRDefault="004B2B03" w:rsidP="009B2CD4">
            <w:pPr>
              <w:pStyle w:val="TableText"/>
              <w:widowControl w:val="0"/>
              <w:spacing w:before="120" w:after="120"/>
              <w:jc w:val="both"/>
              <w:rPr>
                <w:rFonts w:cs="Arial"/>
                <w:b/>
              </w:rPr>
            </w:pPr>
            <w:r w:rsidRPr="009B2CD4">
              <w:rPr>
                <w:rFonts w:cs="Arial"/>
                <w:b/>
              </w:rPr>
              <w:t>10.</w:t>
            </w:r>
          </w:p>
        </w:tc>
        <w:tc>
          <w:tcPr>
            <w:tcW w:w="8041" w:type="dxa"/>
          </w:tcPr>
          <w:p w14:paraId="557B0194" w14:textId="6A2F61EE" w:rsidR="004B2B03" w:rsidRPr="009B2CD4" w:rsidRDefault="004B2B03" w:rsidP="009B2CD4">
            <w:pPr>
              <w:pStyle w:val="TableText"/>
              <w:widowControl w:val="0"/>
              <w:spacing w:before="120" w:after="120"/>
              <w:jc w:val="both"/>
              <w:rPr>
                <w:rFonts w:cs="Arial"/>
                <w:b/>
              </w:rPr>
            </w:pPr>
            <w:r w:rsidRPr="009B2CD4">
              <w:rPr>
                <w:rFonts w:cs="Arial"/>
                <w:b/>
              </w:rPr>
              <w:t xml:space="preserve">Business Continuity and Incident Management </w:t>
            </w:r>
          </w:p>
        </w:tc>
      </w:tr>
      <w:tr w:rsidR="004B2B03" w:rsidRPr="00233D23" w14:paraId="335E977E" w14:textId="77777777" w:rsidTr="00145A6A">
        <w:trPr>
          <w:trHeight w:val="357"/>
        </w:trPr>
        <w:tc>
          <w:tcPr>
            <w:tcW w:w="606" w:type="dxa"/>
          </w:tcPr>
          <w:p w14:paraId="5E69E213" w14:textId="4EE68E25" w:rsidR="004B2B03" w:rsidRPr="009B2CD4" w:rsidRDefault="004B2B03" w:rsidP="009B2CD4">
            <w:pPr>
              <w:pStyle w:val="TableText"/>
              <w:widowControl w:val="0"/>
              <w:spacing w:before="120" w:after="120"/>
              <w:jc w:val="both"/>
              <w:rPr>
                <w:rFonts w:cs="Arial"/>
              </w:rPr>
            </w:pPr>
            <w:r w:rsidRPr="009B2CD4">
              <w:rPr>
                <w:rFonts w:cs="Arial"/>
              </w:rPr>
              <w:t>10.1</w:t>
            </w:r>
          </w:p>
        </w:tc>
        <w:tc>
          <w:tcPr>
            <w:tcW w:w="8041" w:type="dxa"/>
          </w:tcPr>
          <w:p w14:paraId="1F12E818" w14:textId="4BBB4857" w:rsidR="004B2B03" w:rsidRPr="009B2CD4" w:rsidRDefault="000F0C0F" w:rsidP="009B2CD4">
            <w:pPr>
              <w:pStyle w:val="TableText"/>
              <w:widowControl w:val="0"/>
              <w:spacing w:before="120" w:after="120"/>
              <w:jc w:val="both"/>
              <w:rPr>
                <w:rFonts w:cs="Arial"/>
              </w:rPr>
            </w:pPr>
            <w:r w:rsidRPr="009B2CD4">
              <w:rPr>
                <w:rFonts w:cs="Arial"/>
                <w:color w:val="000000" w:themeColor="text1"/>
              </w:rPr>
              <w:t>Business Continuity/DR plans and procedures should include cloud computing services where this is used and to support business activities. All plans should be tested annually and involve the cloud service provider</w:t>
            </w:r>
            <w:r w:rsidR="004B2B03" w:rsidRPr="009B2CD4">
              <w:rPr>
                <w:rFonts w:cs="Arial"/>
              </w:rPr>
              <w:t>.</w:t>
            </w:r>
          </w:p>
        </w:tc>
      </w:tr>
      <w:tr w:rsidR="004B2B03" w:rsidRPr="00233D23" w14:paraId="2D9CD59E" w14:textId="77777777" w:rsidTr="00145A6A">
        <w:trPr>
          <w:trHeight w:val="357"/>
        </w:trPr>
        <w:tc>
          <w:tcPr>
            <w:tcW w:w="606" w:type="dxa"/>
          </w:tcPr>
          <w:p w14:paraId="4CE9A6F9" w14:textId="74BBCE89" w:rsidR="004B2B03" w:rsidRPr="009B2CD4" w:rsidRDefault="004B2B03" w:rsidP="009B2CD4">
            <w:pPr>
              <w:pStyle w:val="TableText"/>
              <w:widowControl w:val="0"/>
              <w:spacing w:before="120" w:after="120"/>
              <w:jc w:val="both"/>
              <w:rPr>
                <w:rFonts w:cs="Arial"/>
              </w:rPr>
            </w:pPr>
            <w:r w:rsidRPr="009B2CD4">
              <w:rPr>
                <w:rFonts w:cs="Arial"/>
              </w:rPr>
              <w:t>10.2</w:t>
            </w:r>
          </w:p>
        </w:tc>
        <w:tc>
          <w:tcPr>
            <w:tcW w:w="8041" w:type="dxa"/>
          </w:tcPr>
          <w:p w14:paraId="375FB328" w14:textId="0E3DFC34" w:rsidR="001A316E" w:rsidRPr="009B2CD4" w:rsidRDefault="000F0C0F" w:rsidP="009B2CD4">
            <w:pPr>
              <w:pStyle w:val="TableText"/>
              <w:widowControl w:val="0"/>
              <w:spacing w:before="120" w:after="120"/>
              <w:jc w:val="both"/>
              <w:rPr>
                <w:rFonts w:cs="Arial"/>
              </w:rPr>
            </w:pPr>
            <w:r w:rsidRPr="009B2CD4">
              <w:rPr>
                <w:rFonts w:cs="Arial"/>
                <w:color w:val="000000" w:themeColor="text1"/>
              </w:rPr>
              <w:t>The ICTS Service Desk is the formal channel for users to report processing problems, access problems or security issues relating to the cloud computing service. Issues should be reported immediately to the cloud service provider. All security issues must be reviewed and reported to the Leadership Team annually. Examples include (but not limited to)</w:t>
            </w:r>
            <w:r w:rsidR="001A316E" w:rsidRPr="009B2CD4">
              <w:rPr>
                <w:rFonts w:cs="Arial"/>
              </w:rPr>
              <w:t>:</w:t>
            </w:r>
          </w:p>
          <w:p w14:paraId="7DAA2EAD" w14:textId="77777777" w:rsidR="001A316E" w:rsidRPr="009B2CD4" w:rsidRDefault="001A316E" w:rsidP="009B2CD4">
            <w:pPr>
              <w:pStyle w:val="TableText"/>
              <w:widowControl w:val="0"/>
              <w:numPr>
                <w:ilvl w:val="0"/>
                <w:numId w:val="37"/>
              </w:numPr>
              <w:spacing w:before="120" w:after="120"/>
              <w:ind w:left="245" w:hanging="245"/>
              <w:jc w:val="both"/>
              <w:rPr>
                <w:rFonts w:cs="Arial"/>
              </w:rPr>
            </w:pPr>
            <w:r w:rsidRPr="009B2CD4">
              <w:rPr>
                <w:rFonts w:cs="Arial"/>
              </w:rPr>
              <w:t>Loss of service, equipment and facilities.</w:t>
            </w:r>
          </w:p>
          <w:p w14:paraId="0F569514" w14:textId="4443D9F5" w:rsidR="001A316E" w:rsidRPr="009B2CD4" w:rsidRDefault="001A316E" w:rsidP="009B2CD4">
            <w:pPr>
              <w:pStyle w:val="TableText"/>
              <w:widowControl w:val="0"/>
              <w:numPr>
                <w:ilvl w:val="0"/>
                <w:numId w:val="37"/>
              </w:numPr>
              <w:spacing w:before="120" w:after="120"/>
              <w:ind w:left="245" w:hanging="245"/>
              <w:jc w:val="both"/>
              <w:rPr>
                <w:rFonts w:cs="Arial"/>
              </w:rPr>
            </w:pPr>
            <w:r w:rsidRPr="009B2CD4">
              <w:rPr>
                <w:rFonts w:cs="Arial"/>
              </w:rPr>
              <w:lastRenderedPageBreak/>
              <w:t>System malfunctions or denial of service.</w:t>
            </w:r>
          </w:p>
          <w:p w14:paraId="7A0D5F65" w14:textId="77777777" w:rsidR="001A316E" w:rsidRPr="009B2CD4" w:rsidRDefault="001A316E" w:rsidP="009B2CD4">
            <w:pPr>
              <w:pStyle w:val="TableText"/>
              <w:widowControl w:val="0"/>
              <w:numPr>
                <w:ilvl w:val="0"/>
                <w:numId w:val="37"/>
              </w:numPr>
              <w:spacing w:before="120" w:after="120"/>
              <w:ind w:left="245" w:hanging="245"/>
              <w:jc w:val="both"/>
              <w:rPr>
                <w:rFonts w:cs="Arial"/>
              </w:rPr>
            </w:pPr>
            <w:r w:rsidRPr="009B2CD4">
              <w:rPr>
                <w:rFonts w:cs="Arial"/>
              </w:rPr>
              <w:t xml:space="preserve">Human error. </w:t>
            </w:r>
          </w:p>
          <w:p w14:paraId="6E11AC43" w14:textId="77777777" w:rsidR="001A316E" w:rsidRPr="009B2CD4" w:rsidRDefault="001A316E" w:rsidP="009B2CD4">
            <w:pPr>
              <w:pStyle w:val="TableText"/>
              <w:widowControl w:val="0"/>
              <w:numPr>
                <w:ilvl w:val="0"/>
                <w:numId w:val="37"/>
              </w:numPr>
              <w:spacing w:before="120" w:after="120"/>
              <w:ind w:left="245" w:hanging="245"/>
              <w:jc w:val="both"/>
              <w:rPr>
                <w:rFonts w:cs="Arial"/>
              </w:rPr>
            </w:pPr>
            <w:r w:rsidRPr="009B2CD4">
              <w:rPr>
                <w:rFonts w:cs="Arial"/>
              </w:rPr>
              <w:t>Non-compliance with standards or guidelines.</w:t>
            </w:r>
          </w:p>
          <w:p w14:paraId="25660775" w14:textId="77777777" w:rsidR="001A316E" w:rsidRPr="009B2CD4" w:rsidRDefault="001A316E" w:rsidP="009B2CD4">
            <w:pPr>
              <w:pStyle w:val="TableText"/>
              <w:widowControl w:val="0"/>
              <w:numPr>
                <w:ilvl w:val="0"/>
                <w:numId w:val="37"/>
              </w:numPr>
              <w:spacing w:before="120" w:after="120"/>
              <w:ind w:left="245" w:hanging="245"/>
              <w:jc w:val="both"/>
              <w:rPr>
                <w:rFonts w:cs="Arial"/>
              </w:rPr>
            </w:pPr>
            <w:r w:rsidRPr="009B2CD4">
              <w:rPr>
                <w:rFonts w:cs="Arial"/>
              </w:rPr>
              <w:t>Breaches of physical security arrangements.</w:t>
            </w:r>
          </w:p>
          <w:p w14:paraId="5F49CDE9" w14:textId="77777777" w:rsidR="001A316E" w:rsidRPr="009B2CD4" w:rsidRDefault="001A316E" w:rsidP="009B2CD4">
            <w:pPr>
              <w:pStyle w:val="TableText"/>
              <w:widowControl w:val="0"/>
              <w:numPr>
                <w:ilvl w:val="0"/>
                <w:numId w:val="37"/>
              </w:numPr>
              <w:spacing w:before="120" w:after="120"/>
              <w:ind w:left="245" w:hanging="245"/>
              <w:jc w:val="both"/>
              <w:rPr>
                <w:rFonts w:cs="Arial"/>
              </w:rPr>
            </w:pPr>
            <w:r w:rsidRPr="009B2CD4">
              <w:rPr>
                <w:rFonts w:cs="Arial"/>
              </w:rPr>
              <w:t>Uncontrolled system changes.</w:t>
            </w:r>
          </w:p>
          <w:p w14:paraId="52D3F01B" w14:textId="77777777" w:rsidR="001A316E" w:rsidRPr="009B2CD4" w:rsidRDefault="001A316E" w:rsidP="009B2CD4">
            <w:pPr>
              <w:pStyle w:val="TableText"/>
              <w:widowControl w:val="0"/>
              <w:numPr>
                <w:ilvl w:val="0"/>
                <w:numId w:val="37"/>
              </w:numPr>
              <w:spacing w:before="120" w:after="120"/>
              <w:ind w:left="245" w:hanging="245"/>
              <w:jc w:val="both"/>
              <w:rPr>
                <w:rFonts w:cs="Arial"/>
              </w:rPr>
            </w:pPr>
            <w:r w:rsidRPr="009B2CD4">
              <w:rPr>
                <w:rFonts w:cs="Arial"/>
              </w:rPr>
              <w:t>Malfunctions of software or hardware.</w:t>
            </w:r>
          </w:p>
          <w:p w14:paraId="3AB78602" w14:textId="04A75E6B" w:rsidR="001A316E" w:rsidRPr="009B2CD4" w:rsidRDefault="001A316E" w:rsidP="009B2CD4">
            <w:pPr>
              <w:pStyle w:val="TableText"/>
              <w:widowControl w:val="0"/>
              <w:numPr>
                <w:ilvl w:val="0"/>
                <w:numId w:val="37"/>
              </w:numPr>
              <w:spacing w:before="120" w:after="120"/>
              <w:ind w:left="245" w:hanging="245"/>
              <w:jc w:val="both"/>
              <w:rPr>
                <w:rFonts w:cs="Arial"/>
              </w:rPr>
            </w:pPr>
            <w:r w:rsidRPr="009B2CD4">
              <w:rPr>
                <w:rFonts w:cs="Arial"/>
              </w:rPr>
              <w:t xml:space="preserve">Unauthorised access. </w:t>
            </w:r>
          </w:p>
        </w:tc>
      </w:tr>
      <w:tr w:rsidR="00DA4CD8" w:rsidRPr="00233D23" w14:paraId="799144BB" w14:textId="77777777" w:rsidTr="00145A6A">
        <w:trPr>
          <w:trHeight w:val="357"/>
        </w:trPr>
        <w:tc>
          <w:tcPr>
            <w:tcW w:w="606" w:type="dxa"/>
          </w:tcPr>
          <w:p w14:paraId="7E0B5CA1" w14:textId="27AF2190" w:rsidR="00DA4CD8" w:rsidRPr="009B2CD4" w:rsidRDefault="00DA4CD8" w:rsidP="009B2CD4">
            <w:pPr>
              <w:pStyle w:val="TableText"/>
              <w:widowControl w:val="0"/>
              <w:spacing w:before="120" w:after="120"/>
              <w:jc w:val="both"/>
              <w:rPr>
                <w:rFonts w:cs="Arial"/>
              </w:rPr>
            </w:pPr>
            <w:r w:rsidRPr="009B2CD4">
              <w:rPr>
                <w:rFonts w:cs="Arial"/>
              </w:rPr>
              <w:lastRenderedPageBreak/>
              <w:t>10.3</w:t>
            </w:r>
          </w:p>
        </w:tc>
        <w:tc>
          <w:tcPr>
            <w:tcW w:w="8041" w:type="dxa"/>
          </w:tcPr>
          <w:p w14:paraId="14ED959C" w14:textId="747BCAD1" w:rsidR="00DA4CD8" w:rsidRPr="009B2CD4" w:rsidRDefault="00842B12" w:rsidP="000A7617">
            <w:pPr>
              <w:pStyle w:val="TableText"/>
              <w:widowControl w:val="0"/>
              <w:spacing w:before="120" w:after="120"/>
              <w:jc w:val="both"/>
              <w:rPr>
                <w:rFonts w:cs="Arial"/>
              </w:rPr>
            </w:pPr>
            <w:r w:rsidRPr="009B2CD4">
              <w:rPr>
                <w:rFonts w:cs="Arial"/>
              </w:rPr>
              <w:t>MIT</w:t>
            </w:r>
            <w:r w:rsidR="00DA4CD8" w:rsidRPr="009B2CD4">
              <w:rPr>
                <w:rFonts w:cs="Arial"/>
              </w:rPr>
              <w:t xml:space="preserve"> </w:t>
            </w:r>
            <w:r w:rsidR="000A7617">
              <w:rPr>
                <w:rFonts w:cs="Arial"/>
              </w:rPr>
              <w:t>must</w:t>
            </w:r>
            <w:r w:rsidR="00DA4CD8" w:rsidRPr="009B2CD4">
              <w:rPr>
                <w:rFonts w:cs="Arial"/>
              </w:rPr>
              <w:t xml:space="preserve"> ensure that the cloud service provider has procedures in</w:t>
            </w:r>
            <w:r w:rsidR="00C05569" w:rsidRPr="009B2CD4">
              <w:rPr>
                <w:rFonts w:cs="Arial"/>
              </w:rPr>
              <w:t xml:space="preserve"> </w:t>
            </w:r>
            <w:r w:rsidR="00DA4CD8" w:rsidRPr="009B2CD4">
              <w:rPr>
                <w:rFonts w:cs="Arial"/>
              </w:rPr>
              <w:t>place for managing a security incident to ensure that systems are returned to a</w:t>
            </w:r>
            <w:r w:rsidR="00C05569" w:rsidRPr="009B2CD4">
              <w:rPr>
                <w:rFonts w:cs="Arial"/>
              </w:rPr>
              <w:t xml:space="preserve"> </w:t>
            </w:r>
            <w:r w:rsidR="00DA4CD8" w:rsidRPr="009B2CD4">
              <w:rPr>
                <w:rFonts w:cs="Arial"/>
              </w:rPr>
              <w:t xml:space="preserve">former trusted state. This process </w:t>
            </w:r>
            <w:r w:rsidR="000A7617">
              <w:rPr>
                <w:rFonts w:cs="Arial"/>
              </w:rPr>
              <w:t>must</w:t>
            </w:r>
            <w:r w:rsidR="00DA4CD8" w:rsidRPr="009B2CD4">
              <w:rPr>
                <w:rFonts w:cs="Arial"/>
              </w:rPr>
              <w:t xml:space="preserve"> include a process for two way</w:t>
            </w:r>
            <w:r w:rsidR="00C05569" w:rsidRPr="009B2CD4">
              <w:rPr>
                <w:rFonts w:cs="Arial"/>
              </w:rPr>
              <w:t xml:space="preserve"> </w:t>
            </w:r>
            <w:r w:rsidR="00DA4CD8" w:rsidRPr="009B2CD4">
              <w:rPr>
                <w:rFonts w:cs="Arial"/>
              </w:rPr>
              <w:t xml:space="preserve">communication and keeping </w:t>
            </w:r>
            <w:r w:rsidRPr="009B2CD4">
              <w:rPr>
                <w:rFonts w:cs="Arial"/>
              </w:rPr>
              <w:t>MIT</w:t>
            </w:r>
            <w:r w:rsidR="00DA4CD8" w:rsidRPr="009B2CD4">
              <w:rPr>
                <w:rFonts w:cs="Arial"/>
              </w:rPr>
              <w:t xml:space="preserve"> informed of progress, likely</w:t>
            </w:r>
            <w:r w:rsidR="00C05569" w:rsidRPr="009B2CD4">
              <w:rPr>
                <w:rFonts w:cs="Arial"/>
              </w:rPr>
              <w:t xml:space="preserve"> </w:t>
            </w:r>
            <w:r w:rsidR="00DA4CD8" w:rsidRPr="009B2CD4">
              <w:rPr>
                <w:rFonts w:cs="Arial"/>
              </w:rPr>
              <w:t>outcomes, ramifications and damage control.</w:t>
            </w:r>
          </w:p>
        </w:tc>
      </w:tr>
      <w:tr w:rsidR="00DA4CD8" w:rsidRPr="00233D23" w14:paraId="43570CAE" w14:textId="77777777" w:rsidTr="00145A6A">
        <w:trPr>
          <w:trHeight w:val="357"/>
        </w:trPr>
        <w:tc>
          <w:tcPr>
            <w:tcW w:w="606" w:type="dxa"/>
          </w:tcPr>
          <w:p w14:paraId="20D006E4" w14:textId="20DFE9AC" w:rsidR="00DA4CD8" w:rsidRPr="009B2CD4" w:rsidRDefault="00DA4CD8" w:rsidP="009B2CD4">
            <w:pPr>
              <w:pStyle w:val="TableText"/>
              <w:keepNext/>
              <w:widowControl w:val="0"/>
              <w:spacing w:before="120" w:after="120"/>
              <w:jc w:val="both"/>
              <w:rPr>
                <w:rFonts w:cs="Arial"/>
              </w:rPr>
            </w:pPr>
            <w:r w:rsidRPr="009B2CD4">
              <w:rPr>
                <w:rFonts w:cs="Arial"/>
              </w:rPr>
              <w:t>10.4</w:t>
            </w:r>
          </w:p>
        </w:tc>
        <w:tc>
          <w:tcPr>
            <w:tcW w:w="8041" w:type="dxa"/>
          </w:tcPr>
          <w:p w14:paraId="67A51658" w14:textId="006C5A13" w:rsidR="00DA4CD8" w:rsidRPr="009B2CD4" w:rsidRDefault="00DA4CD8" w:rsidP="000A7617">
            <w:pPr>
              <w:pStyle w:val="TableText"/>
              <w:keepNext/>
              <w:widowControl w:val="0"/>
              <w:spacing w:before="120" w:after="120"/>
              <w:jc w:val="both"/>
              <w:rPr>
                <w:rFonts w:cs="Arial"/>
              </w:rPr>
            </w:pPr>
            <w:r w:rsidRPr="009B2CD4">
              <w:rPr>
                <w:rFonts w:cs="Arial"/>
              </w:rPr>
              <w:t>In the event legal action relating to the use or management of the cloud</w:t>
            </w:r>
            <w:r w:rsidR="00C05569" w:rsidRPr="009B2CD4">
              <w:rPr>
                <w:rFonts w:cs="Arial"/>
              </w:rPr>
              <w:t xml:space="preserve"> </w:t>
            </w:r>
            <w:r w:rsidRPr="009B2CD4">
              <w:rPr>
                <w:rFonts w:cs="Arial"/>
              </w:rPr>
              <w:t xml:space="preserve">computing service is warranted, evidence </w:t>
            </w:r>
            <w:r w:rsidR="000A7617">
              <w:rPr>
                <w:rFonts w:cs="Arial"/>
              </w:rPr>
              <w:t>must</w:t>
            </w:r>
            <w:r w:rsidRPr="009B2CD4">
              <w:rPr>
                <w:rFonts w:cs="Arial"/>
              </w:rPr>
              <w:t xml:space="preserve"> be collected, retained, and</w:t>
            </w:r>
            <w:r w:rsidR="00C05569" w:rsidRPr="009B2CD4">
              <w:rPr>
                <w:rFonts w:cs="Arial"/>
              </w:rPr>
              <w:t xml:space="preserve"> </w:t>
            </w:r>
            <w:r w:rsidRPr="009B2CD4">
              <w:rPr>
                <w:rFonts w:cs="Arial"/>
              </w:rPr>
              <w:t>presented to conform to the rules for evidence laid down in the relevant</w:t>
            </w:r>
            <w:r w:rsidR="00C05569" w:rsidRPr="009B2CD4">
              <w:rPr>
                <w:rFonts w:cs="Arial"/>
              </w:rPr>
              <w:t xml:space="preserve"> </w:t>
            </w:r>
            <w:r w:rsidRPr="009B2CD4">
              <w:rPr>
                <w:rFonts w:cs="Arial"/>
              </w:rPr>
              <w:t xml:space="preserve">jurisdiction(s). Service agreements with the cloud service provider </w:t>
            </w:r>
            <w:r w:rsidR="000A7617">
              <w:rPr>
                <w:rFonts w:cs="Arial"/>
              </w:rPr>
              <w:t>must</w:t>
            </w:r>
            <w:r w:rsidR="00C05569" w:rsidRPr="009B2CD4">
              <w:rPr>
                <w:rFonts w:cs="Arial"/>
              </w:rPr>
              <w:t xml:space="preserve"> </w:t>
            </w:r>
            <w:r w:rsidRPr="009B2CD4">
              <w:rPr>
                <w:rFonts w:cs="Arial"/>
              </w:rPr>
              <w:t>determine the jurisdiction of the agreement as this determines which country's</w:t>
            </w:r>
            <w:r w:rsidR="00C05569" w:rsidRPr="009B2CD4">
              <w:rPr>
                <w:rFonts w:cs="Arial"/>
              </w:rPr>
              <w:t xml:space="preserve"> </w:t>
            </w:r>
            <w:r w:rsidRPr="009B2CD4">
              <w:rPr>
                <w:rFonts w:cs="Arial"/>
              </w:rPr>
              <w:t>laws are applicable.</w:t>
            </w:r>
            <w:r w:rsidR="001A316E" w:rsidRPr="009B2CD4">
              <w:rPr>
                <w:rFonts w:cs="Arial"/>
              </w:rPr>
              <w:t xml:space="preserve"> Where possible, New Zealand law should be the governing law and exclusive jurisdiction for all agreements into which MIT enters. </w:t>
            </w:r>
          </w:p>
        </w:tc>
      </w:tr>
    </w:tbl>
    <w:p w14:paraId="6A8C01FF" w14:textId="43FD5273" w:rsidR="00233D23" w:rsidRDefault="00233D23" w:rsidP="00C05569">
      <w:pPr>
        <w:pStyle w:val="TableText"/>
        <w:rPr>
          <w:b/>
        </w:rPr>
      </w:pPr>
    </w:p>
    <w:bookmarkStart w:id="22" w:name="_Toc321125841" w:displacedByCustomXml="next"/>
    <w:bookmarkStart w:id="23" w:name="_Toc321122940" w:displacedByCustomXml="next"/>
    <w:bookmarkStart w:id="24" w:name="_Toc446335363" w:displacedByCustomXml="next"/>
    <w:sdt>
      <w:sdtPr>
        <w:id w:val="-1978832872"/>
        <w:lock w:val="sdtContentLocked"/>
        <w:placeholder>
          <w:docPart w:val="A5E80BCE747D46D281BB8FDE7ADE9EC5"/>
        </w:placeholder>
      </w:sdtPr>
      <w:sdtEndPr/>
      <w:sdtContent>
        <w:p w14:paraId="16F8EC33" w14:textId="77777777" w:rsidR="00CD3903" w:rsidRPr="0096415D" w:rsidRDefault="00CD3903" w:rsidP="00AF2146">
          <w:pPr>
            <w:pStyle w:val="Heading3"/>
          </w:pPr>
          <w:r w:rsidRPr="0096415D">
            <w:t>Procedures</w:t>
          </w:r>
        </w:p>
        <w:bookmarkEnd w:id="22" w:displacedByCustomXml="next"/>
        <w:bookmarkEnd w:id="23" w:displacedByCustomXml="next"/>
      </w:sdtContent>
    </w:sdt>
    <w:bookmarkEnd w:id="24" w:displacedByCustomXml="prev"/>
    <w:p w14:paraId="281B4016" w14:textId="77777777" w:rsidR="006F48BC" w:rsidRPr="0002540A" w:rsidRDefault="006F48BC" w:rsidP="006F48BC">
      <w:pPr>
        <w:pStyle w:val="BlockText"/>
        <w:spacing w:before="120"/>
        <w:rPr>
          <w:b/>
        </w:rPr>
      </w:pPr>
      <w:bookmarkStart w:id="25" w:name="_Toc321122941"/>
      <w:bookmarkStart w:id="26" w:name="_Toc321125842"/>
      <w:r>
        <w:t xml:space="preserve">Please refer to the policy section. </w:t>
      </w:r>
    </w:p>
    <w:bookmarkStart w:id="27" w:name="_Toc446335364" w:displacedByCustomXml="next"/>
    <w:sdt>
      <w:sdtPr>
        <w:id w:val="817684582"/>
        <w:lock w:val="sdtContentLocked"/>
        <w:placeholder>
          <w:docPart w:val="A5E80BCE747D46D281BB8FDE7ADE9EC5"/>
        </w:placeholder>
      </w:sdtPr>
      <w:sdtEndPr/>
      <w:sdtContent>
        <w:p w14:paraId="5B8CEC42" w14:textId="77777777" w:rsidR="00CD3903" w:rsidRPr="007E1553" w:rsidRDefault="00CD3903" w:rsidP="00AF2146">
          <w:pPr>
            <w:pStyle w:val="Heading3"/>
          </w:pPr>
          <w:r w:rsidRPr="007E1553">
            <w:t>Evaluation/</w:t>
          </w:r>
          <w:r w:rsidRPr="0096415D">
            <w:t>Outcomes</w:t>
          </w:r>
        </w:p>
        <w:bookmarkEnd w:id="26" w:displacedByCustomXml="next"/>
        <w:bookmarkEnd w:id="25" w:displacedByCustomXml="next"/>
      </w:sdtContent>
    </w:sdt>
    <w:bookmarkEnd w:id="27" w:displacedByCustomXml="prev"/>
    <w:p w14:paraId="19DFF0BB" w14:textId="77777777" w:rsidR="006F48BC" w:rsidRDefault="006F48BC" w:rsidP="006F48BC">
      <w:pPr>
        <w:pStyle w:val="BlockText"/>
        <w:spacing w:before="120"/>
      </w:pPr>
      <w:r w:rsidRPr="003A58B4">
        <w:rPr>
          <w:b/>
        </w:rPr>
        <w:t>Audit:</w:t>
      </w:r>
      <w:r>
        <w:t xml:space="preserve"> The Risk and Assurance Manager may audit compliance with this policy as part of internal audit work programmes.</w:t>
      </w:r>
    </w:p>
    <w:p w14:paraId="3F22E7FC" w14:textId="77777777" w:rsidR="006F48BC" w:rsidRPr="0002540A" w:rsidRDefault="006F48BC" w:rsidP="006F48BC">
      <w:pPr>
        <w:pStyle w:val="BlockText"/>
        <w:spacing w:before="120"/>
      </w:pPr>
      <w:r w:rsidRPr="003A58B4">
        <w:rPr>
          <w:b/>
        </w:rPr>
        <w:t>Compliance:</w:t>
      </w:r>
      <w:r>
        <w:t xml:space="preserve"> The Head of ICTS will monitor compliance. </w:t>
      </w:r>
    </w:p>
    <w:p w14:paraId="76ECD725" w14:textId="77777777" w:rsidR="00814F89" w:rsidRDefault="00814F89" w:rsidP="00E4373D">
      <w:pPr>
        <w:pStyle w:val="BlockText"/>
      </w:pPr>
    </w:p>
    <w:p w14:paraId="2661AD89" w14:textId="77777777" w:rsidR="00CD3903" w:rsidRDefault="00CD3903" w:rsidP="00AF2146">
      <w:pPr>
        <w:pStyle w:val="Heading1"/>
      </w:pPr>
      <w:r>
        <w:br w:type="page"/>
      </w:r>
      <w:bookmarkStart w:id="28" w:name="_Toc321122942"/>
      <w:bookmarkStart w:id="29" w:name="_Toc321125843"/>
      <w:bookmarkStart w:id="30" w:name="_Toc446335365"/>
      <w:sdt>
        <w:sdtPr>
          <w:id w:val="315538178"/>
          <w:lock w:val="sdtContentLocked"/>
          <w:placeholder>
            <w:docPart w:val="A5E80BCE747D46D281BB8FDE7ADE9EC5"/>
          </w:placeholder>
        </w:sdtPr>
        <w:sdtEndPr/>
        <w:sdtContent>
          <w:r>
            <w:t>Additional Information</w:t>
          </w:r>
          <w:bookmarkEnd w:id="28"/>
          <w:bookmarkEnd w:id="29"/>
        </w:sdtContent>
      </w:sdt>
      <w:bookmarkEnd w:id="30"/>
    </w:p>
    <w:p w14:paraId="0C4B1885" w14:textId="77777777" w:rsidR="0096415D" w:rsidRPr="0096415D" w:rsidRDefault="0096415D" w:rsidP="0096415D">
      <w:pPr>
        <w:pStyle w:val="HeadingLine"/>
      </w:pPr>
    </w:p>
    <w:bookmarkStart w:id="31" w:name="_Toc321125844" w:displacedByCustomXml="next"/>
    <w:bookmarkStart w:id="32" w:name="_Toc321122943" w:displacedByCustomXml="next"/>
    <w:bookmarkStart w:id="33" w:name="_Toc446335366" w:displacedByCustomXml="next"/>
    <w:sdt>
      <w:sdtPr>
        <w:id w:val="-130018276"/>
        <w:lock w:val="sdtContentLocked"/>
        <w:placeholder>
          <w:docPart w:val="A5E80BCE747D46D281BB8FDE7ADE9EC5"/>
        </w:placeholder>
      </w:sdtPr>
      <w:sdtEndPr/>
      <w:sdtContent>
        <w:p w14:paraId="37F85F30" w14:textId="77777777" w:rsidR="00CD3903" w:rsidRPr="00976A5D" w:rsidRDefault="00CD3903" w:rsidP="00AF2146">
          <w:pPr>
            <w:pStyle w:val="Heading3"/>
          </w:pPr>
          <w:r w:rsidRPr="00976A5D">
            <w:t>Glossary</w:t>
          </w:r>
        </w:p>
        <w:bookmarkEnd w:id="31" w:displacedByCustomXml="next"/>
        <w:bookmarkEnd w:id="32" w:displacedByCustomXml="next"/>
      </w:sdtContent>
    </w:sdt>
    <w:bookmarkEnd w:id="33" w:displacedByCustomXml="prev"/>
    <w:tbl>
      <w:tblPr>
        <w:tblW w:w="8560" w:type="dxa"/>
        <w:tblInd w:w="1242"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1E0" w:firstRow="1" w:lastRow="1" w:firstColumn="1" w:lastColumn="1" w:noHBand="0" w:noVBand="0"/>
      </w:tblPr>
      <w:tblGrid>
        <w:gridCol w:w="3119"/>
        <w:gridCol w:w="5441"/>
      </w:tblGrid>
      <w:tr w:rsidR="00CD3903" w14:paraId="67F52329" w14:textId="77777777" w:rsidTr="00A00312">
        <w:tc>
          <w:tcPr>
            <w:tcW w:w="3119" w:type="dxa"/>
            <w:shd w:val="clear" w:color="auto" w:fill="808080"/>
          </w:tcPr>
          <w:sdt>
            <w:sdtPr>
              <w:id w:val="-931503650"/>
              <w:lock w:val="sdtContentLocked"/>
              <w:placeholder>
                <w:docPart w:val="A5E80BCE747D46D281BB8FDE7ADE9EC5"/>
              </w:placeholder>
            </w:sdtPr>
            <w:sdtEndPr/>
            <w:sdtContent>
              <w:p w14:paraId="4E68891B" w14:textId="77777777" w:rsidR="00CD3903" w:rsidRPr="00892EF9" w:rsidRDefault="00CD3903" w:rsidP="00892EF9">
                <w:pPr>
                  <w:pStyle w:val="TableHdg"/>
                </w:pPr>
                <w:r w:rsidRPr="00892EF9">
                  <w:t>Term</w:t>
                </w:r>
              </w:p>
            </w:sdtContent>
          </w:sdt>
        </w:tc>
        <w:tc>
          <w:tcPr>
            <w:tcW w:w="5441" w:type="dxa"/>
            <w:shd w:val="clear" w:color="auto" w:fill="808080"/>
          </w:tcPr>
          <w:sdt>
            <w:sdtPr>
              <w:id w:val="-1140803880"/>
              <w:lock w:val="sdtContentLocked"/>
              <w:placeholder>
                <w:docPart w:val="A5E80BCE747D46D281BB8FDE7ADE9EC5"/>
              </w:placeholder>
            </w:sdtPr>
            <w:sdtEndPr/>
            <w:sdtContent>
              <w:p w14:paraId="1B60B464" w14:textId="77777777" w:rsidR="00CD3903" w:rsidRPr="00892EF9" w:rsidRDefault="00CD3903" w:rsidP="00892EF9">
                <w:pPr>
                  <w:pStyle w:val="TableHdg"/>
                </w:pPr>
                <w:r w:rsidRPr="00892EF9">
                  <w:t xml:space="preserve">Definition </w:t>
                </w:r>
              </w:p>
            </w:sdtContent>
          </w:sdt>
        </w:tc>
      </w:tr>
      <w:tr w:rsidR="00CD3903" w14:paraId="7455C830" w14:textId="77777777" w:rsidTr="00A00312">
        <w:tc>
          <w:tcPr>
            <w:tcW w:w="3119" w:type="dxa"/>
            <w:shd w:val="clear" w:color="auto" w:fill="auto"/>
          </w:tcPr>
          <w:p w14:paraId="4252DCFF" w14:textId="776C661B" w:rsidR="00CD3903" w:rsidRPr="0096415D" w:rsidRDefault="00892EF9" w:rsidP="009B2CD4">
            <w:pPr>
              <w:pStyle w:val="TableText"/>
              <w:widowControl w:val="0"/>
              <w:spacing w:before="120" w:after="120"/>
            </w:pPr>
            <w:r>
              <w:t xml:space="preserve"> </w:t>
            </w:r>
            <w:r w:rsidR="002E07C6">
              <w:t xml:space="preserve">Cloud computing </w:t>
            </w:r>
          </w:p>
        </w:tc>
        <w:tc>
          <w:tcPr>
            <w:tcW w:w="5441" w:type="dxa"/>
            <w:shd w:val="clear" w:color="auto" w:fill="auto"/>
          </w:tcPr>
          <w:p w14:paraId="7FF4FB33" w14:textId="623E12F1" w:rsidR="00CD3903" w:rsidRPr="0096415D" w:rsidRDefault="002E07C6" w:rsidP="009B2CD4">
            <w:pPr>
              <w:pStyle w:val="TableText"/>
              <w:widowControl w:val="0"/>
              <w:spacing w:before="120" w:after="120"/>
              <w:jc w:val="both"/>
            </w:pPr>
            <w:r w:rsidRPr="009222C8">
              <w:rPr>
                <w:rFonts w:cs="Arial"/>
              </w:rPr>
              <w:t>Cloud computing is a model for enabling convenient, on-demand network access to a shared pool of configurable computing resources that can be rapidly provisioned and released with minimal management effort or service provider interaction</w:t>
            </w:r>
            <w:r>
              <w:rPr>
                <w:rFonts w:cs="Arial"/>
              </w:rPr>
              <w:t xml:space="preserve">. </w:t>
            </w:r>
          </w:p>
        </w:tc>
      </w:tr>
      <w:tr w:rsidR="00BD6130" w:rsidRPr="00BD6130" w14:paraId="7EA76C05" w14:textId="77777777" w:rsidTr="00A00312">
        <w:tc>
          <w:tcPr>
            <w:tcW w:w="3119" w:type="dxa"/>
            <w:shd w:val="clear" w:color="auto" w:fill="auto"/>
          </w:tcPr>
          <w:p w14:paraId="52142AB1" w14:textId="629520C0" w:rsidR="00BD6130" w:rsidRPr="00BD6130" w:rsidRDefault="00BD6130" w:rsidP="009B2CD4">
            <w:pPr>
              <w:pStyle w:val="TableText"/>
              <w:widowControl w:val="0"/>
              <w:spacing w:before="120" w:after="120"/>
            </w:pPr>
            <w:r w:rsidRPr="00BD6130">
              <w:t xml:space="preserve">Intellectual property </w:t>
            </w:r>
            <w:r w:rsidR="007370E6">
              <w:t>rights</w:t>
            </w:r>
          </w:p>
        </w:tc>
        <w:tc>
          <w:tcPr>
            <w:tcW w:w="5441" w:type="dxa"/>
            <w:shd w:val="clear" w:color="auto" w:fill="auto"/>
          </w:tcPr>
          <w:p w14:paraId="77E7E816" w14:textId="77EC59D5" w:rsidR="00BD6130" w:rsidRPr="00BD6130" w:rsidRDefault="00BD6130" w:rsidP="009B2CD4">
            <w:pPr>
              <w:widowControl w:val="0"/>
              <w:tabs>
                <w:tab w:val="left" w:pos="1440"/>
                <w:tab w:val="left" w:pos="2268"/>
                <w:tab w:val="left" w:pos="5040"/>
                <w:tab w:val="left" w:pos="6946"/>
              </w:tabs>
              <w:spacing w:before="120" w:after="120"/>
              <w:jc w:val="both"/>
              <w:rPr>
                <w:rFonts w:ascii="Arial" w:hAnsi="Arial" w:cs="Arial"/>
                <w:sz w:val="20"/>
                <w:szCs w:val="20"/>
              </w:rPr>
            </w:pPr>
            <w:r w:rsidRPr="00BD6130">
              <w:rPr>
                <w:rFonts w:ascii="Arial" w:hAnsi="Arial" w:cs="Arial"/>
                <w:sz w:val="20"/>
                <w:szCs w:val="20"/>
              </w:rPr>
              <w:t>‘Intellectual property</w:t>
            </w:r>
            <w:r>
              <w:rPr>
                <w:rFonts w:ascii="Arial" w:hAnsi="Arial" w:cs="Arial"/>
                <w:sz w:val="20"/>
                <w:szCs w:val="20"/>
              </w:rPr>
              <w:t>’</w:t>
            </w:r>
            <w:r w:rsidRPr="00BD6130">
              <w:rPr>
                <w:rFonts w:ascii="Arial" w:hAnsi="Arial" w:cs="Arial"/>
                <w:sz w:val="20"/>
                <w:szCs w:val="20"/>
              </w:rPr>
              <w:t xml:space="preserve"> means proprietary rights concerning all original work governed by the Copyright Act 1994, the Patents Act 1953, the Designs Act 1953, the Trade Marks Act 2002, the Layout Designs Act 1994, the Plant Varieties Act 1987 any amendments to these or subsequent acts and any other intellectual property law.  It includes, but is not limited to:</w:t>
            </w:r>
          </w:p>
          <w:p w14:paraId="16BF7FF7" w14:textId="413F3A23" w:rsidR="00BD6130" w:rsidRPr="00BD6130" w:rsidRDefault="00BD6130" w:rsidP="009B2CD4">
            <w:pPr>
              <w:pStyle w:val="BodyText2"/>
              <w:widowControl w:val="0"/>
              <w:numPr>
                <w:ilvl w:val="0"/>
                <w:numId w:val="36"/>
              </w:numPr>
              <w:tabs>
                <w:tab w:val="clear" w:pos="720"/>
                <w:tab w:val="left" w:pos="0"/>
              </w:tabs>
              <w:spacing w:before="120" w:after="120"/>
              <w:ind w:left="318" w:hanging="318"/>
              <w:rPr>
                <w:rFonts w:cs="Arial"/>
                <w:sz w:val="20"/>
              </w:rPr>
            </w:pPr>
            <w:r w:rsidRPr="00BD6130">
              <w:rPr>
                <w:rFonts w:cs="Arial"/>
                <w:sz w:val="20"/>
              </w:rPr>
              <w:t>Courses materials</w:t>
            </w:r>
            <w:r>
              <w:rPr>
                <w:rFonts w:cs="Arial"/>
                <w:sz w:val="20"/>
              </w:rPr>
              <w:t>.</w:t>
            </w:r>
          </w:p>
          <w:p w14:paraId="4B9CF6D4" w14:textId="31A63100" w:rsidR="00BD6130" w:rsidRPr="00BD6130" w:rsidRDefault="00BD6130" w:rsidP="009B2CD4">
            <w:pPr>
              <w:pStyle w:val="BodyText2"/>
              <w:widowControl w:val="0"/>
              <w:numPr>
                <w:ilvl w:val="0"/>
                <w:numId w:val="36"/>
              </w:numPr>
              <w:tabs>
                <w:tab w:val="clear" w:pos="720"/>
                <w:tab w:val="left" w:pos="0"/>
              </w:tabs>
              <w:spacing w:before="120" w:after="120"/>
              <w:ind w:left="318" w:hanging="318"/>
              <w:rPr>
                <w:rFonts w:cs="Arial"/>
                <w:sz w:val="20"/>
              </w:rPr>
            </w:pPr>
            <w:r w:rsidRPr="00BD6130">
              <w:rPr>
                <w:rFonts w:cs="Arial"/>
                <w:sz w:val="20"/>
              </w:rPr>
              <w:t>Research data and outputs</w:t>
            </w:r>
            <w:r>
              <w:rPr>
                <w:rFonts w:cs="Arial"/>
                <w:sz w:val="20"/>
              </w:rPr>
              <w:t>.</w:t>
            </w:r>
          </w:p>
          <w:p w14:paraId="5FB60386" w14:textId="4FB29023" w:rsidR="00BD6130" w:rsidRPr="00BD6130" w:rsidRDefault="00BD6130" w:rsidP="009B2CD4">
            <w:pPr>
              <w:pStyle w:val="BodyText2"/>
              <w:widowControl w:val="0"/>
              <w:numPr>
                <w:ilvl w:val="0"/>
                <w:numId w:val="36"/>
              </w:numPr>
              <w:tabs>
                <w:tab w:val="clear" w:pos="720"/>
                <w:tab w:val="left" w:pos="0"/>
              </w:tabs>
              <w:spacing w:before="120" w:after="120"/>
              <w:ind w:left="318" w:hanging="318"/>
              <w:rPr>
                <w:rFonts w:cs="Arial"/>
                <w:sz w:val="20"/>
              </w:rPr>
            </w:pPr>
            <w:r w:rsidRPr="00BD6130">
              <w:rPr>
                <w:rFonts w:cs="Arial"/>
                <w:sz w:val="20"/>
              </w:rPr>
              <w:t>Assessment materials</w:t>
            </w:r>
            <w:r>
              <w:rPr>
                <w:rFonts w:cs="Arial"/>
                <w:sz w:val="20"/>
              </w:rPr>
              <w:t>.</w:t>
            </w:r>
          </w:p>
          <w:p w14:paraId="64B203B8" w14:textId="773E3550" w:rsidR="00BD6130" w:rsidRPr="00BD6130" w:rsidRDefault="00BD6130" w:rsidP="009B2CD4">
            <w:pPr>
              <w:pStyle w:val="BodyText2"/>
              <w:widowControl w:val="0"/>
              <w:numPr>
                <w:ilvl w:val="0"/>
                <w:numId w:val="36"/>
              </w:numPr>
              <w:tabs>
                <w:tab w:val="clear" w:pos="720"/>
                <w:tab w:val="left" w:pos="0"/>
              </w:tabs>
              <w:spacing w:before="120" w:after="120"/>
              <w:ind w:left="318" w:hanging="318"/>
              <w:rPr>
                <w:rFonts w:cs="Arial"/>
                <w:sz w:val="20"/>
              </w:rPr>
            </w:pPr>
            <w:r>
              <w:rPr>
                <w:rFonts w:cs="Arial"/>
                <w:sz w:val="20"/>
              </w:rPr>
              <w:t>Administrative materials.</w:t>
            </w:r>
          </w:p>
          <w:p w14:paraId="1C459418" w14:textId="7657F1CF" w:rsidR="00BD6130" w:rsidRPr="00BD6130" w:rsidRDefault="00BD6130" w:rsidP="009B2CD4">
            <w:pPr>
              <w:pStyle w:val="BodyText2"/>
              <w:widowControl w:val="0"/>
              <w:numPr>
                <w:ilvl w:val="0"/>
                <w:numId w:val="36"/>
              </w:numPr>
              <w:tabs>
                <w:tab w:val="clear" w:pos="720"/>
                <w:tab w:val="left" w:pos="0"/>
              </w:tabs>
              <w:spacing w:before="120" w:after="120"/>
              <w:ind w:left="318" w:hanging="318"/>
              <w:rPr>
                <w:rFonts w:cs="Arial"/>
                <w:sz w:val="20"/>
              </w:rPr>
            </w:pPr>
            <w:r w:rsidRPr="00BD6130">
              <w:rPr>
                <w:rFonts w:cs="Arial"/>
                <w:sz w:val="20"/>
              </w:rPr>
              <w:t>Computer software, videos and recordings</w:t>
            </w:r>
            <w:r>
              <w:rPr>
                <w:rFonts w:cs="Arial"/>
                <w:sz w:val="20"/>
              </w:rPr>
              <w:t>.</w:t>
            </w:r>
          </w:p>
          <w:p w14:paraId="344F25ED" w14:textId="26E4885D" w:rsidR="00BD6130" w:rsidRPr="00BD6130" w:rsidRDefault="00BD6130" w:rsidP="009B2CD4">
            <w:pPr>
              <w:pStyle w:val="BodyText2"/>
              <w:widowControl w:val="0"/>
              <w:numPr>
                <w:ilvl w:val="0"/>
                <w:numId w:val="36"/>
              </w:numPr>
              <w:tabs>
                <w:tab w:val="clear" w:pos="720"/>
                <w:tab w:val="left" w:pos="0"/>
              </w:tabs>
              <w:spacing w:before="120" w:after="120"/>
              <w:ind w:left="318" w:hanging="318"/>
              <w:rPr>
                <w:rFonts w:cs="Arial"/>
                <w:sz w:val="20"/>
              </w:rPr>
            </w:pPr>
            <w:r w:rsidRPr="00BD6130">
              <w:rPr>
                <w:rFonts w:cs="Arial"/>
                <w:sz w:val="20"/>
              </w:rPr>
              <w:t>Creative, literary works, artwork</w:t>
            </w:r>
            <w:r>
              <w:rPr>
                <w:rFonts w:cs="Arial"/>
                <w:sz w:val="20"/>
              </w:rPr>
              <w:t>.</w:t>
            </w:r>
          </w:p>
          <w:p w14:paraId="5B6EBA54" w14:textId="62C53A68" w:rsidR="00BD6130" w:rsidRPr="00BD6130" w:rsidRDefault="00527CC0" w:rsidP="009B2CD4">
            <w:pPr>
              <w:pStyle w:val="BodyText2"/>
              <w:widowControl w:val="0"/>
              <w:numPr>
                <w:ilvl w:val="0"/>
                <w:numId w:val="36"/>
              </w:numPr>
              <w:tabs>
                <w:tab w:val="clear" w:pos="720"/>
                <w:tab w:val="left" w:pos="0"/>
              </w:tabs>
              <w:spacing w:before="120" w:after="120"/>
              <w:ind w:left="318" w:hanging="318"/>
              <w:rPr>
                <w:rFonts w:cs="Arial"/>
                <w:sz w:val="20"/>
              </w:rPr>
            </w:pPr>
            <w:r>
              <w:rPr>
                <w:rFonts w:cs="Arial"/>
                <w:sz w:val="20"/>
              </w:rPr>
              <w:t>Discoveries</w:t>
            </w:r>
            <w:r w:rsidR="00BD6130" w:rsidRPr="00BD6130">
              <w:rPr>
                <w:rFonts w:cs="Arial"/>
                <w:sz w:val="20"/>
              </w:rPr>
              <w:t>/</w:t>
            </w:r>
            <w:r>
              <w:rPr>
                <w:rFonts w:cs="Arial"/>
                <w:sz w:val="20"/>
              </w:rPr>
              <w:t>innovations/i</w:t>
            </w:r>
            <w:r w:rsidR="00BD6130" w:rsidRPr="00BD6130">
              <w:rPr>
                <w:rFonts w:cs="Arial"/>
                <w:sz w:val="20"/>
              </w:rPr>
              <w:t>nventions</w:t>
            </w:r>
            <w:r w:rsidR="00BD6130">
              <w:rPr>
                <w:rFonts w:cs="Arial"/>
                <w:sz w:val="20"/>
              </w:rPr>
              <w:t>.</w:t>
            </w:r>
          </w:p>
          <w:p w14:paraId="41EF226D" w14:textId="2461FD45" w:rsidR="00BD6130" w:rsidRPr="00BD6130" w:rsidRDefault="00BD6130" w:rsidP="009B2CD4">
            <w:pPr>
              <w:pStyle w:val="BodyText2"/>
              <w:widowControl w:val="0"/>
              <w:numPr>
                <w:ilvl w:val="0"/>
                <w:numId w:val="36"/>
              </w:numPr>
              <w:tabs>
                <w:tab w:val="clear" w:pos="720"/>
                <w:tab w:val="left" w:pos="0"/>
              </w:tabs>
              <w:spacing w:before="120" w:after="120"/>
              <w:ind w:left="318" w:hanging="318"/>
              <w:rPr>
                <w:rFonts w:cs="Arial"/>
                <w:sz w:val="20"/>
              </w:rPr>
            </w:pPr>
            <w:r w:rsidRPr="00BD6130">
              <w:rPr>
                <w:rFonts w:cs="Arial"/>
                <w:sz w:val="20"/>
              </w:rPr>
              <w:t>Patents, Copyright, designs, trademarks</w:t>
            </w:r>
            <w:r>
              <w:rPr>
                <w:rFonts w:cs="Arial"/>
                <w:sz w:val="20"/>
              </w:rPr>
              <w:t>.</w:t>
            </w:r>
          </w:p>
          <w:p w14:paraId="0E087762" w14:textId="5E3DFE55" w:rsidR="00BD6130" w:rsidRPr="00BD6130" w:rsidRDefault="00BD6130" w:rsidP="009B2CD4">
            <w:pPr>
              <w:pStyle w:val="BodyText2"/>
              <w:widowControl w:val="0"/>
              <w:numPr>
                <w:ilvl w:val="0"/>
                <w:numId w:val="36"/>
              </w:numPr>
              <w:tabs>
                <w:tab w:val="clear" w:pos="720"/>
                <w:tab w:val="left" w:pos="0"/>
              </w:tabs>
              <w:spacing w:before="120" w:after="120"/>
              <w:ind w:left="318" w:hanging="318"/>
              <w:rPr>
                <w:rFonts w:cs="Arial"/>
                <w:sz w:val="20"/>
              </w:rPr>
            </w:pPr>
            <w:r w:rsidRPr="00BD6130">
              <w:rPr>
                <w:rFonts w:cs="Arial"/>
                <w:sz w:val="20"/>
              </w:rPr>
              <w:t>Patentable and potentially patentable subject matter and associated know how</w:t>
            </w:r>
            <w:r>
              <w:rPr>
                <w:rFonts w:cs="Arial"/>
                <w:sz w:val="20"/>
              </w:rPr>
              <w:t>.</w:t>
            </w:r>
          </w:p>
          <w:p w14:paraId="7BC22F4A" w14:textId="362BE95C" w:rsidR="00BD6130" w:rsidRPr="00BD6130" w:rsidRDefault="00527CC0" w:rsidP="009B2CD4">
            <w:pPr>
              <w:pStyle w:val="BodyText2"/>
              <w:widowControl w:val="0"/>
              <w:numPr>
                <w:ilvl w:val="0"/>
                <w:numId w:val="36"/>
              </w:numPr>
              <w:tabs>
                <w:tab w:val="clear" w:pos="720"/>
                <w:tab w:val="left" w:pos="0"/>
              </w:tabs>
              <w:spacing w:before="120" w:after="120"/>
              <w:ind w:left="318" w:hanging="318"/>
              <w:rPr>
                <w:rFonts w:cs="Arial"/>
                <w:sz w:val="20"/>
              </w:rPr>
            </w:pPr>
            <w:r>
              <w:rPr>
                <w:rFonts w:cs="Arial"/>
                <w:sz w:val="20"/>
              </w:rPr>
              <w:t>Plant v</w:t>
            </w:r>
            <w:r w:rsidR="00BD6130" w:rsidRPr="00BD6130">
              <w:rPr>
                <w:rFonts w:cs="Arial"/>
                <w:sz w:val="20"/>
              </w:rPr>
              <w:t>ariety</w:t>
            </w:r>
            <w:r w:rsidR="00BD6130">
              <w:rPr>
                <w:rFonts w:cs="Arial"/>
                <w:sz w:val="20"/>
              </w:rPr>
              <w:t>.</w:t>
            </w:r>
          </w:p>
          <w:p w14:paraId="6AB6B76B" w14:textId="115FBC9F" w:rsidR="00BD6130" w:rsidRPr="00BD6130" w:rsidRDefault="004579E5" w:rsidP="009B2CD4">
            <w:pPr>
              <w:pStyle w:val="BodyText2"/>
              <w:widowControl w:val="0"/>
              <w:numPr>
                <w:ilvl w:val="0"/>
                <w:numId w:val="36"/>
              </w:numPr>
              <w:tabs>
                <w:tab w:val="clear" w:pos="720"/>
                <w:tab w:val="left" w:pos="0"/>
              </w:tabs>
              <w:spacing w:before="120" w:after="120"/>
              <w:ind w:left="318" w:hanging="318"/>
              <w:rPr>
                <w:rFonts w:cs="Arial"/>
                <w:sz w:val="20"/>
              </w:rPr>
            </w:pPr>
            <w:r>
              <w:rPr>
                <w:rFonts w:cs="Arial"/>
                <w:sz w:val="20"/>
              </w:rPr>
              <w:t>MIT</w:t>
            </w:r>
            <w:r w:rsidR="00BD6130" w:rsidRPr="00BD6130">
              <w:rPr>
                <w:rFonts w:cs="Arial"/>
                <w:sz w:val="20"/>
              </w:rPr>
              <w:t xml:space="preserve"> data</w:t>
            </w:r>
            <w:r w:rsidR="00BD6130">
              <w:rPr>
                <w:rFonts w:cs="Arial"/>
                <w:sz w:val="20"/>
              </w:rPr>
              <w:t>.</w:t>
            </w:r>
          </w:p>
        </w:tc>
      </w:tr>
    </w:tbl>
    <w:bookmarkStart w:id="34" w:name="_Toc321125845" w:displacedByCustomXml="next"/>
    <w:bookmarkStart w:id="35" w:name="_Toc321122944" w:displacedByCustomXml="next"/>
    <w:bookmarkStart w:id="36" w:name="_Toc446335367" w:displacedByCustomXml="next"/>
    <w:sdt>
      <w:sdtPr>
        <w:id w:val="-1900899745"/>
        <w:lock w:val="sdtContentLocked"/>
        <w:placeholder>
          <w:docPart w:val="A5E80BCE747D46D281BB8FDE7ADE9EC5"/>
        </w:placeholder>
      </w:sdtPr>
      <w:sdtEndPr/>
      <w:sdtContent>
        <w:p w14:paraId="77C9D5A3" w14:textId="77777777" w:rsidR="00CD3903" w:rsidRPr="00A41EE7" w:rsidRDefault="00CD3903" w:rsidP="00AF2146">
          <w:pPr>
            <w:pStyle w:val="Heading3"/>
          </w:pPr>
          <w:r w:rsidRPr="00A41EE7">
            <w:t>Exemptions and dispensations</w:t>
          </w:r>
        </w:p>
        <w:bookmarkEnd w:id="34" w:displacedByCustomXml="next"/>
        <w:bookmarkEnd w:id="35" w:displacedByCustomXml="next"/>
      </w:sdtContent>
    </w:sdt>
    <w:bookmarkEnd w:id="36" w:displacedByCustomXml="prev"/>
    <w:p w14:paraId="27BADC59" w14:textId="77777777" w:rsidR="002E07C6" w:rsidRDefault="002E07C6" w:rsidP="00892EF9">
      <w:pPr>
        <w:pStyle w:val="BlockText"/>
      </w:pPr>
      <w:bookmarkStart w:id="37" w:name="_Toc300666454"/>
    </w:p>
    <w:p w14:paraId="31AD7965" w14:textId="77777777" w:rsidR="006F48BC" w:rsidRPr="0002540A" w:rsidRDefault="006F48BC" w:rsidP="006F48BC">
      <w:pPr>
        <w:pStyle w:val="BlockText"/>
        <w:spacing w:before="120"/>
      </w:pPr>
      <w:bookmarkStart w:id="38" w:name="_Toc321122945"/>
      <w:bookmarkStart w:id="39" w:name="_Toc321125846"/>
      <w:bookmarkEnd w:id="37"/>
      <w:r>
        <w:t xml:space="preserve">Any dispensations from the requirements of this policy, including any one-off circumstances, must be approved in writing by the CFO and Director Corporate Services. </w:t>
      </w:r>
    </w:p>
    <w:bookmarkStart w:id="40" w:name="_Toc446335368" w:displacedByCustomXml="next"/>
    <w:sdt>
      <w:sdtPr>
        <w:id w:val="-1771689082"/>
        <w:lock w:val="sdtContentLocked"/>
        <w:placeholder>
          <w:docPart w:val="A5E80BCE747D46D281BB8FDE7ADE9EC5"/>
        </w:placeholder>
      </w:sdtPr>
      <w:sdtEndPr/>
      <w:sdtContent>
        <w:p w14:paraId="7E93239A" w14:textId="77777777" w:rsidR="00CD3903" w:rsidRPr="00A41EE7" w:rsidRDefault="00CD3903" w:rsidP="00AF2146">
          <w:pPr>
            <w:pStyle w:val="Heading3"/>
          </w:pPr>
          <w:r w:rsidRPr="00A41EE7">
            <w:t>Delegations</w:t>
          </w:r>
        </w:p>
        <w:bookmarkEnd w:id="39" w:displacedByCustomXml="next"/>
        <w:bookmarkEnd w:id="38" w:displacedByCustomXml="next"/>
      </w:sdtContent>
    </w:sdt>
    <w:bookmarkEnd w:id="40" w:displacedByCustomXml="prev"/>
    <w:p w14:paraId="00E3E0A5" w14:textId="77777777" w:rsidR="006F48BC" w:rsidRDefault="006F48BC" w:rsidP="006F48BC">
      <w:pPr>
        <w:pStyle w:val="BlockText"/>
        <w:numPr>
          <w:ilvl w:val="0"/>
          <w:numId w:val="34"/>
        </w:numPr>
        <w:spacing w:before="120"/>
        <w:ind w:left="1418" w:hanging="284"/>
      </w:pPr>
      <w:bookmarkStart w:id="41" w:name="_Toc321122946"/>
      <w:bookmarkStart w:id="42" w:name="_Toc321125847"/>
      <w:r>
        <w:t>Council Register of Permanent Delegations and Authorisations.</w:t>
      </w:r>
    </w:p>
    <w:p w14:paraId="412DC45A" w14:textId="77777777" w:rsidR="006F48BC" w:rsidRDefault="006F48BC" w:rsidP="006F48BC">
      <w:pPr>
        <w:pStyle w:val="BlockText"/>
        <w:numPr>
          <w:ilvl w:val="0"/>
          <w:numId w:val="34"/>
        </w:numPr>
        <w:spacing w:before="120"/>
        <w:ind w:left="1418" w:hanging="284"/>
      </w:pPr>
      <w:r>
        <w:t>Statute 2: The Delegations and Authorisations Statute.</w:t>
      </w:r>
    </w:p>
    <w:p w14:paraId="13D28332" w14:textId="77777777" w:rsidR="006F48BC" w:rsidRPr="0002540A" w:rsidRDefault="006F48BC" w:rsidP="006F48BC">
      <w:pPr>
        <w:pStyle w:val="BlockText"/>
        <w:numPr>
          <w:ilvl w:val="0"/>
          <w:numId w:val="34"/>
        </w:numPr>
        <w:spacing w:before="120"/>
        <w:ind w:left="1418" w:hanging="284"/>
      </w:pPr>
      <w:r>
        <w:lastRenderedPageBreak/>
        <w:t>Delegated Authorities Policy (FIN2).</w:t>
      </w:r>
    </w:p>
    <w:bookmarkStart w:id="43" w:name="_Toc446335369" w:displacedByCustomXml="next"/>
    <w:sdt>
      <w:sdtPr>
        <w:id w:val="-1302223613"/>
        <w:lock w:val="sdtContentLocked"/>
        <w:placeholder>
          <w:docPart w:val="A5E80BCE747D46D281BB8FDE7ADE9EC5"/>
        </w:placeholder>
      </w:sdtPr>
      <w:sdtEndPr/>
      <w:sdtContent>
        <w:p w14:paraId="701ED296" w14:textId="77777777" w:rsidR="00CD3903" w:rsidRPr="00A41EE7" w:rsidRDefault="00CD3903" w:rsidP="003957D5">
          <w:pPr>
            <w:pStyle w:val="Heading3"/>
          </w:pPr>
          <w:r w:rsidRPr="00A41EE7">
            <w:t>Relevant Legislation</w:t>
          </w:r>
        </w:p>
        <w:bookmarkEnd w:id="42" w:displacedByCustomXml="next"/>
        <w:bookmarkEnd w:id="41" w:displacedByCustomXml="next"/>
      </w:sdtContent>
    </w:sdt>
    <w:bookmarkEnd w:id="43" w:displacedByCustomXml="prev"/>
    <w:p w14:paraId="6981B136" w14:textId="4BDA0AD3" w:rsidR="00CD3903" w:rsidRDefault="00234A7F" w:rsidP="00234A7F">
      <w:pPr>
        <w:pStyle w:val="BlockText"/>
        <w:numPr>
          <w:ilvl w:val="0"/>
          <w:numId w:val="38"/>
        </w:numPr>
        <w:ind w:left="1418" w:hanging="284"/>
      </w:pPr>
      <w:r>
        <w:t>Copyright Act 1994.</w:t>
      </w:r>
    </w:p>
    <w:p w14:paraId="52D18B4E" w14:textId="4CF9698E" w:rsidR="00234A7F" w:rsidRDefault="00234A7F" w:rsidP="00234A7F">
      <w:pPr>
        <w:pStyle w:val="BlockText"/>
        <w:numPr>
          <w:ilvl w:val="0"/>
          <w:numId w:val="38"/>
        </w:numPr>
        <w:ind w:left="1418" w:hanging="284"/>
      </w:pPr>
      <w:r>
        <w:t>Privacy Act 1993.</w:t>
      </w:r>
    </w:p>
    <w:p w14:paraId="1D4075F1" w14:textId="6FBC0109" w:rsidR="00234A7F" w:rsidRDefault="00234A7F" w:rsidP="00234A7F">
      <w:pPr>
        <w:pStyle w:val="BlockText"/>
        <w:numPr>
          <w:ilvl w:val="0"/>
          <w:numId w:val="38"/>
        </w:numPr>
        <w:ind w:left="1418" w:hanging="284"/>
      </w:pPr>
      <w:r>
        <w:t>Unsolicited Electronic Messages Act 007.</w:t>
      </w:r>
    </w:p>
    <w:p w14:paraId="17533F9C" w14:textId="5589416D" w:rsidR="00234A7F" w:rsidRDefault="00234A7F" w:rsidP="00234A7F">
      <w:pPr>
        <w:pStyle w:val="BlockText"/>
        <w:numPr>
          <w:ilvl w:val="0"/>
          <w:numId w:val="38"/>
        </w:numPr>
        <w:ind w:left="1418" w:hanging="284"/>
      </w:pPr>
      <w:r>
        <w:t>Education Act 1989.</w:t>
      </w:r>
    </w:p>
    <w:p w14:paraId="1A80AD68" w14:textId="48753F36" w:rsidR="00234A7F" w:rsidRDefault="00234A7F" w:rsidP="00234A7F">
      <w:pPr>
        <w:pStyle w:val="BlockText"/>
        <w:numPr>
          <w:ilvl w:val="0"/>
          <w:numId w:val="38"/>
        </w:numPr>
        <w:ind w:left="1418" w:hanging="284"/>
      </w:pPr>
      <w:r>
        <w:t>Fair Trading Act 1986.</w:t>
      </w:r>
    </w:p>
    <w:p w14:paraId="0D9FD9DA" w14:textId="00AFCE16" w:rsidR="00234A7F" w:rsidRDefault="00234A7F" w:rsidP="00234A7F">
      <w:pPr>
        <w:pStyle w:val="BlockText"/>
        <w:numPr>
          <w:ilvl w:val="0"/>
          <w:numId w:val="38"/>
        </w:numPr>
        <w:ind w:left="1418" w:hanging="284"/>
      </w:pPr>
      <w:r>
        <w:t>Harmful Digital Communications Act 2015.</w:t>
      </w:r>
    </w:p>
    <w:p w14:paraId="7381DD2F" w14:textId="448FA1BA" w:rsidR="00234A7F" w:rsidRDefault="00234A7F" w:rsidP="00234A7F">
      <w:pPr>
        <w:pStyle w:val="BlockText"/>
        <w:numPr>
          <w:ilvl w:val="0"/>
          <w:numId w:val="38"/>
        </w:numPr>
        <w:ind w:left="1418" w:hanging="284"/>
      </w:pPr>
      <w:r>
        <w:t>Human Rights Act 1993.</w:t>
      </w:r>
    </w:p>
    <w:p w14:paraId="6DD5F7C8" w14:textId="33C46237" w:rsidR="00234A7F" w:rsidRPr="0002540A" w:rsidRDefault="00234A7F" w:rsidP="00234A7F">
      <w:pPr>
        <w:pStyle w:val="BlockText"/>
        <w:numPr>
          <w:ilvl w:val="0"/>
          <w:numId w:val="38"/>
        </w:numPr>
        <w:ind w:left="1418" w:hanging="284"/>
      </w:pPr>
      <w:r>
        <w:t>Films, Videos and Publications Classification Act 1993.</w:t>
      </w:r>
    </w:p>
    <w:bookmarkStart w:id="44" w:name="_Toc321125848" w:displacedByCustomXml="next"/>
    <w:bookmarkStart w:id="45" w:name="_Toc321122947" w:displacedByCustomXml="next"/>
    <w:bookmarkStart w:id="46" w:name="_Toc446335370" w:displacedByCustomXml="next"/>
    <w:sdt>
      <w:sdtPr>
        <w:id w:val="1456058302"/>
        <w:lock w:val="sdtContentLocked"/>
        <w:placeholder>
          <w:docPart w:val="A5E80BCE747D46D281BB8FDE7ADE9EC5"/>
        </w:placeholder>
      </w:sdtPr>
      <w:sdtEndPr/>
      <w:sdtContent>
        <w:p w14:paraId="2F785409" w14:textId="77777777" w:rsidR="00CD3903" w:rsidRPr="00A41EE7" w:rsidRDefault="00CD3903" w:rsidP="00AF2146">
          <w:pPr>
            <w:pStyle w:val="Heading3"/>
          </w:pPr>
          <w:r w:rsidRPr="00A41EE7">
            <w:t>Legal Compliance</w:t>
          </w:r>
        </w:p>
        <w:bookmarkEnd w:id="44" w:displacedByCustomXml="next"/>
        <w:bookmarkEnd w:id="45" w:displacedByCustomXml="next"/>
      </w:sdtContent>
    </w:sdt>
    <w:bookmarkEnd w:id="46" w:displacedByCustomXml="prev"/>
    <w:p w14:paraId="2A64BA5F" w14:textId="77777777" w:rsidR="006F48BC" w:rsidRPr="00061DC7" w:rsidRDefault="006F48BC" w:rsidP="006F48BC">
      <w:pPr>
        <w:pStyle w:val="Heading3"/>
        <w:spacing w:before="120" w:after="120"/>
        <w:ind w:left="1134"/>
        <w:rPr>
          <w:b w:val="0"/>
          <w:sz w:val="20"/>
          <w:szCs w:val="20"/>
        </w:rPr>
      </w:pPr>
      <w:bookmarkStart w:id="47" w:name="_Toc446335371"/>
      <w:bookmarkStart w:id="48" w:name="_Toc321122948"/>
      <w:bookmarkStart w:id="49" w:name="_Toc321125849"/>
      <w:r w:rsidRPr="00061DC7">
        <w:rPr>
          <w:b w:val="0"/>
          <w:sz w:val="20"/>
          <w:szCs w:val="20"/>
        </w:rPr>
        <w:t>This policy complies with MIT’s statutes, regulations and relevant legislation.</w:t>
      </w:r>
      <w:bookmarkEnd w:id="47"/>
    </w:p>
    <w:bookmarkStart w:id="50" w:name="_Toc446335372" w:displacedByCustomXml="next"/>
    <w:sdt>
      <w:sdtPr>
        <w:id w:val="1935245981"/>
        <w:lock w:val="sdtContentLocked"/>
        <w:placeholder>
          <w:docPart w:val="A5E80BCE747D46D281BB8FDE7ADE9EC5"/>
        </w:placeholder>
      </w:sdtPr>
      <w:sdtEndPr/>
      <w:sdtContent>
        <w:p w14:paraId="52DC183F" w14:textId="77777777" w:rsidR="00CD3903" w:rsidRPr="00A41EE7" w:rsidRDefault="00CD3903" w:rsidP="00AF2146">
          <w:pPr>
            <w:pStyle w:val="Heading3"/>
          </w:pPr>
          <w:r w:rsidRPr="00A41EE7">
            <w:t>Associated documents</w:t>
          </w:r>
        </w:p>
        <w:bookmarkEnd w:id="49" w:displacedByCustomXml="next"/>
        <w:bookmarkEnd w:id="48" w:displacedByCustomXml="next"/>
      </w:sdtContent>
    </w:sdt>
    <w:bookmarkEnd w:id="50" w:displacedByCustomXml="prev"/>
    <w:p w14:paraId="609B1648" w14:textId="67C4127B" w:rsidR="00CD3903" w:rsidRDefault="002E07C6" w:rsidP="00E4373D">
      <w:pPr>
        <w:pStyle w:val="BlockText"/>
      </w:pPr>
      <w:r>
        <w:t>The following documents are associated with this policy:</w:t>
      </w:r>
    </w:p>
    <w:p w14:paraId="0FF8AB27" w14:textId="6A93647C" w:rsidR="00234A7F" w:rsidRDefault="00234A7F" w:rsidP="006F48BC">
      <w:pPr>
        <w:pStyle w:val="ListParagraph"/>
        <w:numPr>
          <w:ilvl w:val="0"/>
          <w:numId w:val="33"/>
        </w:numPr>
        <w:spacing w:before="120" w:after="120"/>
        <w:ind w:left="1418" w:hanging="284"/>
        <w:contextualSpacing w:val="0"/>
        <w:rPr>
          <w:rFonts w:ascii="Arial" w:hAnsi="Arial" w:cs="Arial"/>
          <w:sz w:val="20"/>
          <w:szCs w:val="20"/>
        </w:rPr>
      </w:pPr>
      <w:r>
        <w:rPr>
          <w:rFonts w:ascii="Arial" w:hAnsi="Arial" w:cs="Arial"/>
          <w:sz w:val="20"/>
          <w:szCs w:val="20"/>
        </w:rPr>
        <w:t>Intellectual Property Policy (AM10).</w:t>
      </w:r>
    </w:p>
    <w:p w14:paraId="5A5F7E1C" w14:textId="77777777" w:rsidR="006F48BC" w:rsidRDefault="006F48BC" w:rsidP="006F48BC">
      <w:pPr>
        <w:pStyle w:val="ListParagraph"/>
        <w:numPr>
          <w:ilvl w:val="0"/>
          <w:numId w:val="33"/>
        </w:numPr>
        <w:spacing w:before="120" w:after="120"/>
        <w:ind w:left="1418" w:hanging="284"/>
        <w:contextualSpacing w:val="0"/>
        <w:rPr>
          <w:rFonts w:ascii="Arial" w:hAnsi="Arial" w:cs="Arial"/>
          <w:sz w:val="20"/>
          <w:szCs w:val="20"/>
        </w:rPr>
      </w:pPr>
      <w:r w:rsidRPr="00061DC7">
        <w:rPr>
          <w:rFonts w:ascii="Arial" w:hAnsi="Arial" w:cs="Arial"/>
          <w:sz w:val="20"/>
          <w:szCs w:val="20"/>
        </w:rPr>
        <w:t>Delegated Authorities Policy (FIN2).</w:t>
      </w:r>
    </w:p>
    <w:p w14:paraId="3382E2A8" w14:textId="4C5D89BF" w:rsidR="00234A7F" w:rsidRDefault="00234A7F" w:rsidP="006F48BC">
      <w:pPr>
        <w:pStyle w:val="ListParagraph"/>
        <w:numPr>
          <w:ilvl w:val="0"/>
          <w:numId w:val="33"/>
        </w:numPr>
        <w:spacing w:before="120" w:after="120"/>
        <w:ind w:left="1418" w:hanging="284"/>
        <w:contextualSpacing w:val="0"/>
        <w:rPr>
          <w:rFonts w:ascii="Arial" w:hAnsi="Arial" w:cs="Arial"/>
          <w:sz w:val="20"/>
          <w:szCs w:val="20"/>
        </w:rPr>
      </w:pPr>
      <w:r>
        <w:rPr>
          <w:rFonts w:ascii="Arial" w:hAnsi="Arial" w:cs="Arial"/>
          <w:sz w:val="20"/>
          <w:szCs w:val="20"/>
        </w:rPr>
        <w:t>Procurement Policy (FIN3).</w:t>
      </w:r>
    </w:p>
    <w:p w14:paraId="3F3E194E" w14:textId="5AC3737A" w:rsidR="00234A7F" w:rsidRDefault="00234A7F" w:rsidP="006F48BC">
      <w:pPr>
        <w:pStyle w:val="ListParagraph"/>
        <w:numPr>
          <w:ilvl w:val="0"/>
          <w:numId w:val="33"/>
        </w:numPr>
        <w:spacing w:before="120" w:after="120"/>
        <w:ind w:left="1418" w:hanging="284"/>
        <w:contextualSpacing w:val="0"/>
        <w:rPr>
          <w:rFonts w:ascii="Arial" w:hAnsi="Arial" w:cs="Arial"/>
          <w:sz w:val="20"/>
          <w:szCs w:val="20"/>
        </w:rPr>
      </w:pPr>
      <w:r>
        <w:rPr>
          <w:rFonts w:ascii="Arial" w:hAnsi="Arial" w:cs="Arial"/>
          <w:sz w:val="20"/>
          <w:szCs w:val="20"/>
        </w:rPr>
        <w:t>Agreement Approval Policy (LC1).</w:t>
      </w:r>
    </w:p>
    <w:p w14:paraId="3B7A3802" w14:textId="703DC1E7" w:rsidR="00234A7F" w:rsidRDefault="00234A7F" w:rsidP="006F48BC">
      <w:pPr>
        <w:pStyle w:val="ListParagraph"/>
        <w:numPr>
          <w:ilvl w:val="0"/>
          <w:numId w:val="33"/>
        </w:numPr>
        <w:spacing w:before="120" w:after="120"/>
        <w:ind w:left="1418" w:hanging="284"/>
        <w:contextualSpacing w:val="0"/>
        <w:rPr>
          <w:rFonts w:ascii="Arial" w:hAnsi="Arial" w:cs="Arial"/>
          <w:sz w:val="20"/>
          <w:szCs w:val="20"/>
        </w:rPr>
      </w:pPr>
      <w:r>
        <w:rPr>
          <w:rFonts w:ascii="Arial" w:hAnsi="Arial" w:cs="Arial"/>
          <w:sz w:val="20"/>
          <w:szCs w:val="20"/>
        </w:rPr>
        <w:t>Fraud Prevention and Response Policy (LC2).</w:t>
      </w:r>
    </w:p>
    <w:p w14:paraId="739E39DD" w14:textId="77777777" w:rsidR="006F48BC" w:rsidRDefault="006F48BC" w:rsidP="006F48BC">
      <w:pPr>
        <w:pStyle w:val="ListParagraph"/>
        <w:numPr>
          <w:ilvl w:val="0"/>
          <w:numId w:val="33"/>
        </w:numPr>
        <w:spacing w:before="120" w:after="120"/>
        <w:ind w:left="1418" w:hanging="284"/>
        <w:contextualSpacing w:val="0"/>
        <w:rPr>
          <w:rFonts w:ascii="Arial" w:hAnsi="Arial" w:cs="Arial"/>
          <w:sz w:val="20"/>
          <w:szCs w:val="20"/>
        </w:rPr>
      </w:pPr>
      <w:r w:rsidRPr="00061DC7">
        <w:rPr>
          <w:rFonts w:ascii="Arial" w:hAnsi="Arial" w:cs="Arial"/>
          <w:sz w:val="20"/>
          <w:szCs w:val="20"/>
        </w:rPr>
        <w:t>Records Management Policy (LC4).</w:t>
      </w:r>
    </w:p>
    <w:p w14:paraId="0C449E6D" w14:textId="71B9EF16" w:rsidR="00234A7F" w:rsidRDefault="00234A7F" w:rsidP="006F48BC">
      <w:pPr>
        <w:pStyle w:val="ListParagraph"/>
        <w:numPr>
          <w:ilvl w:val="0"/>
          <w:numId w:val="33"/>
        </w:numPr>
        <w:spacing w:before="120" w:after="120"/>
        <w:ind w:left="1418" w:hanging="284"/>
        <w:contextualSpacing w:val="0"/>
        <w:rPr>
          <w:rFonts w:ascii="Arial" w:hAnsi="Arial" w:cs="Arial"/>
          <w:sz w:val="20"/>
          <w:szCs w:val="20"/>
        </w:rPr>
      </w:pPr>
      <w:r>
        <w:rPr>
          <w:rFonts w:ascii="Arial" w:hAnsi="Arial" w:cs="Arial"/>
          <w:sz w:val="20"/>
          <w:szCs w:val="20"/>
        </w:rPr>
        <w:t>Information Act Requests Policy (LC5).</w:t>
      </w:r>
    </w:p>
    <w:p w14:paraId="3F7E7777" w14:textId="05161D8D" w:rsidR="00234A7F" w:rsidRPr="00061DC7" w:rsidRDefault="00234A7F" w:rsidP="006F48BC">
      <w:pPr>
        <w:pStyle w:val="ListParagraph"/>
        <w:numPr>
          <w:ilvl w:val="0"/>
          <w:numId w:val="33"/>
        </w:numPr>
        <w:spacing w:before="120" w:after="120"/>
        <w:ind w:left="1418" w:hanging="284"/>
        <w:contextualSpacing w:val="0"/>
        <w:rPr>
          <w:rFonts w:ascii="Arial" w:hAnsi="Arial" w:cs="Arial"/>
          <w:sz w:val="20"/>
          <w:szCs w:val="20"/>
        </w:rPr>
      </w:pPr>
      <w:r>
        <w:rPr>
          <w:rFonts w:ascii="Arial" w:hAnsi="Arial" w:cs="Arial"/>
          <w:sz w:val="20"/>
          <w:szCs w:val="20"/>
        </w:rPr>
        <w:t xml:space="preserve">Privacy Policy (LC6). </w:t>
      </w:r>
    </w:p>
    <w:p w14:paraId="0B9D3066" w14:textId="28566557" w:rsidR="00D47475" w:rsidRDefault="00D47475" w:rsidP="002E07C6">
      <w:pPr>
        <w:pStyle w:val="BlockText"/>
        <w:numPr>
          <w:ilvl w:val="0"/>
          <w:numId w:val="33"/>
        </w:numPr>
        <w:ind w:left="1418" w:hanging="284"/>
      </w:pPr>
      <w:r>
        <w:t>New Zealand Government Cloud Computing Risk and Assurance Framework.</w:t>
      </w:r>
    </w:p>
    <w:p w14:paraId="610D1B61" w14:textId="77777777" w:rsidR="002E07C6" w:rsidRDefault="002E07C6" w:rsidP="00E4373D">
      <w:pPr>
        <w:pStyle w:val="BlockText"/>
      </w:pPr>
    </w:p>
    <w:p w14:paraId="38B2A97D" w14:textId="77777777" w:rsidR="00CD3903" w:rsidRPr="00112513" w:rsidRDefault="00CD3903" w:rsidP="00CD3903">
      <w:pPr>
        <w:pStyle w:val="Bullet1"/>
        <w:numPr>
          <w:ilvl w:val="0"/>
          <w:numId w:val="0"/>
        </w:numPr>
        <w:ind w:left="1531"/>
      </w:pPr>
    </w:p>
    <w:p w14:paraId="391CF860" w14:textId="77777777" w:rsidR="008B3D68" w:rsidRPr="00112513" w:rsidRDefault="008B3D68">
      <w:pPr>
        <w:pStyle w:val="Bullet1"/>
        <w:numPr>
          <w:ilvl w:val="0"/>
          <w:numId w:val="0"/>
        </w:numPr>
        <w:ind w:left="1531"/>
      </w:pPr>
    </w:p>
    <w:sectPr w:rsidR="008B3D68" w:rsidRPr="00112513" w:rsidSect="00CD3903">
      <w:headerReference w:type="default" r:id="rId9"/>
      <w:footerReference w:type="even" r:id="rId10"/>
      <w:footerReference w:type="default" r:id="rId11"/>
      <w:pgSz w:w="11907" w:h="16840" w:code="9"/>
      <w:pgMar w:top="2410" w:right="1134" w:bottom="567" w:left="1134"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4057C" w14:textId="77777777" w:rsidR="004B608B" w:rsidRDefault="004B608B" w:rsidP="00CD3903">
      <w:pPr>
        <w:pStyle w:val="DocumentTitle"/>
      </w:pPr>
      <w:r>
        <w:separator/>
      </w:r>
    </w:p>
  </w:endnote>
  <w:endnote w:type="continuationSeparator" w:id="0">
    <w:p w14:paraId="36C41555" w14:textId="77777777" w:rsidR="004B608B" w:rsidRDefault="004B608B" w:rsidP="00CD3903">
      <w:pPr>
        <w:pStyle w:val="Document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Italic">
    <w:panose1 w:val="020B0604020202090204"/>
    <w:charset w:val="00"/>
    <w:family w:val="auto"/>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8F4F8" w14:textId="77777777" w:rsidR="00CD2431" w:rsidRDefault="00CD2431" w:rsidP="00CD39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2A98DF" w14:textId="77777777" w:rsidR="00CD2431" w:rsidRDefault="00CD2431" w:rsidP="00CD390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5B682" w14:textId="77777777" w:rsidR="00CD2431" w:rsidRDefault="00CD2431" w:rsidP="00CD3903">
    <w:pPr>
      <w:pStyle w:val="Footer"/>
      <w:ind w:right="360"/>
    </w:pPr>
    <w:r>
      <w:rPr>
        <w:noProof/>
        <w:lang w:val="en-NZ" w:eastAsia="en-NZ"/>
      </w:rPr>
      <mc:AlternateContent>
        <mc:Choice Requires="wps">
          <w:drawing>
            <wp:anchor distT="0" distB="0" distL="114300" distR="114300" simplePos="0" relativeHeight="251655168" behindDoc="0" locked="0" layoutInCell="1" allowOverlap="1" wp14:anchorId="54E60105" wp14:editId="16C1FE00">
              <wp:simplePos x="0" y="0"/>
              <wp:positionH relativeFrom="column">
                <wp:posOffset>-790575</wp:posOffset>
              </wp:positionH>
              <wp:positionV relativeFrom="paragraph">
                <wp:posOffset>90805</wp:posOffset>
              </wp:positionV>
              <wp:extent cx="7991475" cy="561975"/>
              <wp:effectExtent l="15240" t="15240" r="13335" b="4191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1475" cy="561975"/>
                      </a:xfrm>
                      <a:prstGeom prst="rect">
                        <a:avLst/>
                      </a:prstGeom>
                      <a:solidFill>
                        <a:srgbClr val="931823"/>
                      </a:solidFill>
                      <a:ln w="19050">
                        <a:solidFill>
                          <a:srgbClr val="4A7EBB"/>
                        </a:solidFill>
                        <a:miter lim="800000"/>
                        <a:headEnd/>
                        <a:tailEnd/>
                      </a:ln>
                      <a:effectLst>
                        <a:outerShdw blurRad="38100" dist="25400" dir="5400000" algn="ctr" rotWithShape="0">
                          <a:srgbClr val="80808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9A369" id="Rectangle 9" o:spid="_x0000_s1026" style="position:absolute;margin-left:-62.25pt;margin-top:7.15pt;width:629.25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" fillcolor="#931823" strokecolor="#4a7ebb" strokeweight="1.5pt">
              <v:shadow on="t" opacity="22938f" offset="0"/>
              <v:textbox inset=",7.2pt,,7.2pt"/>
            </v:rect>
          </w:pict>
        </mc:Fallback>
      </mc:AlternateContent>
    </w:r>
    <w:r>
      <w:rPr>
        <w:noProof/>
        <w:lang w:val="en-NZ" w:eastAsia="en-NZ"/>
      </w:rPr>
      <mc:AlternateContent>
        <mc:Choice Requires="wps">
          <w:drawing>
            <wp:anchor distT="0" distB="0" distL="114300" distR="114300" simplePos="0" relativeHeight="251658240" behindDoc="0" locked="0" layoutInCell="1" allowOverlap="1" wp14:anchorId="2B3A1008" wp14:editId="6D85C810">
              <wp:simplePos x="0" y="0"/>
              <wp:positionH relativeFrom="column">
                <wp:posOffset>6286500</wp:posOffset>
              </wp:positionH>
              <wp:positionV relativeFrom="paragraph">
                <wp:posOffset>-33020</wp:posOffset>
              </wp:positionV>
              <wp:extent cx="457200" cy="457200"/>
              <wp:effectExtent l="0" t="0" r="3810" b="2540"/>
              <wp:wrapTight wrapText="bothSides">
                <wp:wrapPolygon edited="0">
                  <wp:start x="0" y="0"/>
                  <wp:lineTo x="21600" y="0"/>
                  <wp:lineTo x="21600" y="21600"/>
                  <wp:lineTo x="0" y="21600"/>
                  <wp:lineTo x="0" y="0"/>
                </wp:wrapPolygon>
              </wp:wrapTight>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9F813" w14:textId="77777777" w:rsidR="00CD2431" w:rsidRPr="0002540A" w:rsidRDefault="00CD2431" w:rsidP="00CD3903">
                          <w:pPr>
                            <w:pStyle w:val="Footer"/>
                            <w:rPr>
                              <w:rStyle w:val="PageNumber"/>
                            </w:rPr>
                          </w:pPr>
                          <w:r w:rsidRPr="0002540A">
                            <w:rPr>
                              <w:rStyle w:val="PageNumber"/>
                            </w:rPr>
                            <w:fldChar w:fldCharType="begin"/>
                          </w:r>
                          <w:r w:rsidRPr="0002540A">
                            <w:rPr>
                              <w:rStyle w:val="PageNumber"/>
                            </w:rPr>
                            <w:instrText xml:space="preserve">PAGE  </w:instrText>
                          </w:r>
                          <w:r w:rsidRPr="0002540A">
                            <w:rPr>
                              <w:rStyle w:val="PageNumber"/>
                            </w:rPr>
                            <w:fldChar w:fldCharType="separate"/>
                          </w:r>
                          <w:r w:rsidR="00BA4709">
                            <w:rPr>
                              <w:rStyle w:val="PageNumber"/>
                              <w:noProof/>
                            </w:rPr>
                            <w:t>1</w:t>
                          </w:r>
                          <w:r w:rsidRPr="0002540A">
                            <w:rPr>
                              <w:rStyle w:val="PageNumber"/>
                            </w:rPr>
                            <w:fldChar w:fldCharType="end"/>
                          </w:r>
                        </w:p>
                        <w:p w14:paraId="250EE558" w14:textId="77777777" w:rsidR="00CD2431" w:rsidRPr="003A4553" w:rsidRDefault="00CD2431" w:rsidP="00CD3903"/>
                      </w:txbxContent>
                    </wps:txbx>
                    <wps:bodyPr rot="0" vert="horz" wrap="square" lIns="91440" tIns="12600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3A1008" id="_x0000_t202" coordsize="21600,21600" o:spt="202" path="m,l,21600r21600,l21600,xe">
              <v:stroke joinstyle="miter"/>
              <v:path gradientshapeok="t" o:connecttype="rect"/>
            </v:shapetype>
            <v:shape id="Text Box 7" o:spid="_x0000_s1028" type="#_x0000_t202" style="position:absolute;margin-left:495pt;margin-top:-2.6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" filled="f" stroked="f">
              <v:textbox inset=",3.5mm,,7.2pt">
                <w:txbxContent>
                  <w:p w14:paraId="60D9F813" w14:textId="77777777" w:rsidR="00CD2431" w:rsidRPr="0002540A" w:rsidRDefault="00CD2431" w:rsidP="00CD3903">
                    <w:pPr>
                      <w:pStyle w:val="Footer"/>
                      <w:rPr>
                        <w:rStyle w:val="PageNumber"/>
                      </w:rPr>
                    </w:pPr>
                    <w:r w:rsidRPr="0002540A">
                      <w:rPr>
                        <w:rStyle w:val="PageNumber"/>
                      </w:rPr>
                      <w:fldChar w:fldCharType="begin"/>
                    </w:r>
                    <w:r w:rsidRPr="0002540A">
                      <w:rPr>
                        <w:rStyle w:val="PageNumber"/>
                      </w:rPr>
                      <w:instrText xml:space="preserve">PAGE  </w:instrText>
                    </w:r>
                    <w:r w:rsidRPr="0002540A">
                      <w:rPr>
                        <w:rStyle w:val="PageNumber"/>
                      </w:rPr>
                      <w:fldChar w:fldCharType="separate"/>
                    </w:r>
                    <w:r w:rsidR="00BA4709">
                      <w:rPr>
                        <w:rStyle w:val="PageNumber"/>
                        <w:noProof/>
                      </w:rPr>
                      <w:t>1</w:t>
                    </w:r>
                    <w:r w:rsidRPr="0002540A">
                      <w:rPr>
                        <w:rStyle w:val="PageNumber"/>
                      </w:rPr>
                      <w:fldChar w:fldCharType="end"/>
                    </w:r>
                  </w:p>
                  <w:p w14:paraId="250EE558" w14:textId="77777777" w:rsidR="00CD2431" w:rsidRPr="003A4553" w:rsidRDefault="00CD2431" w:rsidP="00CD3903"/>
                </w:txbxContent>
              </v:textbox>
              <w10:wrap type="tight"/>
            </v:shape>
          </w:pict>
        </mc:Fallback>
      </mc:AlternateContent>
    </w:r>
    <w:r>
      <w:rPr>
        <w:noProof/>
        <w:lang w:val="en-NZ" w:eastAsia="en-NZ"/>
      </w:rPr>
      <w:drawing>
        <wp:anchor distT="0" distB="0" distL="114300" distR="114300" simplePos="0" relativeHeight="251656192" behindDoc="0" locked="0" layoutInCell="1" allowOverlap="1" wp14:anchorId="405900C1" wp14:editId="317EB82B">
          <wp:simplePos x="0" y="0"/>
          <wp:positionH relativeFrom="column">
            <wp:posOffset>-720090</wp:posOffset>
          </wp:positionH>
          <wp:positionV relativeFrom="paragraph">
            <wp:posOffset>16510</wp:posOffset>
          </wp:positionV>
          <wp:extent cx="7578090" cy="407670"/>
          <wp:effectExtent l="0" t="0" r="0" b="0"/>
          <wp:wrapSquare wrapText="bothSides"/>
          <wp:docPr id="4" name="Picture 4" descr="MIT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T 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8090" cy="407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NZ" w:eastAsia="en-NZ"/>
      </w:rPr>
      <mc:AlternateContent>
        <mc:Choice Requires="wps">
          <w:drawing>
            <wp:anchor distT="0" distB="0" distL="114300" distR="114300" simplePos="0" relativeHeight="251657216" behindDoc="0" locked="0" layoutInCell="1" allowOverlap="1" wp14:anchorId="656C0B1B" wp14:editId="7CF30191">
              <wp:simplePos x="0" y="0"/>
              <wp:positionH relativeFrom="column">
                <wp:posOffset>-457200</wp:posOffset>
              </wp:positionH>
              <wp:positionV relativeFrom="paragraph">
                <wp:posOffset>81280</wp:posOffset>
              </wp:positionV>
              <wp:extent cx="1257300" cy="342900"/>
              <wp:effectExtent l="0" t="0" r="3810" b="381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6D93D" w14:textId="77777777" w:rsidR="00CD2431" w:rsidRPr="00CD3903" w:rsidRDefault="00CD2431">
                          <w:pPr>
                            <w:rPr>
                              <w:rFonts w:ascii="Arial" w:hAnsi="Arial"/>
                              <w:i/>
                              <w:color w:val="262626"/>
                              <w:sz w:val="18"/>
                            </w:rPr>
                          </w:pPr>
                          <w:r>
                            <w:rPr>
                              <w:rFonts w:ascii="Arial" w:hAnsi="Arial"/>
                              <w:i/>
                              <w:color w:val="262626"/>
                              <w:sz w:val="18"/>
                            </w:rPr>
                            <w:t>Published 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C0B1B" id="Text Box 6" o:spid="_x0000_s1029" type="#_x0000_t202" style="position:absolute;margin-left:-36pt;margin-top:6.4pt;width:99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" filled="f" stroked="f">
              <v:textbox inset=",7.2pt,,7.2pt">
                <w:txbxContent>
                  <w:p w14:paraId="3F86D93D" w14:textId="77777777" w:rsidR="00CD2431" w:rsidRPr="00CD3903" w:rsidRDefault="00CD2431">
                    <w:pPr>
                      <w:rPr>
                        <w:rFonts w:ascii="Arial" w:hAnsi="Arial"/>
                        <w:i/>
                        <w:color w:val="262626"/>
                        <w:sz w:val="18"/>
                      </w:rPr>
                    </w:pPr>
                    <w:r>
                      <w:rPr>
                        <w:rFonts w:ascii="Arial" w:hAnsi="Arial"/>
                        <w:i/>
                        <w:color w:val="262626"/>
                        <w:sz w:val="18"/>
                      </w:rPr>
                      <w:t>Published Date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E5146" w14:textId="77777777" w:rsidR="004B608B" w:rsidRDefault="004B608B" w:rsidP="00CD3903">
      <w:pPr>
        <w:pStyle w:val="DocumentTitle"/>
      </w:pPr>
      <w:r>
        <w:separator/>
      </w:r>
    </w:p>
  </w:footnote>
  <w:footnote w:type="continuationSeparator" w:id="0">
    <w:p w14:paraId="2F6801A3" w14:textId="77777777" w:rsidR="004B608B" w:rsidRDefault="004B608B" w:rsidP="00CD3903">
      <w:pPr>
        <w:pStyle w:val="DocumentTitle"/>
      </w:pPr>
      <w:r>
        <w:continuationSeparator/>
      </w:r>
    </w:p>
  </w:footnote>
  <w:footnote w:id="1">
    <w:p w14:paraId="2A1615FA" w14:textId="77777777" w:rsidR="00CD2431" w:rsidRPr="00AC164E" w:rsidRDefault="00CD2431" w:rsidP="00145A6A">
      <w:pPr>
        <w:pStyle w:val="FootnoteText"/>
        <w:rPr>
          <w:sz w:val="18"/>
          <w:szCs w:val="18"/>
          <w:lang w:val="en-AU"/>
        </w:rPr>
      </w:pPr>
      <w:r w:rsidRPr="00AC164E">
        <w:rPr>
          <w:rStyle w:val="FootnoteReference"/>
          <w:sz w:val="18"/>
          <w:szCs w:val="18"/>
        </w:rPr>
        <w:footnoteRef/>
      </w:r>
      <w:r w:rsidRPr="00AC164E">
        <w:rPr>
          <w:sz w:val="18"/>
          <w:szCs w:val="18"/>
        </w:rPr>
        <w:t xml:space="preserve"> http://www.nist.gov/itl/cloud/index.cfm</w:t>
      </w:r>
    </w:p>
  </w:footnote>
  <w:footnote w:id="2">
    <w:p w14:paraId="262D0426" w14:textId="77777777" w:rsidR="00CD2431" w:rsidRPr="00AC164E" w:rsidRDefault="00CD2431" w:rsidP="009222C8">
      <w:pPr>
        <w:pStyle w:val="FootnoteText"/>
        <w:rPr>
          <w:sz w:val="18"/>
          <w:szCs w:val="18"/>
          <w:lang w:val="en-AU"/>
        </w:rPr>
      </w:pPr>
      <w:r w:rsidRPr="00AC164E">
        <w:rPr>
          <w:rStyle w:val="FootnoteReference"/>
          <w:sz w:val="18"/>
          <w:szCs w:val="18"/>
        </w:rPr>
        <w:footnoteRef/>
      </w:r>
      <w:r w:rsidRPr="00AC164E">
        <w:rPr>
          <w:sz w:val="18"/>
          <w:szCs w:val="18"/>
        </w:rPr>
        <w:t xml:space="preserve"> http://ict.govt.nz/assets/Uploads/Documents/CabMin12-cloud-computing.pdf</w:t>
      </w:r>
    </w:p>
  </w:footnote>
  <w:footnote w:id="3">
    <w:p w14:paraId="2804F05C" w14:textId="77777777" w:rsidR="00CD2431" w:rsidRPr="00AC164E" w:rsidRDefault="00CD2431" w:rsidP="009222C8">
      <w:pPr>
        <w:pStyle w:val="FootnoteText"/>
        <w:rPr>
          <w:sz w:val="18"/>
          <w:szCs w:val="18"/>
          <w:lang w:val="en-AU"/>
        </w:rPr>
      </w:pPr>
      <w:r w:rsidRPr="00AC164E">
        <w:rPr>
          <w:rStyle w:val="FootnoteReference"/>
          <w:sz w:val="18"/>
          <w:szCs w:val="18"/>
        </w:rPr>
        <w:footnoteRef/>
      </w:r>
      <w:r w:rsidRPr="00AC164E">
        <w:rPr>
          <w:sz w:val="18"/>
          <w:szCs w:val="18"/>
        </w:rPr>
        <w:t xml:space="preserve"> https://www.ict.govt.nz/guidance-and-resources/information-management/requirements-for-cloud-computing/</w:t>
      </w:r>
    </w:p>
  </w:footnote>
  <w:footnote w:id="4">
    <w:p w14:paraId="6085C8FE" w14:textId="77777777" w:rsidR="00CD2431" w:rsidRPr="000F5A93" w:rsidRDefault="00CD2431" w:rsidP="009222C8">
      <w:pPr>
        <w:pStyle w:val="FootnoteText"/>
        <w:rPr>
          <w:lang w:val="en-AU"/>
        </w:rPr>
      </w:pPr>
      <w:r w:rsidRPr="00AC164E">
        <w:rPr>
          <w:rStyle w:val="FootnoteReference"/>
          <w:sz w:val="18"/>
          <w:szCs w:val="18"/>
        </w:rPr>
        <w:footnoteRef/>
      </w:r>
      <w:r w:rsidRPr="00AC164E">
        <w:rPr>
          <w:sz w:val="18"/>
          <w:szCs w:val="18"/>
        </w:rPr>
        <w:t xml:space="preserve"> https://www.ict.govt.nz/assets/Cabinet-Papers/Cab-Minute-Cloud-Computing-Risk-and-Assurance-Framework-Oct-2013.pdf</w:t>
      </w:r>
    </w:p>
  </w:footnote>
  <w:footnote w:id="5">
    <w:p w14:paraId="077CB4BC" w14:textId="77777777" w:rsidR="00CD2431" w:rsidRPr="00AC164E" w:rsidRDefault="00CD2431" w:rsidP="009222C8">
      <w:pPr>
        <w:pStyle w:val="FootnoteText"/>
        <w:rPr>
          <w:sz w:val="18"/>
          <w:szCs w:val="18"/>
          <w:lang w:val="en-AU"/>
        </w:rPr>
      </w:pPr>
      <w:r w:rsidRPr="00AC164E">
        <w:rPr>
          <w:rStyle w:val="FootnoteReference"/>
          <w:sz w:val="18"/>
          <w:szCs w:val="18"/>
        </w:rPr>
        <w:footnoteRef/>
      </w:r>
      <w:r w:rsidRPr="00AC164E">
        <w:rPr>
          <w:sz w:val="18"/>
          <w:szCs w:val="18"/>
        </w:rPr>
        <w:t xml:space="preserve"> http://www.ict.govt.nz/assets/ICT-System-Assurance/Cloud-Computing-Information-Security-and-Privacy-Considerations-FINAL2.pdf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7E818" w14:textId="77777777" w:rsidR="00CD2431" w:rsidRDefault="00CD2431">
    <w:pPr>
      <w:pStyle w:val="Header"/>
    </w:pPr>
    <w:r>
      <w:rPr>
        <w:noProof/>
        <w:lang w:val="en-NZ" w:eastAsia="en-NZ"/>
      </w:rPr>
      <w:drawing>
        <wp:anchor distT="0" distB="0" distL="114300" distR="114300" simplePos="0" relativeHeight="251659264" behindDoc="1" locked="0" layoutInCell="1" allowOverlap="1" wp14:anchorId="04546913" wp14:editId="354FBF9E">
          <wp:simplePos x="0" y="0"/>
          <wp:positionH relativeFrom="column">
            <wp:posOffset>-796290</wp:posOffset>
          </wp:positionH>
          <wp:positionV relativeFrom="paragraph">
            <wp:posOffset>-297815</wp:posOffset>
          </wp:positionV>
          <wp:extent cx="7658100" cy="1028700"/>
          <wp:effectExtent l="0" t="0" r="0" b="0"/>
          <wp:wrapNone/>
          <wp:docPr id="10" name="Picture 10" descr="MI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T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NZ" w:eastAsia="en-NZ"/>
      </w:rPr>
      <mc:AlternateContent>
        <mc:Choice Requires="wps">
          <w:drawing>
            <wp:anchor distT="0" distB="0" distL="114300" distR="114300" simplePos="0" relativeHeight="251660288" behindDoc="0" locked="0" layoutInCell="1" allowOverlap="1" wp14:anchorId="4F76CF56" wp14:editId="78A97B5E">
              <wp:simplePos x="0" y="0"/>
              <wp:positionH relativeFrom="column">
                <wp:posOffset>3771900</wp:posOffset>
              </wp:positionH>
              <wp:positionV relativeFrom="paragraph">
                <wp:posOffset>-73025</wp:posOffset>
              </wp:positionV>
              <wp:extent cx="2971800" cy="457200"/>
              <wp:effectExtent l="0" t="0" r="0" b="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480A7" w14:textId="0B023368" w:rsidR="00CD2431" w:rsidRPr="00CD3903" w:rsidRDefault="00CD2431">
                          <w:pPr>
                            <w:rPr>
                              <w:rFonts w:ascii="Arial Italic" w:hAnsi="Arial Italic"/>
                              <w:color w:val="FFFFFF"/>
                              <w:sz w:val="17"/>
                            </w:rPr>
                          </w:pPr>
                          <w:bookmarkStart w:id="51" w:name="PolicyName2"/>
                          <w:r>
                            <w:rPr>
                              <w:rFonts w:ascii="Arial Italic" w:hAnsi="Arial Italic"/>
                              <w:color w:val="FFFFFF"/>
                              <w:sz w:val="17"/>
                            </w:rPr>
                            <w:t>C</w:t>
                          </w:r>
                          <w:bookmarkEnd w:id="51"/>
                          <w:r>
                            <w:rPr>
                              <w:rFonts w:ascii="Arial Italic" w:hAnsi="Arial Italic"/>
                              <w:color w:val="FFFFFF"/>
                              <w:sz w:val="17"/>
                            </w:rPr>
                            <w:t xml:space="preserve">loud Computing Policy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6CF56" id="_x0000_t202" coordsize="21600,21600" o:spt="202" path="m,l,21600r21600,l21600,xe">
              <v:stroke joinstyle="miter"/>
              <v:path gradientshapeok="t" o:connecttype="rect"/>
            </v:shapetype>
            <v:shape id="Text Box 11" o:spid="_x0000_s1027" type="#_x0000_t202" style="position:absolute;left:0;text-align:left;margin-left:297pt;margin-top:-5.75pt;width:23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" filled="f" stroked="f">
              <v:textbox inset=",7.2pt,,7.2pt">
                <w:txbxContent>
                  <w:p w14:paraId="52E480A7" w14:textId="0B023368" w:rsidR="00CD2431" w:rsidRPr="00CD3903" w:rsidRDefault="00CD2431">
                    <w:pPr>
                      <w:rPr>
                        <w:rFonts w:ascii="Arial Italic" w:hAnsi="Arial Italic"/>
                        <w:color w:val="FFFFFF"/>
                        <w:sz w:val="17"/>
                      </w:rPr>
                    </w:pPr>
                    <w:bookmarkStart w:id="52" w:name="PolicyName2"/>
                    <w:r>
                      <w:rPr>
                        <w:rFonts w:ascii="Arial Italic" w:hAnsi="Arial Italic"/>
                        <w:color w:val="FFFFFF"/>
                        <w:sz w:val="17"/>
                      </w:rPr>
                      <w:t>C</w:t>
                    </w:r>
                    <w:bookmarkEnd w:id="52"/>
                    <w:r>
                      <w:rPr>
                        <w:rFonts w:ascii="Arial Italic" w:hAnsi="Arial Italic"/>
                        <w:color w:val="FFFFFF"/>
                        <w:sz w:val="17"/>
                      </w:rPr>
                      <w:t xml:space="preserve">loud Computing Policy </w:t>
                    </w:r>
                  </w:p>
                </w:txbxContent>
              </v:textbox>
            </v:shape>
          </w:pict>
        </mc:Fallback>
      </mc:AlternateConten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50DC0"/>
    <w:multiLevelType w:val="hybridMultilevel"/>
    <w:tmpl w:val="41469414"/>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8A7F35"/>
    <w:multiLevelType w:val="hybridMultilevel"/>
    <w:tmpl w:val="7E589C30"/>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A061EC"/>
    <w:multiLevelType w:val="hybridMultilevel"/>
    <w:tmpl w:val="EA265224"/>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16493C"/>
    <w:multiLevelType w:val="hybridMultilevel"/>
    <w:tmpl w:val="999447B2"/>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E7576E"/>
    <w:multiLevelType w:val="hybridMultilevel"/>
    <w:tmpl w:val="B4802B7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171E05F5"/>
    <w:multiLevelType w:val="hybridMultilevel"/>
    <w:tmpl w:val="84703428"/>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7D75DE"/>
    <w:multiLevelType w:val="hybridMultilevel"/>
    <w:tmpl w:val="26FA901C"/>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7" w15:restartNumberingAfterBreak="0">
    <w:nsid w:val="1DC5335D"/>
    <w:multiLevelType w:val="hybridMultilevel"/>
    <w:tmpl w:val="126AC1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8E2F74"/>
    <w:multiLevelType w:val="hybridMultilevel"/>
    <w:tmpl w:val="AC222A0E"/>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F1045D"/>
    <w:multiLevelType w:val="hybridMultilevel"/>
    <w:tmpl w:val="486CBE84"/>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4D5DFE"/>
    <w:multiLevelType w:val="hybridMultilevel"/>
    <w:tmpl w:val="80E43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E71670"/>
    <w:multiLevelType w:val="hybridMultilevel"/>
    <w:tmpl w:val="E034DE68"/>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1316F2"/>
    <w:multiLevelType w:val="hybridMultilevel"/>
    <w:tmpl w:val="3118C30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3F880948"/>
    <w:multiLevelType w:val="hybridMultilevel"/>
    <w:tmpl w:val="60702A64"/>
    <w:lvl w:ilvl="0" w:tplc="D3BA3DAC">
      <w:start w:val="1"/>
      <w:numFmt w:val="bullet"/>
      <w:pStyle w:val="TableB1"/>
      <w:lvlText w:val=""/>
      <w:lvlJc w:val="left"/>
      <w:pPr>
        <w:tabs>
          <w:tab w:val="num" w:pos="1851"/>
        </w:tabs>
        <w:ind w:left="1851" w:hanging="360"/>
      </w:pPr>
      <w:rPr>
        <w:rFonts w:ascii="Wingdings" w:hAnsi="Wingdings" w:hint="default"/>
        <w:sz w:val="24"/>
        <w:szCs w:val="24"/>
      </w:rPr>
    </w:lvl>
    <w:lvl w:ilvl="1" w:tplc="04090003" w:tentative="1">
      <w:start w:val="1"/>
      <w:numFmt w:val="bullet"/>
      <w:lvlText w:val="o"/>
      <w:lvlJc w:val="left"/>
      <w:pPr>
        <w:tabs>
          <w:tab w:val="num" w:pos="1797"/>
        </w:tabs>
        <w:ind w:left="1797" w:hanging="360"/>
      </w:pPr>
      <w:rPr>
        <w:rFonts w:ascii="Courier New" w:hAnsi="Courier New" w:cs="Arial"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Arial"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Arial"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B054AAD"/>
    <w:multiLevelType w:val="hybridMultilevel"/>
    <w:tmpl w:val="FB5821DE"/>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332CFE"/>
    <w:multiLevelType w:val="hybridMultilevel"/>
    <w:tmpl w:val="0A5A5D20"/>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33B4755"/>
    <w:multiLevelType w:val="hybridMultilevel"/>
    <w:tmpl w:val="B7F48CA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53900729"/>
    <w:multiLevelType w:val="hybridMultilevel"/>
    <w:tmpl w:val="9746E54C"/>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8173310"/>
    <w:multiLevelType w:val="multilevel"/>
    <w:tmpl w:val="999447B2"/>
    <w:lvl w:ilvl="0">
      <w:start w:val="1"/>
      <w:numFmt w:val="decimal"/>
      <w:lvlRestart w:val="0"/>
      <w:lvlText w:val="%1."/>
      <w:lvlJc w:val="left"/>
      <w:pPr>
        <w:tabs>
          <w:tab w:val="num" w:pos="720"/>
        </w:tabs>
        <w:ind w:left="720" w:hanging="36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A9F51E9"/>
    <w:multiLevelType w:val="hybridMultilevel"/>
    <w:tmpl w:val="2646C0EC"/>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B691696"/>
    <w:multiLevelType w:val="hybridMultilevel"/>
    <w:tmpl w:val="DBA2828C"/>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CA31931"/>
    <w:multiLevelType w:val="hybridMultilevel"/>
    <w:tmpl w:val="57DE34E0"/>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D16507D"/>
    <w:multiLevelType w:val="hybridMultilevel"/>
    <w:tmpl w:val="6A2EED04"/>
    <w:lvl w:ilvl="0" w:tplc="64BE4E68">
      <w:start w:val="1"/>
      <w:numFmt w:val="bullet"/>
      <w:pStyle w:val="TableBullet2"/>
      <w:lvlText w:val=""/>
      <w:lvlJc w:val="left"/>
      <w:pPr>
        <w:tabs>
          <w:tab w:val="num" w:pos="1800"/>
        </w:tabs>
        <w:ind w:left="1800" w:hanging="360"/>
      </w:pPr>
      <w:rPr>
        <w:rFonts w:ascii="Wingdings" w:hAnsi="Wingdings" w:hint="default"/>
        <w:color w:val="80808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4818AE"/>
    <w:multiLevelType w:val="singleLevel"/>
    <w:tmpl w:val="90C410E6"/>
    <w:lvl w:ilvl="0">
      <w:start w:val="1"/>
      <w:numFmt w:val="bullet"/>
      <w:pStyle w:val="Bullet1"/>
      <w:lvlText w:val=""/>
      <w:lvlJc w:val="left"/>
      <w:pPr>
        <w:tabs>
          <w:tab w:val="num" w:pos="1494"/>
        </w:tabs>
        <w:ind w:left="1494" w:hanging="360"/>
      </w:pPr>
      <w:rPr>
        <w:rFonts w:ascii="Wingdings" w:hAnsi="Wingdings" w:hint="default"/>
        <w:sz w:val="24"/>
        <w:szCs w:val="24"/>
      </w:rPr>
    </w:lvl>
  </w:abstractNum>
  <w:abstractNum w:abstractNumId="24" w15:restartNumberingAfterBreak="0">
    <w:nsid w:val="5FEC25DC"/>
    <w:multiLevelType w:val="hybridMultilevel"/>
    <w:tmpl w:val="CC92B5F2"/>
    <w:lvl w:ilvl="0" w:tplc="BB1A699A">
      <w:start w:val="1"/>
      <w:numFmt w:val="decimal"/>
      <w:pStyle w:val="NumberText1"/>
      <w:lvlText w:val="%1."/>
      <w:lvlJc w:val="left"/>
      <w:pPr>
        <w:tabs>
          <w:tab w:val="num" w:pos="407"/>
        </w:tabs>
        <w:ind w:left="407" w:hanging="227"/>
      </w:pPr>
      <w:rPr>
        <w:rFonts w:hint="default"/>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27617E6"/>
    <w:multiLevelType w:val="hybridMultilevel"/>
    <w:tmpl w:val="DE8C3856"/>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0544C2"/>
    <w:multiLevelType w:val="hybridMultilevel"/>
    <w:tmpl w:val="0C94D102"/>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7" w15:restartNumberingAfterBreak="0">
    <w:nsid w:val="691C2DD9"/>
    <w:multiLevelType w:val="hybridMultilevel"/>
    <w:tmpl w:val="3BF493D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8" w15:restartNumberingAfterBreak="0">
    <w:nsid w:val="69F47BF3"/>
    <w:multiLevelType w:val="hybridMultilevel"/>
    <w:tmpl w:val="D69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BE66CF"/>
    <w:multiLevelType w:val="hybridMultilevel"/>
    <w:tmpl w:val="C99E6ABC"/>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0" w15:restartNumberingAfterBreak="0">
    <w:nsid w:val="733B5CCB"/>
    <w:multiLevelType w:val="hybridMultilevel"/>
    <w:tmpl w:val="4FD04A84"/>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D9918C9"/>
    <w:multiLevelType w:val="hybridMultilevel"/>
    <w:tmpl w:val="05EC7DF4"/>
    <w:lvl w:ilvl="0" w:tplc="C438151E">
      <w:start w:val="1"/>
      <w:numFmt w:val="bullet"/>
      <w:pStyle w:val="Bullet2"/>
      <w:lvlText w:val=""/>
      <w:lvlJc w:val="left"/>
      <w:pPr>
        <w:tabs>
          <w:tab w:val="num" w:pos="1800"/>
        </w:tabs>
        <w:ind w:left="1800" w:hanging="360"/>
      </w:pPr>
      <w:rPr>
        <w:rFonts w:ascii="Wingdings" w:hAnsi="Wingdings" w:hint="default"/>
        <w:color w:val="80808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4F463B"/>
    <w:multiLevelType w:val="hybridMultilevel"/>
    <w:tmpl w:val="54A4A62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23"/>
  </w:num>
  <w:num w:numId="2">
    <w:abstractNumId w:val="31"/>
  </w:num>
  <w:num w:numId="3">
    <w:abstractNumId w:val="13"/>
  </w:num>
  <w:num w:numId="4">
    <w:abstractNumId w:val="22"/>
  </w:num>
  <w:num w:numId="5">
    <w:abstractNumId w:val="22"/>
  </w:num>
  <w:num w:numId="6">
    <w:abstractNumId w:val="22"/>
  </w:num>
  <w:num w:numId="7">
    <w:abstractNumId w:val="7"/>
  </w:num>
  <w:num w:numId="8">
    <w:abstractNumId w:val="3"/>
  </w:num>
  <w:num w:numId="9">
    <w:abstractNumId w:val="18"/>
  </w:num>
  <w:num w:numId="10">
    <w:abstractNumId w:val="9"/>
  </w:num>
  <w:num w:numId="11">
    <w:abstractNumId w:val="21"/>
  </w:num>
  <w:num w:numId="12">
    <w:abstractNumId w:val="30"/>
  </w:num>
  <w:num w:numId="13">
    <w:abstractNumId w:val="5"/>
  </w:num>
  <w:num w:numId="14">
    <w:abstractNumId w:val="11"/>
  </w:num>
  <w:num w:numId="15">
    <w:abstractNumId w:val="15"/>
  </w:num>
  <w:num w:numId="16">
    <w:abstractNumId w:val="1"/>
  </w:num>
  <w:num w:numId="17">
    <w:abstractNumId w:val="0"/>
  </w:num>
  <w:num w:numId="18">
    <w:abstractNumId w:val="8"/>
  </w:num>
  <w:num w:numId="19">
    <w:abstractNumId w:val="20"/>
  </w:num>
  <w:num w:numId="20">
    <w:abstractNumId w:val="25"/>
  </w:num>
  <w:num w:numId="21">
    <w:abstractNumId w:val="19"/>
  </w:num>
  <w:num w:numId="22">
    <w:abstractNumId w:val="14"/>
  </w:num>
  <w:num w:numId="23">
    <w:abstractNumId w:val="17"/>
  </w:num>
  <w:num w:numId="24">
    <w:abstractNumId w:val="2"/>
  </w:num>
  <w:num w:numId="25">
    <w:abstractNumId w:val="24"/>
  </w:num>
  <w:num w:numId="26">
    <w:abstractNumId w:val="24"/>
  </w:num>
  <w:num w:numId="27">
    <w:abstractNumId w:val="24"/>
    <w:lvlOverride w:ilvl="0">
      <w:startOverride w:val="1"/>
    </w:lvlOverride>
  </w:num>
  <w:num w:numId="28">
    <w:abstractNumId w:val="24"/>
  </w:num>
  <w:num w:numId="29">
    <w:abstractNumId w:val="32"/>
  </w:num>
  <w:num w:numId="30">
    <w:abstractNumId w:val="10"/>
  </w:num>
  <w:num w:numId="31">
    <w:abstractNumId w:val="12"/>
  </w:num>
  <w:num w:numId="32">
    <w:abstractNumId w:val="4"/>
  </w:num>
  <w:num w:numId="33">
    <w:abstractNumId w:val="26"/>
  </w:num>
  <w:num w:numId="34">
    <w:abstractNumId w:val="6"/>
  </w:num>
  <w:num w:numId="35">
    <w:abstractNumId w:val="16"/>
  </w:num>
  <w:num w:numId="36">
    <w:abstractNumId w:val="27"/>
  </w:num>
  <w:num w:numId="37">
    <w:abstractNumId w:val="28"/>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yellow,#a40900,#93182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65"/>
    <w:rsid w:val="0003357C"/>
    <w:rsid w:val="000347C4"/>
    <w:rsid w:val="0004304F"/>
    <w:rsid w:val="00043637"/>
    <w:rsid w:val="000524E3"/>
    <w:rsid w:val="00071668"/>
    <w:rsid w:val="000763F9"/>
    <w:rsid w:val="000835AF"/>
    <w:rsid w:val="000A45D9"/>
    <w:rsid w:val="000A7617"/>
    <w:rsid w:val="000B7B65"/>
    <w:rsid w:val="000C0C83"/>
    <w:rsid w:val="000C4EE8"/>
    <w:rsid w:val="000C56B2"/>
    <w:rsid w:val="000E060B"/>
    <w:rsid w:val="000F0C0F"/>
    <w:rsid w:val="00117CCB"/>
    <w:rsid w:val="00136BBE"/>
    <w:rsid w:val="00145A6A"/>
    <w:rsid w:val="001A2AAD"/>
    <w:rsid w:val="001A316E"/>
    <w:rsid w:val="001A3E65"/>
    <w:rsid w:val="001D736A"/>
    <w:rsid w:val="001F1012"/>
    <w:rsid w:val="001F7E37"/>
    <w:rsid w:val="002101B1"/>
    <w:rsid w:val="00216C0C"/>
    <w:rsid w:val="00233D23"/>
    <w:rsid w:val="00234A7F"/>
    <w:rsid w:val="00244822"/>
    <w:rsid w:val="0028594D"/>
    <w:rsid w:val="002A4642"/>
    <w:rsid w:val="002A4729"/>
    <w:rsid w:val="002B2DF8"/>
    <w:rsid w:val="002B3924"/>
    <w:rsid w:val="002D6F59"/>
    <w:rsid w:val="002E07C6"/>
    <w:rsid w:val="003006A8"/>
    <w:rsid w:val="0032368B"/>
    <w:rsid w:val="0032410A"/>
    <w:rsid w:val="003957D5"/>
    <w:rsid w:val="003A6AA8"/>
    <w:rsid w:val="003D6AFD"/>
    <w:rsid w:val="003F31F4"/>
    <w:rsid w:val="00420016"/>
    <w:rsid w:val="004453B3"/>
    <w:rsid w:val="00455936"/>
    <w:rsid w:val="004579E5"/>
    <w:rsid w:val="00463333"/>
    <w:rsid w:val="00482ABD"/>
    <w:rsid w:val="004A5DC2"/>
    <w:rsid w:val="004B2B03"/>
    <w:rsid w:val="004B5AB2"/>
    <w:rsid w:val="004B608B"/>
    <w:rsid w:val="004C2BCE"/>
    <w:rsid w:val="00527CC0"/>
    <w:rsid w:val="0054104A"/>
    <w:rsid w:val="0056030E"/>
    <w:rsid w:val="005715A2"/>
    <w:rsid w:val="00577D06"/>
    <w:rsid w:val="005826C6"/>
    <w:rsid w:val="00596DAA"/>
    <w:rsid w:val="00596EDE"/>
    <w:rsid w:val="005B6FED"/>
    <w:rsid w:val="00601378"/>
    <w:rsid w:val="00605EA2"/>
    <w:rsid w:val="00692F8A"/>
    <w:rsid w:val="006960B5"/>
    <w:rsid w:val="006A76B2"/>
    <w:rsid w:val="006B1ACE"/>
    <w:rsid w:val="006E30BA"/>
    <w:rsid w:val="006F48BC"/>
    <w:rsid w:val="007077D0"/>
    <w:rsid w:val="00720847"/>
    <w:rsid w:val="00736096"/>
    <w:rsid w:val="007370E6"/>
    <w:rsid w:val="00744F58"/>
    <w:rsid w:val="00766B56"/>
    <w:rsid w:val="007805B6"/>
    <w:rsid w:val="007850B9"/>
    <w:rsid w:val="00796558"/>
    <w:rsid w:val="007A4730"/>
    <w:rsid w:val="007B7035"/>
    <w:rsid w:val="007E1F36"/>
    <w:rsid w:val="007E5865"/>
    <w:rsid w:val="007F7FC3"/>
    <w:rsid w:val="00814F89"/>
    <w:rsid w:val="00820C7F"/>
    <w:rsid w:val="00835CF2"/>
    <w:rsid w:val="00842B12"/>
    <w:rsid w:val="00846C0D"/>
    <w:rsid w:val="0088101B"/>
    <w:rsid w:val="00892EF9"/>
    <w:rsid w:val="008A1A48"/>
    <w:rsid w:val="008B3D68"/>
    <w:rsid w:val="008C62EA"/>
    <w:rsid w:val="008D5B5B"/>
    <w:rsid w:val="008E64D0"/>
    <w:rsid w:val="00906C88"/>
    <w:rsid w:val="009222C8"/>
    <w:rsid w:val="0096415D"/>
    <w:rsid w:val="00976200"/>
    <w:rsid w:val="00976A56"/>
    <w:rsid w:val="00976A5D"/>
    <w:rsid w:val="009875E3"/>
    <w:rsid w:val="00993D49"/>
    <w:rsid w:val="009B2CD4"/>
    <w:rsid w:val="009B6285"/>
    <w:rsid w:val="009D5465"/>
    <w:rsid w:val="009E02C1"/>
    <w:rsid w:val="009E2193"/>
    <w:rsid w:val="009E48E6"/>
    <w:rsid w:val="00A00312"/>
    <w:rsid w:val="00A053D8"/>
    <w:rsid w:val="00A21D66"/>
    <w:rsid w:val="00A41EE7"/>
    <w:rsid w:val="00A458BF"/>
    <w:rsid w:val="00A80E05"/>
    <w:rsid w:val="00AB3B3C"/>
    <w:rsid w:val="00AC25CE"/>
    <w:rsid w:val="00AF2146"/>
    <w:rsid w:val="00B069B2"/>
    <w:rsid w:val="00B06CA9"/>
    <w:rsid w:val="00B16C43"/>
    <w:rsid w:val="00B57CC8"/>
    <w:rsid w:val="00B63B7D"/>
    <w:rsid w:val="00B74B42"/>
    <w:rsid w:val="00B80E07"/>
    <w:rsid w:val="00B84041"/>
    <w:rsid w:val="00BA4709"/>
    <w:rsid w:val="00BC57E8"/>
    <w:rsid w:val="00BD366D"/>
    <w:rsid w:val="00BD6130"/>
    <w:rsid w:val="00BF66B7"/>
    <w:rsid w:val="00C05569"/>
    <w:rsid w:val="00C13049"/>
    <w:rsid w:val="00C166CE"/>
    <w:rsid w:val="00C325D1"/>
    <w:rsid w:val="00C908B6"/>
    <w:rsid w:val="00C9691E"/>
    <w:rsid w:val="00C96D34"/>
    <w:rsid w:val="00CA0C68"/>
    <w:rsid w:val="00CC1A95"/>
    <w:rsid w:val="00CD2431"/>
    <w:rsid w:val="00CD3903"/>
    <w:rsid w:val="00CF2092"/>
    <w:rsid w:val="00D111E8"/>
    <w:rsid w:val="00D11AD3"/>
    <w:rsid w:val="00D2294E"/>
    <w:rsid w:val="00D2670A"/>
    <w:rsid w:val="00D34BEC"/>
    <w:rsid w:val="00D47475"/>
    <w:rsid w:val="00D5151D"/>
    <w:rsid w:val="00D60F34"/>
    <w:rsid w:val="00D62B08"/>
    <w:rsid w:val="00D64605"/>
    <w:rsid w:val="00DA3AA9"/>
    <w:rsid w:val="00DA4CD8"/>
    <w:rsid w:val="00DB332A"/>
    <w:rsid w:val="00DB6E1D"/>
    <w:rsid w:val="00DC4E28"/>
    <w:rsid w:val="00DD0415"/>
    <w:rsid w:val="00DE5EE9"/>
    <w:rsid w:val="00E12565"/>
    <w:rsid w:val="00E4373D"/>
    <w:rsid w:val="00E60B59"/>
    <w:rsid w:val="00E71933"/>
    <w:rsid w:val="00EB33C2"/>
    <w:rsid w:val="00EB6FD3"/>
    <w:rsid w:val="00EC52B9"/>
    <w:rsid w:val="00EF4AE1"/>
    <w:rsid w:val="00F16376"/>
    <w:rsid w:val="00F42189"/>
    <w:rsid w:val="00F44664"/>
    <w:rsid w:val="00F516EC"/>
    <w:rsid w:val="00F72E54"/>
    <w:rsid w:val="00F94A3C"/>
    <w:rsid w:val="00FB767C"/>
    <w:rsid w:val="00FC10C9"/>
    <w:rsid w:val="00FC2343"/>
    <w:rsid w:val="00FC67B2"/>
    <w:rsid w:val="00FE75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yellow,#a40900,#931823"/>
    </o:shapedefaults>
    <o:shapelayout v:ext="edit">
      <o:idmap v:ext="edit" data="1"/>
    </o:shapelayout>
  </w:shapeDefaults>
  <w:decimalSymbol w:val="."/>
  <w:listSeparator w:val=","/>
  <w14:docId w14:val="397BAB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heading 1" w:qFormat="1"/>
    <w:lsdException w:name="heading 3"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63333"/>
    <w:rPr>
      <w:rFonts w:eastAsia="Calibri"/>
      <w:sz w:val="24"/>
      <w:szCs w:val="24"/>
    </w:rPr>
  </w:style>
  <w:style w:type="paragraph" w:styleId="Heading1">
    <w:name w:val="heading 1"/>
    <w:next w:val="Heading2"/>
    <w:uiPriority w:val="2"/>
    <w:qFormat/>
    <w:rsid w:val="00B74B42"/>
    <w:pPr>
      <w:spacing w:after="240"/>
      <w:outlineLvl w:val="0"/>
    </w:pPr>
    <w:rPr>
      <w:rFonts w:ascii="Arial" w:hAnsi="Arial"/>
      <w:color w:val="A6242E"/>
      <w:sz w:val="28"/>
      <w:szCs w:val="40"/>
      <w:lang w:val="en-US" w:eastAsia="en-US"/>
    </w:rPr>
  </w:style>
  <w:style w:type="paragraph" w:styleId="Heading2">
    <w:name w:val="heading 2"/>
    <w:next w:val="HeadingLine"/>
    <w:uiPriority w:val="2"/>
    <w:rsid w:val="004C2BCE"/>
    <w:pPr>
      <w:spacing w:after="240"/>
      <w:outlineLvl w:val="1"/>
    </w:pPr>
    <w:rPr>
      <w:rFonts w:ascii="Arial" w:hAnsi="Arial"/>
      <w:color w:val="A6242E"/>
      <w:sz w:val="28"/>
      <w:szCs w:val="32"/>
      <w:lang w:val="en-US" w:eastAsia="en-US"/>
    </w:rPr>
  </w:style>
  <w:style w:type="paragraph" w:styleId="Heading3">
    <w:name w:val="heading 3"/>
    <w:next w:val="BlockText"/>
    <w:uiPriority w:val="2"/>
    <w:qFormat/>
    <w:rsid w:val="003006A8"/>
    <w:pPr>
      <w:spacing w:before="480" w:after="60"/>
      <w:outlineLvl w:val="2"/>
    </w:pPr>
    <w:rPr>
      <w:rFonts w:ascii="Arial" w:hAnsi="Arial"/>
      <w:b/>
      <w:sz w:val="22"/>
      <w:szCs w:val="32"/>
      <w:lang w:val="en-US" w:eastAsia="en-US"/>
    </w:rPr>
  </w:style>
  <w:style w:type="paragraph" w:styleId="Heading4">
    <w:name w:val="heading 4"/>
    <w:aliases w:val="Map Title"/>
    <w:next w:val="MemoLine"/>
    <w:rsid w:val="008A0BC9"/>
    <w:pPr>
      <w:spacing w:after="240"/>
      <w:outlineLvl w:val="3"/>
    </w:pPr>
    <w:rPr>
      <w:rFonts w:ascii="Arial" w:hAnsi="Arial"/>
      <w:b/>
      <w:sz w:val="32"/>
      <w:lang w:val="en-US" w:eastAsia="en-US"/>
    </w:rPr>
  </w:style>
  <w:style w:type="paragraph" w:styleId="Heading5">
    <w:name w:val="heading 5"/>
    <w:aliases w:val="Block Heading"/>
    <w:next w:val="BlockText"/>
    <w:rsid w:val="00892EF9"/>
    <w:pPr>
      <w:spacing w:after="60"/>
      <w:outlineLvl w:val="4"/>
    </w:pPr>
    <w:rPr>
      <w:rFonts w:asciiTheme="minorHAnsi" w:hAnsiTheme="minorHAnsi"/>
      <w:b/>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Line">
    <w:name w:val="Heading Line"/>
    <w:next w:val="Heading5"/>
    <w:uiPriority w:val="2"/>
    <w:qFormat/>
    <w:rsid w:val="00A41EE7"/>
    <w:pPr>
      <w:pBdr>
        <w:top w:val="single" w:sz="6" w:space="1" w:color="C0C0C0"/>
        <w:between w:val="single" w:sz="6" w:space="1" w:color="auto"/>
      </w:pBdr>
      <w:spacing w:before="240" w:after="240"/>
      <w:jc w:val="right"/>
    </w:pPr>
    <w:rPr>
      <w:rFonts w:ascii="Arial" w:hAnsi="Arial"/>
      <w:i/>
      <w:color w:val="808080"/>
      <w:sz w:val="18"/>
      <w:lang w:val="en-US" w:eastAsia="en-US"/>
    </w:rPr>
  </w:style>
  <w:style w:type="paragraph" w:styleId="BlockText">
    <w:name w:val="Block Text"/>
    <w:link w:val="BlockTextChar"/>
    <w:qFormat/>
    <w:rsid w:val="00B74B42"/>
    <w:pPr>
      <w:spacing w:before="60" w:after="120"/>
      <w:ind w:left="1100"/>
    </w:pPr>
    <w:rPr>
      <w:rFonts w:ascii="Arial" w:hAnsi="Arial"/>
      <w:lang w:val="en-US" w:eastAsia="en-US"/>
    </w:rPr>
  </w:style>
  <w:style w:type="paragraph" w:styleId="Header">
    <w:name w:val="header"/>
    <w:link w:val="HeaderChar"/>
    <w:rsid w:val="000765CD"/>
    <w:pPr>
      <w:tabs>
        <w:tab w:val="center" w:pos="4320"/>
        <w:tab w:val="right" w:pos="8640"/>
      </w:tabs>
      <w:jc w:val="right"/>
    </w:pPr>
    <w:rPr>
      <w:rFonts w:ascii="Arial" w:hAnsi="Arial"/>
      <w:i/>
      <w:sz w:val="18"/>
      <w:lang w:val="en-US" w:eastAsia="en-US"/>
    </w:rPr>
  </w:style>
  <w:style w:type="paragraph" w:customStyle="1" w:styleId="Bullet1">
    <w:name w:val="Bullet 1"/>
    <w:qFormat/>
    <w:rsid w:val="00B74B42"/>
    <w:pPr>
      <w:numPr>
        <w:numId w:val="1"/>
      </w:numPr>
      <w:spacing w:after="60"/>
      <w:ind w:left="1531" w:hanging="397"/>
    </w:pPr>
    <w:rPr>
      <w:rFonts w:ascii="Arial" w:hAnsi="Arial"/>
      <w:lang w:val="en-US" w:eastAsia="en-US"/>
    </w:rPr>
  </w:style>
  <w:style w:type="paragraph" w:customStyle="1" w:styleId="Bullet2">
    <w:name w:val="Bullet 2"/>
    <w:qFormat/>
    <w:rsid w:val="00B74B42"/>
    <w:pPr>
      <w:numPr>
        <w:numId w:val="2"/>
      </w:numPr>
      <w:tabs>
        <w:tab w:val="left" w:pos="550"/>
        <w:tab w:val="left" w:pos="663"/>
        <w:tab w:val="left" w:pos="1418"/>
      </w:tabs>
      <w:ind w:left="1888" w:hanging="357"/>
    </w:pPr>
    <w:rPr>
      <w:rFonts w:ascii="Arial" w:hAnsi="Arial"/>
      <w:lang w:val="en-US" w:eastAsia="en-US"/>
    </w:rPr>
  </w:style>
  <w:style w:type="paragraph" w:customStyle="1" w:styleId="MapTitleContinued">
    <w:name w:val="Map Title. Continued"/>
    <w:basedOn w:val="Normal"/>
    <w:rsid w:val="000765CD"/>
    <w:pPr>
      <w:spacing w:after="240"/>
    </w:pPr>
    <w:rPr>
      <w:rFonts w:ascii="Calibri" w:hAnsi="Calibri"/>
      <w:b/>
      <w:sz w:val="32"/>
    </w:rPr>
  </w:style>
  <w:style w:type="paragraph" w:customStyle="1" w:styleId="MemoLine">
    <w:name w:val="Memo Line"/>
    <w:next w:val="Heading5"/>
    <w:rsid w:val="00D74CB9"/>
    <w:pPr>
      <w:pBdr>
        <w:top w:val="threeDEngrave" w:sz="24" w:space="1" w:color="C0C0C0"/>
      </w:pBdr>
    </w:pPr>
    <w:rPr>
      <w:rFonts w:ascii="Arial" w:hAnsi="Arial"/>
      <w:i/>
      <w:color w:val="808080"/>
      <w:sz w:val="18"/>
      <w:lang w:val="en-US" w:eastAsia="en-US"/>
    </w:rPr>
  </w:style>
  <w:style w:type="paragraph" w:styleId="Footer">
    <w:name w:val="footer"/>
    <w:rsid w:val="000765CD"/>
    <w:pPr>
      <w:spacing w:before="120"/>
    </w:pPr>
    <w:rPr>
      <w:rFonts w:ascii="Arial" w:hAnsi="Arial"/>
      <w:sz w:val="18"/>
      <w:lang w:val="en-US" w:eastAsia="en-US"/>
    </w:rPr>
  </w:style>
  <w:style w:type="character" w:styleId="PageNumber">
    <w:name w:val="page number"/>
    <w:basedOn w:val="DefaultParagraphFont"/>
    <w:rsid w:val="006249E6"/>
    <w:rPr>
      <w:rFonts w:ascii="Arial" w:hAnsi="Arial"/>
      <w:sz w:val="18"/>
      <w:szCs w:val="18"/>
    </w:rPr>
  </w:style>
  <w:style w:type="paragraph" w:customStyle="1" w:styleId="TableText">
    <w:name w:val="Table Text"/>
    <w:uiPriority w:val="1"/>
    <w:qFormat/>
    <w:rsid w:val="00B74B42"/>
    <w:rPr>
      <w:rFonts w:ascii="Arial" w:hAnsi="Arial"/>
      <w:lang w:val="en-AU" w:eastAsia="en-US"/>
    </w:rPr>
  </w:style>
  <w:style w:type="paragraph" w:customStyle="1" w:styleId="NoteText">
    <w:name w:val="Note Text"/>
    <w:basedOn w:val="BlockText"/>
    <w:rsid w:val="000765CD"/>
  </w:style>
  <w:style w:type="paragraph" w:customStyle="1" w:styleId="TableHdg">
    <w:name w:val="Table Hdg"/>
    <w:uiPriority w:val="1"/>
    <w:qFormat/>
    <w:rsid w:val="00B74B42"/>
    <w:pPr>
      <w:spacing w:before="60" w:after="60"/>
    </w:pPr>
    <w:rPr>
      <w:rFonts w:ascii="Arial" w:hAnsi="Arial"/>
      <w:b/>
      <w:color w:val="FFFFFF"/>
      <w:sz w:val="22"/>
      <w:lang w:val="en-AU" w:eastAsia="en-US"/>
    </w:rPr>
  </w:style>
  <w:style w:type="paragraph" w:customStyle="1" w:styleId="DocumentTitle">
    <w:name w:val="Document Title"/>
    <w:basedOn w:val="BlockText"/>
    <w:rsid w:val="00B74B42"/>
    <w:pPr>
      <w:spacing w:after="280"/>
      <w:ind w:left="0"/>
    </w:pPr>
    <w:rPr>
      <w:b/>
      <w:color w:val="FFFFFF" w:themeColor="background1"/>
      <w:sz w:val="4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OC1">
    <w:name w:val="toc 1"/>
    <w:autoRedefine/>
    <w:uiPriority w:val="39"/>
    <w:rsid w:val="00B63B7D"/>
    <w:pPr>
      <w:tabs>
        <w:tab w:val="right" w:leader="dot" w:pos="9629"/>
      </w:tabs>
      <w:spacing w:before="120" w:after="120"/>
    </w:pPr>
    <w:rPr>
      <w:rFonts w:ascii="Arial Bold" w:eastAsia="Calibri" w:hAnsi="Arial Bold" w:cstheme="minorHAnsi"/>
      <w:b/>
      <w:bCs/>
      <w:caps/>
      <w:noProof/>
      <w:sz w:val="24"/>
      <w:szCs w:val="24"/>
    </w:rPr>
  </w:style>
  <w:style w:type="paragraph" w:styleId="TOC2">
    <w:name w:val="toc 2"/>
    <w:autoRedefine/>
    <w:uiPriority w:val="39"/>
    <w:rsid w:val="00B63B7D"/>
    <w:pPr>
      <w:tabs>
        <w:tab w:val="right" w:leader="dot" w:pos="9629"/>
      </w:tabs>
      <w:ind w:left="238"/>
    </w:pPr>
    <w:rPr>
      <w:rFonts w:ascii="Arial" w:eastAsia="Calibri" w:hAnsi="Arial"/>
      <w:smallCaps/>
      <w:sz w:val="22"/>
      <w:szCs w:val="24"/>
    </w:rPr>
  </w:style>
  <w:style w:type="paragraph" w:customStyle="1" w:styleId="TableB1">
    <w:name w:val="Table B1"/>
    <w:uiPriority w:val="1"/>
    <w:qFormat/>
    <w:rsid w:val="00B63B7D"/>
    <w:pPr>
      <w:numPr>
        <w:numId w:val="3"/>
      </w:numPr>
      <w:tabs>
        <w:tab w:val="clear" w:pos="1851"/>
      </w:tabs>
      <w:ind w:left="357" w:hanging="357"/>
    </w:pPr>
    <w:rPr>
      <w:rFonts w:ascii="Arial" w:hAnsi="Arial"/>
      <w:lang w:val="en-US" w:eastAsia="en-US"/>
    </w:rPr>
  </w:style>
  <w:style w:type="paragraph" w:styleId="TOC3">
    <w:name w:val="toc 3"/>
    <w:autoRedefine/>
    <w:uiPriority w:val="39"/>
    <w:rsid w:val="00B63B7D"/>
    <w:pPr>
      <w:spacing w:before="120" w:after="120"/>
      <w:ind w:left="238"/>
    </w:pPr>
    <w:rPr>
      <w:rFonts w:ascii="Arial" w:eastAsia="Calibri" w:hAnsi="Arial"/>
      <w:iCs/>
      <w:smallCaps/>
      <w:sz w:val="22"/>
      <w:szCs w:val="24"/>
    </w:rPr>
  </w:style>
  <w:style w:type="paragraph" w:styleId="TOC4">
    <w:name w:val="toc 4"/>
    <w:basedOn w:val="Normal"/>
    <w:next w:val="Normal"/>
    <w:autoRedefine/>
    <w:semiHidden/>
    <w:rsid w:val="008C268E"/>
    <w:pPr>
      <w:ind w:left="720"/>
    </w:pPr>
    <w:rPr>
      <w:rFonts w:ascii="Arial" w:hAnsi="Arial"/>
      <w:sz w:val="22"/>
      <w:szCs w:val="18"/>
    </w:rPr>
  </w:style>
  <w:style w:type="character" w:styleId="Hyperlink">
    <w:name w:val="Hyperlink"/>
    <w:basedOn w:val="DefaultParagraphFont"/>
    <w:uiPriority w:val="99"/>
    <w:rsid w:val="00993D49"/>
    <w:rPr>
      <w:rFonts w:asciiTheme="minorHAnsi" w:hAnsiTheme="minorHAnsi"/>
      <w:color w:val="0000FF"/>
      <w:u w:val="single"/>
    </w:rPr>
  </w:style>
  <w:style w:type="paragraph" w:customStyle="1" w:styleId="ContinuedBlockLine">
    <w:name w:val="Continued Block Line"/>
    <w:basedOn w:val="HeadingLine"/>
    <w:rsid w:val="006249E6"/>
  </w:style>
  <w:style w:type="paragraph" w:customStyle="1" w:styleId="DocumentTitleText">
    <w:name w:val="Document Title Text"/>
    <w:next w:val="BlockText"/>
    <w:rsid w:val="006249E6"/>
    <w:pPr>
      <w:spacing w:before="360"/>
      <w:jc w:val="right"/>
    </w:pPr>
    <w:rPr>
      <w:rFonts w:ascii="Arial" w:hAnsi="Arial"/>
      <w:b/>
      <w:bCs/>
      <w:color w:val="FF6600"/>
      <w:sz w:val="44"/>
      <w:lang w:val="en-US"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Header4">
    <w:name w:val="Header 4"/>
    <w:basedOn w:val="Heading4"/>
    <w:next w:val="MemoLine"/>
    <w:rsid w:val="00BD7F96"/>
  </w:style>
  <w:style w:type="table" w:styleId="TableGrid">
    <w:name w:val="Table Grid"/>
    <w:basedOn w:val="TableNormal"/>
    <w:rsid w:val="00FF7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2">
    <w:name w:val="Table Bullet 2"/>
    <w:rsid w:val="009238AC"/>
    <w:pPr>
      <w:numPr>
        <w:numId w:val="6"/>
      </w:numPr>
    </w:pPr>
    <w:rPr>
      <w:rFonts w:ascii="Arial" w:hAnsi="Arial"/>
      <w:lang w:val="en-US" w:eastAsia="en-US"/>
    </w:rPr>
  </w:style>
  <w:style w:type="paragraph" w:customStyle="1" w:styleId="TableNote">
    <w:name w:val="Table Note"/>
    <w:rsid w:val="003D6B84"/>
    <w:pPr>
      <w:spacing w:before="120"/>
    </w:pPr>
    <w:rPr>
      <w:rFonts w:ascii="Arial" w:hAnsi="Arial"/>
      <w:lang w:val="en-AU" w:eastAsia="en-US"/>
    </w:rPr>
  </w:style>
  <w:style w:type="paragraph" w:styleId="DocumentMap">
    <w:name w:val="Document Map"/>
    <w:basedOn w:val="Normal"/>
    <w:semiHidden/>
    <w:rsid w:val="00A30165"/>
    <w:pPr>
      <w:shd w:val="clear" w:color="auto" w:fill="000080"/>
    </w:pPr>
    <w:rPr>
      <w:rFonts w:ascii="Tahoma" w:hAnsi="Tahoma" w:cs="Tahoma"/>
      <w:sz w:val="20"/>
    </w:rPr>
  </w:style>
  <w:style w:type="paragraph" w:customStyle="1" w:styleId="NumberText1">
    <w:name w:val="Number Text 1"/>
    <w:basedOn w:val="Normal"/>
    <w:rsid w:val="00A30165"/>
    <w:pPr>
      <w:numPr>
        <w:numId w:val="25"/>
      </w:numPr>
    </w:pPr>
  </w:style>
  <w:style w:type="character" w:customStyle="1" w:styleId="HeaderChar">
    <w:name w:val="Header Char"/>
    <w:basedOn w:val="DefaultParagraphFont"/>
    <w:link w:val="Header"/>
    <w:locked/>
    <w:rPr>
      <w:rFonts w:ascii="Arial" w:hAnsi="Arial"/>
      <w:i/>
      <w:sz w:val="18"/>
      <w:lang w:val="en-US" w:eastAsia="en-US" w:bidi="ar-SA"/>
    </w:rPr>
  </w:style>
  <w:style w:type="character" w:customStyle="1" w:styleId="BlockTextChar">
    <w:name w:val="Block Text Char"/>
    <w:basedOn w:val="DefaultParagraphFont"/>
    <w:link w:val="BlockText"/>
    <w:rsid w:val="00B74B42"/>
    <w:rPr>
      <w:rFonts w:ascii="Arial" w:hAnsi="Arial"/>
      <w:lang w:val="en-US" w:eastAsia="en-US"/>
    </w:rPr>
  </w:style>
  <w:style w:type="paragraph" w:styleId="BalloonText">
    <w:name w:val="Balloon Text"/>
    <w:basedOn w:val="Normal"/>
    <w:link w:val="BalloonTextChar"/>
    <w:rsid w:val="003A4787"/>
    <w:rPr>
      <w:rFonts w:ascii="Tahoma" w:hAnsi="Tahoma" w:cs="Tahoma"/>
      <w:sz w:val="16"/>
      <w:szCs w:val="16"/>
    </w:rPr>
  </w:style>
  <w:style w:type="character" w:customStyle="1" w:styleId="BalloonTextChar">
    <w:name w:val="Balloon Text Char"/>
    <w:basedOn w:val="DefaultParagraphFont"/>
    <w:link w:val="BalloonText"/>
    <w:rsid w:val="003A4787"/>
    <w:rPr>
      <w:rFonts w:ascii="Tahoma" w:eastAsia="Calibri" w:hAnsi="Tahoma" w:cs="Tahoma"/>
      <w:sz w:val="16"/>
      <w:szCs w:val="16"/>
    </w:rPr>
  </w:style>
  <w:style w:type="paragraph" w:customStyle="1" w:styleId="Style1">
    <w:name w:val="Style1"/>
    <w:basedOn w:val="Normal"/>
    <w:rsid w:val="00C44A04"/>
    <w:rPr>
      <w:rFonts w:ascii="Arial" w:hAnsi="Arial"/>
      <w:color w:val="A6242E"/>
      <w:sz w:val="28"/>
    </w:rPr>
  </w:style>
  <w:style w:type="paragraph" w:customStyle="1" w:styleId="Style2">
    <w:name w:val="Style2"/>
    <w:basedOn w:val="Heading5"/>
    <w:rsid w:val="007E1553"/>
    <w:rPr>
      <w:rFonts w:ascii="Arial Bold" w:hAnsi="Arial Bold"/>
      <w:b w:val="0"/>
    </w:rPr>
  </w:style>
  <w:style w:type="paragraph" w:styleId="TOC9">
    <w:name w:val="toc 9"/>
    <w:basedOn w:val="Normal"/>
    <w:next w:val="Normal"/>
    <w:autoRedefine/>
    <w:uiPriority w:val="39"/>
    <w:rsid w:val="00AF2146"/>
    <w:pPr>
      <w:ind w:left="1920"/>
    </w:pPr>
  </w:style>
  <w:style w:type="character" w:styleId="Strong">
    <w:name w:val="Strong"/>
    <w:basedOn w:val="DefaultParagraphFont"/>
    <w:rsid w:val="0096415D"/>
    <w:rPr>
      <w:b/>
      <w:bCs/>
    </w:rPr>
  </w:style>
  <w:style w:type="paragraph" w:styleId="TOC5">
    <w:name w:val="toc 5"/>
    <w:basedOn w:val="Normal"/>
    <w:next w:val="Normal"/>
    <w:autoRedefine/>
    <w:uiPriority w:val="39"/>
    <w:rsid w:val="00B63B7D"/>
    <w:pPr>
      <w:spacing w:before="120" w:after="120"/>
      <w:ind w:left="238"/>
    </w:pPr>
    <w:rPr>
      <w:rFonts w:ascii="Arial" w:hAnsi="Arial"/>
      <w:sz w:val="22"/>
    </w:rPr>
  </w:style>
  <w:style w:type="character" w:styleId="PlaceholderText">
    <w:name w:val="Placeholder Text"/>
    <w:basedOn w:val="DefaultParagraphFont"/>
    <w:uiPriority w:val="99"/>
    <w:semiHidden/>
    <w:rsid w:val="0028594D"/>
    <w:rPr>
      <w:color w:val="808080"/>
    </w:rPr>
  </w:style>
  <w:style w:type="paragraph" w:styleId="FootnoteText">
    <w:name w:val="footnote text"/>
    <w:basedOn w:val="Normal"/>
    <w:link w:val="FootnoteTextChar"/>
    <w:uiPriority w:val="99"/>
    <w:unhideWhenUsed/>
    <w:rsid w:val="009222C8"/>
    <w:rPr>
      <w:rFonts w:asciiTheme="minorHAnsi" w:eastAsiaTheme="minorHAnsi" w:hAnsiTheme="minorHAnsi" w:cstheme="minorBidi"/>
      <w:lang w:eastAsia="en-US"/>
    </w:rPr>
  </w:style>
  <w:style w:type="character" w:customStyle="1" w:styleId="FootnoteTextChar">
    <w:name w:val="Footnote Text Char"/>
    <w:basedOn w:val="DefaultParagraphFont"/>
    <w:link w:val="FootnoteText"/>
    <w:uiPriority w:val="99"/>
    <w:rsid w:val="009222C8"/>
    <w:rPr>
      <w:rFonts w:asciiTheme="minorHAnsi" w:eastAsiaTheme="minorHAnsi" w:hAnsiTheme="minorHAnsi" w:cstheme="minorBidi"/>
      <w:sz w:val="24"/>
      <w:szCs w:val="24"/>
      <w:lang w:eastAsia="en-US"/>
    </w:rPr>
  </w:style>
  <w:style w:type="character" w:styleId="FootnoteReference">
    <w:name w:val="footnote reference"/>
    <w:basedOn w:val="DefaultParagraphFont"/>
    <w:uiPriority w:val="99"/>
    <w:unhideWhenUsed/>
    <w:rsid w:val="009222C8"/>
    <w:rPr>
      <w:vertAlign w:val="superscript"/>
    </w:rPr>
  </w:style>
  <w:style w:type="paragraph" w:styleId="ListParagraph">
    <w:name w:val="List Paragraph"/>
    <w:basedOn w:val="Normal"/>
    <w:uiPriority w:val="34"/>
    <w:qFormat/>
    <w:rsid w:val="006F48BC"/>
    <w:pPr>
      <w:ind w:left="720"/>
      <w:contextualSpacing/>
    </w:pPr>
  </w:style>
  <w:style w:type="paragraph" w:styleId="BodyText2">
    <w:name w:val="Body Text 2"/>
    <w:basedOn w:val="Normal"/>
    <w:link w:val="BodyText2Char"/>
    <w:rsid w:val="00BD6130"/>
    <w:pPr>
      <w:tabs>
        <w:tab w:val="left" w:pos="720"/>
      </w:tabs>
      <w:overflowPunct w:val="0"/>
      <w:autoSpaceDE w:val="0"/>
      <w:autoSpaceDN w:val="0"/>
      <w:adjustRightInd w:val="0"/>
      <w:ind w:left="769"/>
      <w:jc w:val="both"/>
      <w:textAlignment w:val="baseline"/>
    </w:pPr>
    <w:rPr>
      <w:rFonts w:ascii="Arial" w:eastAsia="Times New Roman" w:hAnsi="Arial"/>
      <w:szCs w:val="20"/>
      <w:lang w:val="en-GB" w:eastAsia="en-US"/>
    </w:rPr>
  </w:style>
  <w:style w:type="character" w:customStyle="1" w:styleId="BodyText2Char">
    <w:name w:val="Body Text 2 Char"/>
    <w:basedOn w:val="DefaultParagraphFont"/>
    <w:link w:val="BodyText2"/>
    <w:rsid w:val="00BD6130"/>
    <w:rPr>
      <w:rFonts w:ascii="Arial" w:hAnsi="Arial"/>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E80BCE747D46D281BB8FDE7ADE9EC5"/>
        <w:category>
          <w:name w:val="General"/>
          <w:gallery w:val="placeholder"/>
        </w:category>
        <w:types>
          <w:type w:val="bbPlcHdr"/>
        </w:types>
        <w:behaviors>
          <w:behavior w:val="content"/>
        </w:behaviors>
        <w:guid w:val="{A36872AC-5384-47D6-9441-C1E207BCDCF5}"/>
      </w:docPartPr>
      <w:docPartBody>
        <w:p w:rsidR="00625AE7" w:rsidRDefault="00625AE7">
          <w:pPr>
            <w:pStyle w:val="A5E80BCE747D46D281BB8FDE7ADE9EC5"/>
          </w:pPr>
          <w:r w:rsidRPr="004A3076">
            <w:rPr>
              <w:rStyle w:val="PlaceholderText"/>
            </w:rPr>
            <w:t>Click here to enter text.</w:t>
          </w:r>
        </w:p>
      </w:docPartBody>
    </w:docPart>
    <w:docPart>
      <w:docPartPr>
        <w:name w:val="64A09A2700E3BE4392A5308499B36AF9"/>
        <w:category>
          <w:name w:val="General"/>
          <w:gallery w:val="placeholder"/>
        </w:category>
        <w:types>
          <w:type w:val="bbPlcHdr"/>
        </w:types>
        <w:behaviors>
          <w:behavior w:val="content"/>
        </w:behaviors>
        <w:guid w:val="{64CA94C3-C276-C34D-90BF-5557A38C87B3}"/>
      </w:docPartPr>
      <w:docPartBody>
        <w:p w:rsidR="00AE025C" w:rsidRDefault="00647827" w:rsidP="00647827">
          <w:pPr>
            <w:pStyle w:val="64A09A2700E3BE4392A5308499B36AF9"/>
          </w:pPr>
          <w:r w:rsidRPr="004A3076">
            <w:rPr>
              <w:rStyle w:val="PlaceholderText"/>
            </w:rPr>
            <w:t>Click here to enter text.</w:t>
          </w:r>
        </w:p>
      </w:docPartBody>
    </w:docPart>
    <w:docPart>
      <w:docPartPr>
        <w:name w:val="CFAE528F28B3D24A9B449DC7EF5A9CF9"/>
        <w:category>
          <w:name w:val="General"/>
          <w:gallery w:val="placeholder"/>
        </w:category>
        <w:types>
          <w:type w:val="bbPlcHdr"/>
        </w:types>
        <w:behaviors>
          <w:behavior w:val="content"/>
        </w:behaviors>
        <w:guid w:val="{64E5D820-0842-154B-892D-536A61CB55E9}"/>
      </w:docPartPr>
      <w:docPartBody>
        <w:p w:rsidR="00AE025C" w:rsidRDefault="00647827" w:rsidP="00647827">
          <w:pPr>
            <w:pStyle w:val="CFAE528F28B3D24A9B449DC7EF5A9CF9"/>
          </w:pPr>
          <w:r w:rsidRPr="004A3076">
            <w:rPr>
              <w:rStyle w:val="PlaceholderText"/>
            </w:rPr>
            <w:t>Click here to enter text.</w:t>
          </w:r>
        </w:p>
      </w:docPartBody>
    </w:docPart>
    <w:docPart>
      <w:docPartPr>
        <w:name w:val="537C64B4A4BFF849913596D4541DDDA0"/>
        <w:category>
          <w:name w:val="General"/>
          <w:gallery w:val="placeholder"/>
        </w:category>
        <w:types>
          <w:type w:val="bbPlcHdr"/>
        </w:types>
        <w:behaviors>
          <w:behavior w:val="content"/>
        </w:behaviors>
        <w:guid w:val="{21B8F40D-54D1-5F46-9FFE-FE6875A287C8}"/>
      </w:docPartPr>
      <w:docPartBody>
        <w:p w:rsidR="00AE025C" w:rsidRDefault="00647827" w:rsidP="00647827">
          <w:pPr>
            <w:pStyle w:val="537C64B4A4BFF849913596D4541DDDA0"/>
          </w:pPr>
          <w:r w:rsidRPr="004A307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Italic">
    <w:panose1 w:val="020B0604020202090204"/>
    <w:charset w:val="00"/>
    <w:family w:val="auto"/>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E7"/>
    <w:rsid w:val="00166E55"/>
    <w:rsid w:val="001D66E9"/>
    <w:rsid w:val="001F2801"/>
    <w:rsid w:val="002C4229"/>
    <w:rsid w:val="003265AF"/>
    <w:rsid w:val="00625AE7"/>
    <w:rsid w:val="00647827"/>
    <w:rsid w:val="006B6F36"/>
    <w:rsid w:val="006F0979"/>
    <w:rsid w:val="007E589A"/>
    <w:rsid w:val="00863E1E"/>
    <w:rsid w:val="008B17FE"/>
    <w:rsid w:val="008C382E"/>
    <w:rsid w:val="00903460"/>
    <w:rsid w:val="009268F7"/>
    <w:rsid w:val="009B31C5"/>
    <w:rsid w:val="009C216C"/>
    <w:rsid w:val="00A23469"/>
    <w:rsid w:val="00AE025C"/>
    <w:rsid w:val="00B5162E"/>
    <w:rsid w:val="00BE486D"/>
    <w:rsid w:val="00C17EB1"/>
    <w:rsid w:val="00C92985"/>
    <w:rsid w:val="00D85CBD"/>
    <w:rsid w:val="00DE5523"/>
    <w:rsid w:val="00F91891"/>
    <w:rsid w:val="00FD18CF"/>
    <w:rsid w:val="00FE48B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827"/>
    <w:rPr>
      <w:color w:val="808080"/>
    </w:rPr>
  </w:style>
  <w:style w:type="paragraph" w:customStyle="1" w:styleId="A5E80BCE747D46D281BB8FDE7ADE9EC5">
    <w:name w:val="A5E80BCE747D46D281BB8FDE7ADE9EC5"/>
  </w:style>
  <w:style w:type="paragraph" w:customStyle="1" w:styleId="9BB7E9DF047D4A15B57EB6057B29BF5A">
    <w:name w:val="9BB7E9DF047D4A15B57EB6057B29BF5A"/>
    <w:rsid w:val="00A23469"/>
  </w:style>
  <w:style w:type="paragraph" w:customStyle="1" w:styleId="87029918C8CA074E99FB778EA5CB26FB">
    <w:name w:val="87029918C8CA074E99FB778EA5CB26FB"/>
    <w:rsid w:val="009B31C5"/>
    <w:pPr>
      <w:spacing w:after="0" w:line="240" w:lineRule="auto"/>
    </w:pPr>
    <w:rPr>
      <w:sz w:val="24"/>
      <w:szCs w:val="24"/>
      <w:lang w:val="en-US" w:eastAsia="en-US"/>
    </w:rPr>
  </w:style>
  <w:style w:type="paragraph" w:customStyle="1" w:styleId="64A09A2700E3BE4392A5308499B36AF9">
    <w:name w:val="64A09A2700E3BE4392A5308499B36AF9"/>
    <w:rsid w:val="00647827"/>
    <w:pPr>
      <w:spacing w:after="0" w:line="240" w:lineRule="auto"/>
    </w:pPr>
    <w:rPr>
      <w:sz w:val="24"/>
      <w:szCs w:val="24"/>
      <w:lang w:val="en-US" w:eastAsia="en-US"/>
    </w:rPr>
  </w:style>
  <w:style w:type="paragraph" w:customStyle="1" w:styleId="CFAE528F28B3D24A9B449DC7EF5A9CF9">
    <w:name w:val="CFAE528F28B3D24A9B449DC7EF5A9CF9"/>
    <w:rsid w:val="00647827"/>
    <w:pPr>
      <w:spacing w:after="0" w:line="240" w:lineRule="auto"/>
    </w:pPr>
    <w:rPr>
      <w:sz w:val="24"/>
      <w:szCs w:val="24"/>
      <w:lang w:val="en-US" w:eastAsia="en-US"/>
    </w:rPr>
  </w:style>
  <w:style w:type="paragraph" w:customStyle="1" w:styleId="537C64B4A4BFF849913596D4541DDDA0">
    <w:name w:val="537C64B4A4BFF849913596D4541DDDA0"/>
    <w:rsid w:val="00647827"/>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A36FA-0DB6-4850-AF8E-257E5DEB9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Manukau Institute of Technology (MIT) Policy Template</vt:lpstr>
    </vt:vector>
  </TitlesOfParts>
  <Company>Manukau Institute of Technology (MIT)</Company>
  <LinksUpToDate>false</LinksUpToDate>
  <CharactersWithSpaces>18244</CharactersWithSpaces>
  <SharedDoc>false</SharedDoc>
  <HLinks>
    <vt:vector size="96" baseType="variant">
      <vt:variant>
        <vt:i4>1835071</vt:i4>
      </vt:variant>
      <vt:variant>
        <vt:i4>92</vt:i4>
      </vt:variant>
      <vt:variant>
        <vt:i4>0</vt:i4>
      </vt:variant>
      <vt:variant>
        <vt:i4>5</vt:i4>
      </vt:variant>
      <vt:variant>
        <vt:lpwstr/>
      </vt:variant>
      <vt:variant>
        <vt:lpwstr>_Toc319579261</vt:lpwstr>
      </vt:variant>
      <vt:variant>
        <vt:i4>1835071</vt:i4>
      </vt:variant>
      <vt:variant>
        <vt:i4>86</vt:i4>
      </vt:variant>
      <vt:variant>
        <vt:i4>0</vt:i4>
      </vt:variant>
      <vt:variant>
        <vt:i4>5</vt:i4>
      </vt:variant>
      <vt:variant>
        <vt:lpwstr/>
      </vt:variant>
      <vt:variant>
        <vt:lpwstr>_Toc319579260</vt:lpwstr>
      </vt:variant>
      <vt:variant>
        <vt:i4>2031679</vt:i4>
      </vt:variant>
      <vt:variant>
        <vt:i4>80</vt:i4>
      </vt:variant>
      <vt:variant>
        <vt:i4>0</vt:i4>
      </vt:variant>
      <vt:variant>
        <vt:i4>5</vt:i4>
      </vt:variant>
      <vt:variant>
        <vt:lpwstr/>
      </vt:variant>
      <vt:variant>
        <vt:lpwstr>_Toc319579259</vt:lpwstr>
      </vt:variant>
      <vt:variant>
        <vt:i4>2031679</vt:i4>
      </vt:variant>
      <vt:variant>
        <vt:i4>74</vt:i4>
      </vt:variant>
      <vt:variant>
        <vt:i4>0</vt:i4>
      </vt:variant>
      <vt:variant>
        <vt:i4>5</vt:i4>
      </vt:variant>
      <vt:variant>
        <vt:lpwstr/>
      </vt:variant>
      <vt:variant>
        <vt:lpwstr>_Toc319579258</vt:lpwstr>
      </vt:variant>
      <vt:variant>
        <vt:i4>2031679</vt:i4>
      </vt:variant>
      <vt:variant>
        <vt:i4>68</vt:i4>
      </vt:variant>
      <vt:variant>
        <vt:i4>0</vt:i4>
      </vt:variant>
      <vt:variant>
        <vt:i4>5</vt:i4>
      </vt:variant>
      <vt:variant>
        <vt:lpwstr/>
      </vt:variant>
      <vt:variant>
        <vt:lpwstr>_Toc319579257</vt:lpwstr>
      </vt:variant>
      <vt:variant>
        <vt:i4>2031679</vt:i4>
      </vt:variant>
      <vt:variant>
        <vt:i4>62</vt:i4>
      </vt:variant>
      <vt:variant>
        <vt:i4>0</vt:i4>
      </vt:variant>
      <vt:variant>
        <vt:i4>5</vt:i4>
      </vt:variant>
      <vt:variant>
        <vt:lpwstr/>
      </vt:variant>
      <vt:variant>
        <vt:lpwstr>_Toc319579256</vt:lpwstr>
      </vt:variant>
      <vt:variant>
        <vt:i4>2031679</vt:i4>
      </vt:variant>
      <vt:variant>
        <vt:i4>56</vt:i4>
      </vt:variant>
      <vt:variant>
        <vt:i4>0</vt:i4>
      </vt:variant>
      <vt:variant>
        <vt:i4>5</vt:i4>
      </vt:variant>
      <vt:variant>
        <vt:lpwstr/>
      </vt:variant>
      <vt:variant>
        <vt:lpwstr>_Toc319579255</vt:lpwstr>
      </vt:variant>
      <vt:variant>
        <vt:i4>2031679</vt:i4>
      </vt:variant>
      <vt:variant>
        <vt:i4>50</vt:i4>
      </vt:variant>
      <vt:variant>
        <vt:i4>0</vt:i4>
      </vt:variant>
      <vt:variant>
        <vt:i4>5</vt:i4>
      </vt:variant>
      <vt:variant>
        <vt:lpwstr/>
      </vt:variant>
      <vt:variant>
        <vt:lpwstr>_Toc319579254</vt:lpwstr>
      </vt:variant>
      <vt:variant>
        <vt:i4>2031679</vt:i4>
      </vt:variant>
      <vt:variant>
        <vt:i4>44</vt:i4>
      </vt:variant>
      <vt:variant>
        <vt:i4>0</vt:i4>
      </vt:variant>
      <vt:variant>
        <vt:i4>5</vt:i4>
      </vt:variant>
      <vt:variant>
        <vt:lpwstr/>
      </vt:variant>
      <vt:variant>
        <vt:lpwstr>_Toc319579253</vt:lpwstr>
      </vt:variant>
      <vt:variant>
        <vt:i4>2031679</vt:i4>
      </vt:variant>
      <vt:variant>
        <vt:i4>38</vt:i4>
      </vt:variant>
      <vt:variant>
        <vt:i4>0</vt:i4>
      </vt:variant>
      <vt:variant>
        <vt:i4>5</vt:i4>
      </vt:variant>
      <vt:variant>
        <vt:lpwstr/>
      </vt:variant>
      <vt:variant>
        <vt:lpwstr>_Toc319579252</vt:lpwstr>
      </vt:variant>
      <vt:variant>
        <vt:i4>2031679</vt:i4>
      </vt:variant>
      <vt:variant>
        <vt:i4>32</vt:i4>
      </vt:variant>
      <vt:variant>
        <vt:i4>0</vt:i4>
      </vt:variant>
      <vt:variant>
        <vt:i4>5</vt:i4>
      </vt:variant>
      <vt:variant>
        <vt:lpwstr/>
      </vt:variant>
      <vt:variant>
        <vt:lpwstr>_Toc319579251</vt:lpwstr>
      </vt:variant>
      <vt:variant>
        <vt:i4>2031679</vt:i4>
      </vt:variant>
      <vt:variant>
        <vt:i4>26</vt:i4>
      </vt:variant>
      <vt:variant>
        <vt:i4>0</vt:i4>
      </vt:variant>
      <vt:variant>
        <vt:i4>5</vt:i4>
      </vt:variant>
      <vt:variant>
        <vt:lpwstr/>
      </vt:variant>
      <vt:variant>
        <vt:lpwstr>_Toc319579250</vt:lpwstr>
      </vt:variant>
      <vt:variant>
        <vt:i4>1966143</vt:i4>
      </vt:variant>
      <vt:variant>
        <vt:i4>20</vt:i4>
      </vt:variant>
      <vt:variant>
        <vt:i4>0</vt:i4>
      </vt:variant>
      <vt:variant>
        <vt:i4>5</vt:i4>
      </vt:variant>
      <vt:variant>
        <vt:lpwstr/>
      </vt:variant>
      <vt:variant>
        <vt:lpwstr>_Toc319579249</vt:lpwstr>
      </vt:variant>
      <vt:variant>
        <vt:i4>1966143</vt:i4>
      </vt:variant>
      <vt:variant>
        <vt:i4>14</vt:i4>
      </vt:variant>
      <vt:variant>
        <vt:i4>0</vt:i4>
      </vt:variant>
      <vt:variant>
        <vt:i4>5</vt:i4>
      </vt:variant>
      <vt:variant>
        <vt:lpwstr/>
      </vt:variant>
      <vt:variant>
        <vt:lpwstr>_Toc319579248</vt:lpwstr>
      </vt:variant>
      <vt:variant>
        <vt:i4>1966143</vt:i4>
      </vt:variant>
      <vt:variant>
        <vt:i4>8</vt:i4>
      </vt:variant>
      <vt:variant>
        <vt:i4>0</vt:i4>
      </vt:variant>
      <vt:variant>
        <vt:i4>5</vt:i4>
      </vt:variant>
      <vt:variant>
        <vt:lpwstr/>
      </vt:variant>
      <vt:variant>
        <vt:lpwstr>_Toc319579247</vt:lpwstr>
      </vt:variant>
      <vt:variant>
        <vt:i4>1966143</vt:i4>
      </vt:variant>
      <vt:variant>
        <vt:i4>2</vt:i4>
      </vt:variant>
      <vt:variant>
        <vt:i4>0</vt:i4>
      </vt:variant>
      <vt:variant>
        <vt:i4>5</vt:i4>
      </vt:variant>
      <vt:variant>
        <vt:lpwstr/>
      </vt:variant>
      <vt:variant>
        <vt:lpwstr>_Toc319579246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Manukau Institute of Technology (MIT) Policy Template</dc:title>
  <dc:creator>Niki Bailey</dc:creator>
  <dc:description>March 2012</dc:description>
  <cp:lastModifiedBy>Chris Mayhew</cp:lastModifiedBy>
  <cp:revision>2</cp:revision>
  <cp:lastPrinted>2015-11-27T00:33:00Z</cp:lastPrinted>
  <dcterms:created xsi:type="dcterms:W3CDTF">2017-08-22T21:19:00Z</dcterms:created>
  <dcterms:modified xsi:type="dcterms:W3CDTF">2017-08-22T21:19:00Z</dcterms:modified>
  <cp:category>Template for Policy</cp:category>
</cp:coreProperties>
</file>