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03" w:rsidRDefault="000835AF" w:rsidP="00FE756F">
      <w:pPr>
        <w:pStyle w:val="BlockText"/>
      </w:pPr>
      <w:bookmarkStart w:id="0" w:name="_GoBack"/>
      <w:bookmarkEnd w:id="0"/>
      <w:r>
        <w:rPr>
          <w:noProof/>
          <w:lang w:val="en-NZ" w:eastAsia="en-NZ"/>
        </w:rPr>
        <w:drawing>
          <wp:anchor distT="0" distB="0" distL="114300" distR="114300" simplePos="0" relativeHeight="251660288" behindDoc="1" locked="0" layoutInCell="1" allowOverlap="1" wp14:anchorId="64AC1481" wp14:editId="389B9266">
            <wp:simplePos x="0" y="0"/>
            <wp:positionH relativeFrom="column">
              <wp:posOffset>-796290</wp:posOffset>
            </wp:positionH>
            <wp:positionV relativeFrom="paragraph">
              <wp:posOffset>-1444625</wp:posOffset>
            </wp:positionV>
            <wp:extent cx="7658100" cy="1676400"/>
            <wp:effectExtent l="0" t="0" r="0" b="0"/>
            <wp:wrapNone/>
            <wp:docPr id="17" name="Picture 17" descr="MIT h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T heade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2"/>
          <w:lang w:val="en-NZ" w:eastAsia="en-NZ"/>
        </w:rPr>
        <mc:AlternateContent>
          <mc:Choice Requires="wps">
            <w:drawing>
              <wp:anchor distT="0" distB="0" distL="114300" distR="114300" simplePos="0" relativeHeight="251655168" behindDoc="0" locked="0" layoutInCell="1" allowOverlap="1" wp14:anchorId="434C1E5C" wp14:editId="5A3577F4">
                <wp:simplePos x="0" y="0"/>
                <wp:positionH relativeFrom="column">
                  <wp:posOffset>0</wp:posOffset>
                </wp:positionH>
                <wp:positionV relativeFrom="paragraph">
                  <wp:posOffset>-914400</wp:posOffset>
                </wp:positionV>
                <wp:extent cx="4000500" cy="914400"/>
                <wp:effectExtent l="0" t="0" r="3810" b="317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73E" w:rsidRPr="00CD3903" w:rsidRDefault="0043473E" w:rsidP="00892EF9">
                            <w:pPr>
                              <w:pStyle w:val="DocumentTitle"/>
                            </w:pPr>
                            <w:bookmarkStart w:id="1" w:name="PolicyName1"/>
                            <w:r>
                              <w:t>Records Management Policy</w:t>
                            </w:r>
                            <w:bookmarkEnd w:id="1"/>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C1E5C" id="_x0000_t202" coordsize="21600,21600" o:spt="202" path="m,l,21600r21600,l21600,xe">
                <v:stroke joinstyle="miter"/>
                <v:path gradientshapeok="t" o:connecttype="rect"/>
              </v:shapetype>
              <v:shape id="Text Box 8" o:spid="_x0000_s1026" type="#_x0000_t202" style="position:absolute;left:0;text-align:left;margin-left:0;margin-top:-1in;width:31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" filled="f" stroked="f">
                <v:textbox inset=",7.2pt,,7.2pt">
                  <w:txbxContent>
                    <w:p w:rsidR="0043473E" w:rsidRPr="00CD3903" w:rsidRDefault="0043473E" w:rsidP="00892EF9">
                      <w:pPr>
                        <w:pStyle w:val="DocumentTitle"/>
                      </w:pPr>
                      <w:bookmarkStart w:id="1" w:name="PolicyName1"/>
                      <w:r>
                        <w:t>Records Management Policy</w:t>
                      </w:r>
                      <w:bookmarkEnd w:id="1"/>
                    </w:p>
                  </w:txbxContent>
                </v:textbox>
              </v:shape>
            </w:pict>
          </mc:Fallback>
        </mc:AlternateContent>
      </w:r>
    </w:p>
    <w:bookmarkStart w:id="2" w:name="_Toc371486955" w:displacedByCustomXml="next"/>
    <w:sdt>
      <w:sdtPr>
        <w:alias w:val=" "/>
        <w:tag w:val=" "/>
        <w:id w:val="2056115524"/>
        <w:lock w:val="sdtContentLocked"/>
        <w:placeholder>
          <w:docPart w:val="A5E80BCE747D46D281BB8FDE7ADE9EC5"/>
        </w:placeholder>
      </w:sdtPr>
      <w:sdtEndPr/>
      <w:sdtContent>
        <w:p w:rsidR="0028594D" w:rsidRPr="0028594D" w:rsidRDefault="0028594D" w:rsidP="0028594D">
          <w:pPr>
            <w:pStyle w:val="Heading1"/>
          </w:pPr>
          <w:r w:rsidRPr="0028594D">
            <w:t>Audience and scope</w:t>
          </w:r>
          <w:r w:rsidR="00244822">
            <w:t>:</w:t>
          </w:r>
        </w:p>
      </w:sdtContent>
    </w:sdt>
    <w:bookmarkEnd w:id="2" w:displacedByCustomXml="prev"/>
    <w:p w:rsidR="00A41EE7" w:rsidRDefault="00A41EE7" w:rsidP="00A41EE7">
      <w:pPr>
        <w:pStyle w:val="HeadingLine"/>
      </w:pPr>
    </w:p>
    <w:p w:rsidR="00192B02" w:rsidRPr="00454203" w:rsidRDefault="00CD3903" w:rsidP="00965328">
      <w:pPr>
        <w:pStyle w:val="BlockText"/>
        <w:ind w:left="0"/>
        <w:rPr>
          <w:rFonts w:cs="Arial"/>
        </w:rPr>
      </w:pPr>
      <w:r w:rsidRPr="00454203">
        <w:rPr>
          <w:rFonts w:cs="Arial"/>
        </w:rPr>
        <w:t xml:space="preserve">This policy is relevant to </w:t>
      </w:r>
      <w:r w:rsidR="00192B02" w:rsidRPr="00454203">
        <w:rPr>
          <w:rFonts w:cs="Arial"/>
        </w:rPr>
        <w:t xml:space="preserve">all staff.  It applies to all </w:t>
      </w:r>
      <w:r w:rsidR="00192B02" w:rsidRPr="00454203">
        <w:rPr>
          <w:rFonts w:cs="Arial"/>
          <w:color w:val="000000" w:themeColor="text1"/>
        </w:rPr>
        <w:t>records created, received, or maintained in the course of MIT’s business activities. It applies to all records irrespective of format, storage medium or geographic location</w:t>
      </w:r>
      <w:r w:rsidR="00192B02" w:rsidRPr="00454203">
        <w:rPr>
          <w:rFonts w:cs="Arial"/>
        </w:rPr>
        <w:t>.</w:t>
      </w:r>
    </w:p>
    <w:p w:rsidR="00CD00B3" w:rsidRPr="00454203" w:rsidRDefault="00CD00B3" w:rsidP="00192B02">
      <w:pPr>
        <w:pStyle w:val="Bullet1"/>
        <w:numPr>
          <w:ilvl w:val="0"/>
          <w:numId w:val="0"/>
        </w:numPr>
        <w:rPr>
          <w:rFonts w:cs="Arial"/>
        </w:rPr>
      </w:pPr>
    </w:p>
    <w:bookmarkStart w:id="3" w:name="_Toc321125835" w:displacedByCustomXml="next"/>
    <w:bookmarkStart w:id="4" w:name="_Toc321122934" w:displacedByCustomXml="next"/>
    <w:bookmarkStart w:id="5" w:name="_Toc371486956" w:displacedByCustomXml="next"/>
    <w:sdt>
      <w:sdtPr>
        <w:id w:val="-1946766935"/>
        <w:lock w:val="sdtContentLocked"/>
        <w:placeholder>
          <w:docPart w:val="A5E80BCE747D46D281BB8FDE7ADE9EC5"/>
        </w:placeholder>
      </w:sdtPr>
      <w:sdtEndPr/>
      <w:sdtContent>
        <w:p w:rsidR="00CD3903" w:rsidRPr="00126BF0" w:rsidRDefault="00CD3903" w:rsidP="00AF2146">
          <w:pPr>
            <w:pStyle w:val="Heading3"/>
          </w:pPr>
          <w:r w:rsidRPr="00126BF0">
            <w:t>Document management and control</w:t>
          </w:r>
        </w:p>
        <w:bookmarkEnd w:id="3" w:displacedByCustomXml="next"/>
        <w:bookmarkEnd w:id="4" w:displacedByCustomXml="next"/>
      </w:sdtContent>
    </w:sdt>
    <w:bookmarkEnd w:id="5" w:displacedByCustomXml="prev"/>
    <w:tbl>
      <w:tblPr>
        <w:tblW w:w="9720"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520"/>
        <w:gridCol w:w="2520"/>
        <w:gridCol w:w="2340"/>
        <w:gridCol w:w="2340"/>
      </w:tblGrid>
      <w:tr w:rsidR="00CD3903">
        <w:tc>
          <w:tcPr>
            <w:tcW w:w="2520" w:type="dxa"/>
            <w:shd w:val="clear" w:color="auto" w:fill="808080"/>
          </w:tcPr>
          <w:sdt>
            <w:sdtPr>
              <w:id w:val="1510953903"/>
              <w:lock w:val="sdtContentLocked"/>
              <w:placeholder>
                <w:docPart w:val="A5E80BCE747D46D281BB8FDE7ADE9EC5"/>
              </w:placeholder>
            </w:sdtPr>
            <w:sdtEndPr/>
            <w:sdtContent>
              <w:p w:rsidR="00CD3903" w:rsidRPr="00892EF9" w:rsidRDefault="00CD3903" w:rsidP="00F42189">
                <w:pPr>
                  <w:pStyle w:val="TableHdg"/>
                </w:pPr>
                <w:r w:rsidRPr="00892EF9">
                  <w:t>Policy Number</w:t>
                </w:r>
              </w:p>
            </w:sdtContent>
          </w:sdt>
        </w:tc>
        <w:tc>
          <w:tcPr>
            <w:tcW w:w="2520" w:type="dxa"/>
            <w:shd w:val="clear" w:color="auto" w:fill="auto"/>
          </w:tcPr>
          <w:p w:rsidR="00CD3903" w:rsidRDefault="00CD00B3" w:rsidP="00892EF9">
            <w:pPr>
              <w:pStyle w:val="TableText"/>
            </w:pPr>
            <w:bookmarkStart w:id="6" w:name="PolicyNumber"/>
            <w:bookmarkEnd w:id="6"/>
            <w:r>
              <w:t>LC4</w:t>
            </w:r>
          </w:p>
        </w:tc>
        <w:tc>
          <w:tcPr>
            <w:tcW w:w="2340" w:type="dxa"/>
            <w:shd w:val="clear" w:color="auto" w:fill="808080"/>
          </w:tcPr>
          <w:sdt>
            <w:sdtPr>
              <w:id w:val="1899159345"/>
              <w:lock w:val="sdtContentLocked"/>
              <w:placeholder>
                <w:docPart w:val="A5E80BCE747D46D281BB8FDE7ADE9EC5"/>
              </w:placeholder>
            </w:sdtPr>
            <w:sdtEndPr/>
            <w:sdtContent>
              <w:p w:rsidR="00CD3903" w:rsidRPr="00892EF9" w:rsidRDefault="00CD3903" w:rsidP="00892EF9">
                <w:pPr>
                  <w:pStyle w:val="TableHdg"/>
                </w:pPr>
                <w:r w:rsidRPr="00892EF9">
                  <w:t>Consultation Scope</w:t>
                </w:r>
              </w:p>
            </w:sdtContent>
          </w:sdt>
        </w:tc>
        <w:tc>
          <w:tcPr>
            <w:tcW w:w="2340" w:type="dxa"/>
            <w:shd w:val="clear" w:color="auto" w:fill="auto"/>
          </w:tcPr>
          <w:p w:rsidR="00CD3903" w:rsidRDefault="00CD00B3" w:rsidP="00CD3903">
            <w:pPr>
              <w:pStyle w:val="TableText"/>
            </w:pPr>
            <w:r>
              <w:t>Chief Executive, Directors and Deans</w:t>
            </w:r>
          </w:p>
        </w:tc>
      </w:tr>
      <w:tr w:rsidR="00CD3903" w:rsidRPr="00767485">
        <w:tc>
          <w:tcPr>
            <w:tcW w:w="2520" w:type="dxa"/>
            <w:shd w:val="clear" w:color="auto" w:fill="808080"/>
          </w:tcPr>
          <w:sdt>
            <w:sdtPr>
              <w:id w:val="-81836599"/>
              <w:lock w:val="sdtContentLocked"/>
              <w:placeholder>
                <w:docPart w:val="A5E80BCE747D46D281BB8FDE7ADE9EC5"/>
              </w:placeholder>
            </w:sdtPr>
            <w:sdtEndPr/>
            <w:sdtContent>
              <w:p w:rsidR="00CD3903" w:rsidRPr="00892EF9" w:rsidRDefault="00CD3903" w:rsidP="00892EF9">
                <w:pPr>
                  <w:pStyle w:val="TableHdg"/>
                </w:pPr>
                <w:r w:rsidRPr="00892EF9">
                  <w:t>Category</w:t>
                </w:r>
              </w:p>
            </w:sdtContent>
          </w:sdt>
        </w:tc>
        <w:tc>
          <w:tcPr>
            <w:tcW w:w="2520" w:type="dxa"/>
            <w:shd w:val="clear" w:color="auto" w:fill="auto"/>
          </w:tcPr>
          <w:p w:rsidR="00CD3903" w:rsidRDefault="00CD00B3" w:rsidP="00CD3903">
            <w:pPr>
              <w:pStyle w:val="TableText"/>
            </w:pPr>
            <w:r>
              <w:t>Legal and Contracts</w:t>
            </w:r>
          </w:p>
        </w:tc>
        <w:tc>
          <w:tcPr>
            <w:tcW w:w="2340" w:type="dxa"/>
            <w:shd w:val="clear" w:color="auto" w:fill="808080"/>
          </w:tcPr>
          <w:sdt>
            <w:sdtPr>
              <w:id w:val="816686211"/>
              <w:lock w:val="sdtContentLocked"/>
              <w:placeholder>
                <w:docPart w:val="A5E80BCE747D46D281BB8FDE7ADE9EC5"/>
              </w:placeholder>
            </w:sdtPr>
            <w:sdtEndPr/>
            <w:sdtContent>
              <w:p w:rsidR="00CD3903" w:rsidRPr="00892EF9" w:rsidRDefault="00CD3903" w:rsidP="00596EDE">
                <w:pPr>
                  <w:pStyle w:val="TableHdg"/>
                </w:pPr>
                <w:r w:rsidRPr="00892EF9">
                  <w:t>Approval</w:t>
                </w:r>
                <w:r w:rsidR="00463333">
                  <w:t xml:space="preserve"> Bodies</w:t>
                </w:r>
                <w:r w:rsidRPr="00892EF9">
                  <w:t xml:space="preserve"> </w:t>
                </w:r>
              </w:p>
            </w:sdtContent>
          </w:sdt>
        </w:tc>
        <w:tc>
          <w:tcPr>
            <w:tcW w:w="2340" w:type="dxa"/>
            <w:shd w:val="clear" w:color="auto" w:fill="auto"/>
          </w:tcPr>
          <w:p w:rsidR="00CD3903" w:rsidRDefault="00CD00B3" w:rsidP="00CD3903">
            <w:pPr>
              <w:pStyle w:val="TableText"/>
            </w:pPr>
            <w:r>
              <w:t>Chief Executive</w:t>
            </w:r>
          </w:p>
        </w:tc>
      </w:tr>
      <w:tr w:rsidR="00CD3903" w:rsidRPr="00767485">
        <w:tc>
          <w:tcPr>
            <w:tcW w:w="2520" w:type="dxa"/>
            <w:shd w:val="clear" w:color="auto" w:fill="808080"/>
          </w:tcPr>
          <w:sdt>
            <w:sdtPr>
              <w:id w:val="170838147"/>
              <w:lock w:val="sdtContentLocked"/>
              <w:placeholder>
                <w:docPart w:val="A5E80BCE747D46D281BB8FDE7ADE9EC5"/>
              </w:placeholder>
            </w:sdtPr>
            <w:sdtEndPr/>
            <w:sdtContent>
              <w:p w:rsidR="00CD3903" w:rsidRPr="00892EF9" w:rsidRDefault="00CD3903" w:rsidP="00892EF9">
                <w:pPr>
                  <w:pStyle w:val="TableHdg"/>
                </w:pPr>
                <w:r w:rsidRPr="00892EF9">
                  <w:t>Policy Owner</w:t>
                </w:r>
              </w:p>
            </w:sdtContent>
          </w:sdt>
        </w:tc>
        <w:tc>
          <w:tcPr>
            <w:tcW w:w="2520" w:type="dxa"/>
            <w:shd w:val="clear" w:color="auto" w:fill="auto"/>
          </w:tcPr>
          <w:p w:rsidR="00CD3903" w:rsidRDefault="00A02E25" w:rsidP="00CD3903">
            <w:pPr>
              <w:pStyle w:val="TableText"/>
            </w:pPr>
            <w:r>
              <w:t>CFO and Director Corporate Services</w:t>
            </w:r>
          </w:p>
        </w:tc>
        <w:sdt>
          <w:sdtPr>
            <w:id w:val="1636064943"/>
            <w:lock w:val="sdtContentLocked"/>
            <w:placeholder>
              <w:docPart w:val="A5E80BCE747D46D281BB8FDE7ADE9EC5"/>
            </w:placeholder>
          </w:sdtPr>
          <w:sdtEndPr/>
          <w:sdtContent>
            <w:tc>
              <w:tcPr>
                <w:tcW w:w="2340" w:type="dxa"/>
                <w:shd w:val="clear" w:color="auto" w:fill="808080"/>
              </w:tcPr>
              <w:p w:rsidR="00CD3903" w:rsidRPr="00892EF9" w:rsidRDefault="00463333" w:rsidP="00463333">
                <w:pPr>
                  <w:pStyle w:val="TableHdg"/>
                </w:pPr>
                <w:r>
                  <w:t>Review Dates</w:t>
                </w:r>
              </w:p>
            </w:tc>
          </w:sdtContent>
        </w:sdt>
        <w:tc>
          <w:tcPr>
            <w:tcW w:w="2340" w:type="dxa"/>
            <w:shd w:val="clear" w:color="auto" w:fill="auto"/>
          </w:tcPr>
          <w:p w:rsidR="00CD3903" w:rsidRDefault="00CD00B3" w:rsidP="00CD3903">
            <w:pPr>
              <w:pStyle w:val="TableText"/>
            </w:pPr>
            <w:r>
              <w:t>March 201</w:t>
            </w:r>
            <w:r w:rsidR="00527C15">
              <w:t>7</w:t>
            </w:r>
          </w:p>
        </w:tc>
      </w:tr>
      <w:tr w:rsidR="00463333" w:rsidRPr="00767485">
        <w:trPr>
          <w:gridAfter w:val="2"/>
          <w:wAfter w:w="4680" w:type="dxa"/>
        </w:trPr>
        <w:tc>
          <w:tcPr>
            <w:tcW w:w="2520" w:type="dxa"/>
            <w:shd w:val="clear" w:color="auto" w:fill="808080"/>
          </w:tcPr>
          <w:sdt>
            <w:sdtPr>
              <w:id w:val="1448345124"/>
              <w:lock w:val="sdtContentLocked"/>
              <w:placeholder>
                <w:docPart w:val="9BB7E9DF047D4A15B57EB6057B29BF5A"/>
              </w:placeholder>
            </w:sdtPr>
            <w:sdtEndPr/>
            <w:sdtContent>
              <w:p w:rsidR="00463333" w:rsidRPr="00892EF9" w:rsidRDefault="00463333" w:rsidP="00892EF9">
                <w:pPr>
                  <w:pStyle w:val="TableHdg"/>
                </w:pPr>
                <w:r w:rsidRPr="00892EF9">
                  <w:t>Policy Contact Person</w:t>
                </w:r>
              </w:p>
            </w:sdtContent>
          </w:sdt>
        </w:tc>
        <w:tc>
          <w:tcPr>
            <w:tcW w:w="2520" w:type="dxa"/>
            <w:shd w:val="clear" w:color="auto" w:fill="auto"/>
          </w:tcPr>
          <w:p w:rsidR="00463333" w:rsidRDefault="00A02E25" w:rsidP="00CD3903">
            <w:pPr>
              <w:pStyle w:val="TableText"/>
            </w:pPr>
            <w:r>
              <w:t>Legal and Contracts Manager</w:t>
            </w:r>
          </w:p>
        </w:tc>
      </w:tr>
    </w:tbl>
    <w:bookmarkStart w:id="7" w:name="_Toc321125836" w:displacedByCustomXml="next"/>
    <w:bookmarkStart w:id="8" w:name="_Toc321122935" w:displacedByCustomXml="next"/>
    <w:bookmarkStart w:id="9" w:name="_Toc371486957" w:displacedByCustomXml="next"/>
    <w:sdt>
      <w:sdtPr>
        <w:id w:val="-1777480883"/>
        <w:lock w:val="sdtContentLocked"/>
        <w:placeholder>
          <w:docPart w:val="A5E80BCE747D46D281BB8FDE7ADE9EC5"/>
        </w:placeholder>
      </w:sdtPr>
      <w:sdtEndPr/>
      <w:sdtContent>
        <w:p w:rsidR="00CD3903" w:rsidRPr="00BC57E8" w:rsidRDefault="00CD3903" w:rsidP="00AF2146">
          <w:pPr>
            <w:pStyle w:val="Heading3"/>
          </w:pPr>
          <w:r w:rsidRPr="00BC57E8">
            <w:t>Amendment history</w:t>
          </w:r>
        </w:p>
        <w:bookmarkEnd w:id="7" w:displacedByCustomXml="next"/>
        <w:bookmarkEnd w:id="8" w:displacedByCustomXml="next"/>
      </w:sdtContent>
    </w:sdt>
    <w:bookmarkEnd w:id="9" w:displacedByCustomXml="prev"/>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620"/>
        <w:gridCol w:w="1782"/>
        <w:gridCol w:w="3065"/>
        <w:gridCol w:w="3227"/>
      </w:tblGrid>
      <w:tr w:rsidR="00CD3903" w:rsidRPr="00767485">
        <w:tc>
          <w:tcPr>
            <w:tcW w:w="1620" w:type="dxa"/>
            <w:shd w:val="clear" w:color="auto" w:fill="808080"/>
          </w:tcPr>
          <w:sdt>
            <w:sdtPr>
              <w:id w:val="1206757316"/>
              <w:lock w:val="sdtContentLocked"/>
              <w:placeholder>
                <w:docPart w:val="A5E80BCE747D46D281BB8FDE7ADE9EC5"/>
              </w:placeholder>
            </w:sdtPr>
            <w:sdtEndPr/>
            <w:sdtContent>
              <w:p w:rsidR="00CD3903" w:rsidRPr="00892EF9" w:rsidRDefault="00CD3903" w:rsidP="00892EF9">
                <w:pPr>
                  <w:pStyle w:val="TableHdg"/>
                </w:pPr>
                <w:r w:rsidRPr="00892EF9">
                  <w:t>Version</w:t>
                </w:r>
              </w:p>
            </w:sdtContent>
          </w:sdt>
        </w:tc>
        <w:tc>
          <w:tcPr>
            <w:tcW w:w="1782" w:type="dxa"/>
            <w:shd w:val="clear" w:color="auto" w:fill="808080"/>
          </w:tcPr>
          <w:sdt>
            <w:sdtPr>
              <w:id w:val="-1544279708"/>
              <w:lock w:val="sdtContentLocked"/>
              <w:placeholder>
                <w:docPart w:val="A5E80BCE747D46D281BB8FDE7ADE9EC5"/>
              </w:placeholder>
            </w:sdtPr>
            <w:sdtEndPr/>
            <w:sdtContent>
              <w:p w:rsidR="00CD3903" w:rsidRPr="00892EF9" w:rsidRDefault="00CD3903" w:rsidP="00892EF9">
                <w:pPr>
                  <w:pStyle w:val="TableHdg"/>
                </w:pPr>
                <w:r w:rsidRPr="00892EF9">
                  <w:t>Effective Date</w:t>
                </w:r>
              </w:p>
            </w:sdtContent>
          </w:sdt>
        </w:tc>
        <w:tc>
          <w:tcPr>
            <w:tcW w:w="3065" w:type="dxa"/>
            <w:shd w:val="clear" w:color="auto" w:fill="808080"/>
          </w:tcPr>
          <w:sdt>
            <w:sdtPr>
              <w:id w:val="-898444194"/>
              <w:lock w:val="sdtContentLocked"/>
              <w:placeholder>
                <w:docPart w:val="A5E80BCE747D46D281BB8FDE7ADE9EC5"/>
              </w:placeholder>
            </w:sdtPr>
            <w:sdtEndPr/>
            <w:sdtContent>
              <w:p w:rsidR="00CD3903" w:rsidRPr="00892EF9" w:rsidRDefault="00CD3903" w:rsidP="00892EF9">
                <w:pPr>
                  <w:pStyle w:val="TableHdg"/>
                </w:pPr>
                <w:r w:rsidRPr="00892EF9">
                  <w:t>Created/Reviewed by</w:t>
                </w:r>
              </w:p>
            </w:sdtContent>
          </w:sdt>
        </w:tc>
        <w:sdt>
          <w:sdtPr>
            <w:id w:val="146711602"/>
            <w:lock w:val="sdtContentLocked"/>
            <w:placeholder>
              <w:docPart w:val="A5E80BCE747D46D281BB8FDE7ADE9EC5"/>
            </w:placeholder>
          </w:sdtPr>
          <w:sdtEndPr/>
          <w:sdtContent>
            <w:tc>
              <w:tcPr>
                <w:tcW w:w="3227" w:type="dxa"/>
                <w:shd w:val="clear" w:color="auto" w:fill="808080"/>
              </w:tcPr>
              <w:p w:rsidR="00CD3903" w:rsidRPr="00892EF9" w:rsidRDefault="00CD3903" w:rsidP="00892EF9">
                <w:pPr>
                  <w:pStyle w:val="TableHdg"/>
                </w:pPr>
                <w:r w:rsidRPr="00892EF9">
                  <w:t>Reason for review/Comment</w:t>
                </w:r>
              </w:p>
            </w:tc>
          </w:sdtContent>
        </w:sdt>
      </w:tr>
      <w:tr w:rsidR="00CD3903">
        <w:trPr>
          <w:trHeight w:val="240"/>
        </w:trPr>
        <w:tc>
          <w:tcPr>
            <w:tcW w:w="1620" w:type="dxa"/>
            <w:shd w:val="clear" w:color="auto" w:fill="auto"/>
          </w:tcPr>
          <w:p w:rsidR="00CD3903" w:rsidRDefault="00CD00B3" w:rsidP="00CD3903">
            <w:pPr>
              <w:pStyle w:val="TableText"/>
            </w:pPr>
            <w:r>
              <w:t>1</w:t>
            </w:r>
          </w:p>
        </w:tc>
        <w:tc>
          <w:tcPr>
            <w:tcW w:w="1782" w:type="dxa"/>
            <w:shd w:val="clear" w:color="auto" w:fill="auto"/>
          </w:tcPr>
          <w:p w:rsidR="00CD3903" w:rsidRDefault="00CD00B3" w:rsidP="00CD3903">
            <w:pPr>
              <w:pStyle w:val="TableText"/>
            </w:pPr>
            <w:r>
              <w:t>1 / 12 / 2013</w:t>
            </w:r>
          </w:p>
        </w:tc>
        <w:tc>
          <w:tcPr>
            <w:tcW w:w="3065" w:type="dxa"/>
            <w:shd w:val="clear" w:color="auto" w:fill="auto"/>
          </w:tcPr>
          <w:p w:rsidR="00CD3903" w:rsidRDefault="00CD00B3" w:rsidP="00CD3903">
            <w:pPr>
              <w:pStyle w:val="TableText"/>
            </w:pPr>
            <w:r>
              <w:t>Stephen Hunt</w:t>
            </w:r>
          </w:p>
        </w:tc>
        <w:tc>
          <w:tcPr>
            <w:tcW w:w="3227" w:type="dxa"/>
            <w:shd w:val="clear" w:color="auto" w:fill="auto"/>
          </w:tcPr>
          <w:p w:rsidR="00CD3903" w:rsidRDefault="00CD00B3" w:rsidP="00CD3903">
            <w:pPr>
              <w:pStyle w:val="TableText"/>
            </w:pPr>
            <w:r>
              <w:t>Regular cyclic review</w:t>
            </w:r>
          </w:p>
        </w:tc>
      </w:tr>
      <w:tr w:rsidR="00CD3903">
        <w:trPr>
          <w:trHeight w:val="240"/>
        </w:trPr>
        <w:tc>
          <w:tcPr>
            <w:tcW w:w="1620" w:type="dxa"/>
            <w:shd w:val="clear" w:color="auto" w:fill="auto"/>
          </w:tcPr>
          <w:p w:rsidR="00CD3903" w:rsidRDefault="00A02E25" w:rsidP="00CD3903">
            <w:pPr>
              <w:pStyle w:val="TableText"/>
            </w:pPr>
            <w:r>
              <w:t>2</w:t>
            </w:r>
          </w:p>
        </w:tc>
        <w:tc>
          <w:tcPr>
            <w:tcW w:w="1782" w:type="dxa"/>
            <w:shd w:val="clear" w:color="auto" w:fill="auto"/>
          </w:tcPr>
          <w:p w:rsidR="00CD3903" w:rsidRDefault="00527C15" w:rsidP="00CD3903">
            <w:pPr>
              <w:pStyle w:val="TableText"/>
            </w:pPr>
            <w:r>
              <w:t>26 / 8 / 2015</w:t>
            </w:r>
          </w:p>
        </w:tc>
        <w:tc>
          <w:tcPr>
            <w:tcW w:w="3065" w:type="dxa"/>
            <w:shd w:val="clear" w:color="auto" w:fill="auto"/>
          </w:tcPr>
          <w:p w:rsidR="00CD3903" w:rsidRDefault="00A02E25" w:rsidP="00CD3903">
            <w:pPr>
              <w:pStyle w:val="TableText"/>
            </w:pPr>
            <w:r>
              <w:t>Greg Weston / Kara Hiron</w:t>
            </w:r>
          </w:p>
        </w:tc>
        <w:tc>
          <w:tcPr>
            <w:tcW w:w="3227" w:type="dxa"/>
            <w:shd w:val="clear" w:color="auto" w:fill="auto"/>
          </w:tcPr>
          <w:p w:rsidR="00CD3903" w:rsidRDefault="00A02E25" w:rsidP="00CD3903">
            <w:pPr>
              <w:pStyle w:val="TableText"/>
            </w:pPr>
            <w:r>
              <w:t>Regular cyclic review</w:t>
            </w: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r w:rsidR="00CD3903">
        <w:trPr>
          <w:trHeight w:val="240"/>
        </w:trPr>
        <w:tc>
          <w:tcPr>
            <w:tcW w:w="1620" w:type="dxa"/>
            <w:shd w:val="clear" w:color="auto" w:fill="auto"/>
          </w:tcPr>
          <w:p w:rsidR="00CD3903" w:rsidRDefault="00CD3903" w:rsidP="00CD3903">
            <w:pPr>
              <w:pStyle w:val="TableText"/>
            </w:pPr>
          </w:p>
        </w:tc>
        <w:tc>
          <w:tcPr>
            <w:tcW w:w="1782" w:type="dxa"/>
            <w:shd w:val="clear" w:color="auto" w:fill="auto"/>
          </w:tcPr>
          <w:p w:rsidR="00CD3903" w:rsidRDefault="00CD3903" w:rsidP="00CD3903">
            <w:pPr>
              <w:pStyle w:val="TableText"/>
            </w:pPr>
          </w:p>
        </w:tc>
        <w:tc>
          <w:tcPr>
            <w:tcW w:w="3065" w:type="dxa"/>
            <w:shd w:val="clear" w:color="auto" w:fill="auto"/>
          </w:tcPr>
          <w:p w:rsidR="00CD3903" w:rsidRDefault="00CD3903" w:rsidP="00CD3903">
            <w:pPr>
              <w:pStyle w:val="TableText"/>
            </w:pPr>
          </w:p>
        </w:tc>
        <w:tc>
          <w:tcPr>
            <w:tcW w:w="3227" w:type="dxa"/>
            <w:shd w:val="clear" w:color="auto" w:fill="auto"/>
          </w:tcPr>
          <w:p w:rsidR="00CD3903" w:rsidRDefault="00CD3903" w:rsidP="00CD3903">
            <w:pPr>
              <w:pStyle w:val="TableText"/>
            </w:pPr>
          </w:p>
        </w:tc>
      </w:tr>
    </w:tbl>
    <w:p w:rsidR="00CD3903" w:rsidRDefault="00CD3903" w:rsidP="00CD3903">
      <w:pPr>
        <w:pStyle w:val="BlockText"/>
      </w:pPr>
    </w:p>
    <w:p w:rsidR="00CD3903" w:rsidRPr="00BC57E8" w:rsidRDefault="00CD3903" w:rsidP="004C2BCE">
      <w:pPr>
        <w:pStyle w:val="Heading2"/>
      </w:pPr>
      <w:r>
        <w:br w:type="page"/>
      </w:r>
      <w:bookmarkStart w:id="10" w:name="_Toc321122936"/>
      <w:bookmarkStart w:id="11" w:name="_Toc321125837"/>
      <w:bookmarkStart w:id="12" w:name="_Toc371486958"/>
      <w:sdt>
        <w:sdtPr>
          <w:id w:val="-1003899610"/>
          <w:lock w:val="sdtContentLocked"/>
          <w:placeholder>
            <w:docPart w:val="A5E80BCE747D46D281BB8FDE7ADE9EC5"/>
          </w:placeholder>
        </w:sdtPr>
        <w:sdtEndPr/>
        <w:sdtContent>
          <w:r w:rsidRPr="00BC57E8">
            <w:t>Table of Contents</w:t>
          </w:r>
          <w:bookmarkEnd w:id="10"/>
          <w:bookmarkEnd w:id="11"/>
        </w:sdtContent>
      </w:sdt>
      <w:bookmarkEnd w:id="12"/>
    </w:p>
    <w:p w:rsidR="0096415D" w:rsidRPr="0096415D" w:rsidRDefault="0096415D" w:rsidP="0096415D">
      <w:pPr>
        <w:pStyle w:val="HeadingLine"/>
      </w:pPr>
    </w:p>
    <w:p w:rsidR="00BC05D4" w:rsidRDefault="00B63B7D">
      <w:pPr>
        <w:pStyle w:val="TOC1"/>
        <w:rPr>
          <w:rFonts w:asciiTheme="minorHAnsi" w:eastAsiaTheme="minorEastAsia" w:hAnsiTheme="minorHAnsi" w:cstheme="minorBidi"/>
          <w:b w:val="0"/>
          <w:bCs w:val="0"/>
          <w:caps w:val="0"/>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71486955" w:history="1">
        <w:r w:rsidR="00BC05D4" w:rsidRPr="00F11570">
          <w:rPr>
            <w:rStyle w:val="Hyperlink"/>
          </w:rPr>
          <w:t>Audience and scope:</w:t>
        </w:r>
        <w:r w:rsidR="00BC05D4">
          <w:rPr>
            <w:webHidden/>
          </w:rPr>
          <w:tab/>
        </w:r>
        <w:r w:rsidR="00BC05D4">
          <w:rPr>
            <w:webHidden/>
          </w:rPr>
          <w:fldChar w:fldCharType="begin"/>
        </w:r>
        <w:r w:rsidR="00BC05D4">
          <w:rPr>
            <w:webHidden/>
          </w:rPr>
          <w:instrText xml:space="preserve"> PAGEREF _Toc371486955 \h </w:instrText>
        </w:r>
        <w:r w:rsidR="00BC05D4">
          <w:rPr>
            <w:webHidden/>
          </w:rPr>
        </w:r>
        <w:r w:rsidR="00BC05D4">
          <w:rPr>
            <w:webHidden/>
          </w:rPr>
          <w:fldChar w:fldCharType="separate"/>
        </w:r>
        <w:r w:rsidR="00BC05D4">
          <w:rPr>
            <w:webHidden/>
          </w:rPr>
          <w:t>1</w:t>
        </w:r>
        <w:r w:rsidR="00BC05D4">
          <w:rPr>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56" w:history="1">
        <w:r w:rsidR="00BC05D4" w:rsidRPr="00F11570">
          <w:rPr>
            <w:rStyle w:val="Hyperlink"/>
            <w:noProof/>
          </w:rPr>
          <w:t>Document management and control</w:t>
        </w:r>
        <w:r w:rsidR="00BC05D4">
          <w:rPr>
            <w:noProof/>
            <w:webHidden/>
          </w:rPr>
          <w:tab/>
        </w:r>
        <w:r w:rsidR="00BC05D4">
          <w:rPr>
            <w:noProof/>
            <w:webHidden/>
          </w:rPr>
          <w:fldChar w:fldCharType="begin"/>
        </w:r>
        <w:r w:rsidR="00BC05D4">
          <w:rPr>
            <w:noProof/>
            <w:webHidden/>
          </w:rPr>
          <w:instrText xml:space="preserve"> PAGEREF _Toc371486956 \h </w:instrText>
        </w:r>
        <w:r w:rsidR="00BC05D4">
          <w:rPr>
            <w:noProof/>
            <w:webHidden/>
          </w:rPr>
        </w:r>
        <w:r w:rsidR="00BC05D4">
          <w:rPr>
            <w:noProof/>
            <w:webHidden/>
          </w:rPr>
          <w:fldChar w:fldCharType="separate"/>
        </w:r>
        <w:r w:rsidR="00BC05D4">
          <w:rPr>
            <w:noProof/>
            <w:webHidden/>
          </w:rPr>
          <w:t>1</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57" w:history="1">
        <w:r w:rsidR="00BC05D4" w:rsidRPr="00F11570">
          <w:rPr>
            <w:rStyle w:val="Hyperlink"/>
            <w:noProof/>
          </w:rPr>
          <w:t>Amendment history</w:t>
        </w:r>
        <w:r w:rsidR="00BC05D4">
          <w:rPr>
            <w:noProof/>
            <w:webHidden/>
          </w:rPr>
          <w:tab/>
        </w:r>
        <w:r w:rsidR="00BC05D4">
          <w:rPr>
            <w:noProof/>
            <w:webHidden/>
          </w:rPr>
          <w:fldChar w:fldCharType="begin"/>
        </w:r>
        <w:r w:rsidR="00BC05D4">
          <w:rPr>
            <w:noProof/>
            <w:webHidden/>
          </w:rPr>
          <w:instrText xml:space="preserve"> PAGEREF _Toc371486957 \h </w:instrText>
        </w:r>
        <w:r w:rsidR="00BC05D4">
          <w:rPr>
            <w:noProof/>
            <w:webHidden/>
          </w:rPr>
        </w:r>
        <w:r w:rsidR="00BC05D4">
          <w:rPr>
            <w:noProof/>
            <w:webHidden/>
          </w:rPr>
          <w:fldChar w:fldCharType="separate"/>
        </w:r>
        <w:r w:rsidR="00BC05D4">
          <w:rPr>
            <w:noProof/>
            <w:webHidden/>
          </w:rPr>
          <w:t>1</w:t>
        </w:r>
        <w:r w:rsidR="00BC05D4">
          <w:rPr>
            <w:noProof/>
            <w:webHidden/>
          </w:rPr>
          <w:fldChar w:fldCharType="end"/>
        </w:r>
      </w:hyperlink>
    </w:p>
    <w:p w:rsidR="00BC05D4" w:rsidRDefault="00474B73">
      <w:pPr>
        <w:pStyle w:val="TOC2"/>
        <w:rPr>
          <w:rFonts w:asciiTheme="minorHAnsi" w:eastAsiaTheme="minorEastAsia" w:hAnsiTheme="minorHAnsi" w:cstheme="minorBidi"/>
          <w:smallCaps w:val="0"/>
          <w:noProof/>
          <w:szCs w:val="22"/>
        </w:rPr>
      </w:pPr>
      <w:hyperlink w:anchor="_Toc371486958" w:history="1">
        <w:r w:rsidR="00BC05D4" w:rsidRPr="00F11570">
          <w:rPr>
            <w:rStyle w:val="Hyperlink"/>
            <w:noProof/>
          </w:rPr>
          <w:t>Table of Contents</w:t>
        </w:r>
        <w:r w:rsidR="00BC05D4">
          <w:rPr>
            <w:noProof/>
            <w:webHidden/>
          </w:rPr>
          <w:tab/>
        </w:r>
        <w:r w:rsidR="00BC05D4">
          <w:rPr>
            <w:noProof/>
            <w:webHidden/>
          </w:rPr>
          <w:fldChar w:fldCharType="begin"/>
        </w:r>
        <w:r w:rsidR="00BC05D4">
          <w:rPr>
            <w:noProof/>
            <w:webHidden/>
          </w:rPr>
          <w:instrText xml:space="preserve"> PAGEREF _Toc371486958 \h </w:instrText>
        </w:r>
        <w:r w:rsidR="00BC05D4">
          <w:rPr>
            <w:noProof/>
            <w:webHidden/>
          </w:rPr>
        </w:r>
        <w:r w:rsidR="00BC05D4">
          <w:rPr>
            <w:noProof/>
            <w:webHidden/>
          </w:rPr>
          <w:fldChar w:fldCharType="separate"/>
        </w:r>
        <w:r w:rsidR="00BC05D4">
          <w:rPr>
            <w:noProof/>
            <w:webHidden/>
          </w:rPr>
          <w:t>2</w:t>
        </w:r>
        <w:r w:rsidR="00BC05D4">
          <w:rPr>
            <w:noProof/>
            <w:webHidden/>
          </w:rPr>
          <w:fldChar w:fldCharType="end"/>
        </w:r>
      </w:hyperlink>
    </w:p>
    <w:p w:rsidR="00BC05D4" w:rsidRDefault="00474B73">
      <w:pPr>
        <w:pStyle w:val="TOC1"/>
        <w:rPr>
          <w:rFonts w:asciiTheme="minorHAnsi" w:eastAsiaTheme="minorEastAsia" w:hAnsiTheme="minorHAnsi" w:cstheme="minorBidi"/>
          <w:b w:val="0"/>
          <w:bCs w:val="0"/>
          <w:caps w:val="0"/>
          <w:sz w:val="22"/>
          <w:szCs w:val="22"/>
        </w:rPr>
      </w:pPr>
      <w:hyperlink w:anchor="_Toc371486959" w:history="1">
        <w:r w:rsidR="00BC05D4" w:rsidRPr="00F11570">
          <w:rPr>
            <w:rStyle w:val="Hyperlink"/>
          </w:rPr>
          <w:t>Records Management Policy</w:t>
        </w:r>
        <w:r w:rsidR="00BC05D4">
          <w:rPr>
            <w:webHidden/>
          </w:rPr>
          <w:tab/>
        </w:r>
        <w:r w:rsidR="00BC05D4">
          <w:rPr>
            <w:webHidden/>
          </w:rPr>
          <w:fldChar w:fldCharType="begin"/>
        </w:r>
        <w:r w:rsidR="00BC05D4">
          <w:rPr>
            <w:webHidden/>
          </w:rPr>
          <w:instrText xml:space="preserve"> PAGEREF _Toc371486959 \h </w:instrText>
        </w:r>
        <w:r w:rsidR="00BC05D4">
          <w:rPr>
            <w:webHidden/>
          </w:rPr>
        </w:r>
        <w:r w:rsidR="00BC05D4">
          <w:rPr>
            <w:webHidden/>
          </w:rPr>
          <w:fldChar w:fldCharType="separate"/>
        </w:r>
        <w:r w:rsidR="00BC05D4">
          <w:rPr>
            <w:webHidden/>
          </w:rPr>
          <w:t>3</w:t>
        </w:r>
        <w:r w:rsidR="00BC05D4">
          <w:rPr>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0" w:history="1">
        <w:r w:rsidR="00BC05D4" w:rsidRPr="00F11570">
          <w:rPr>
            <w:rStyle w:val="Hyperlink"/>
            <w:noProof/>
          </w:rPr>
          <w:t>Purpose</w:t>
        </w:r>
        <w:r w:rsidR="00BC05D4">
          <w:rPr>
            <w:noProof/>
            <w:webHidden/>
          </w:rPr>
          <w:tab/>
        </w:r>
        <w:r w:rsidR="00BC05D4">
          <w:rPr>
            <w:noProof/>
            <w:webHidden/>
          </w:rPr>
          <w:fldChar w:fldCharType="begin"/>
        </w:r>
        <w:r w:rsidR="00BC05D4">
          <w:rPr>
            <w:noProof/>
            <w:webHidden/>
          </w:rPr>
          <w:instrText xml:space="preserve"> PAGEREF _Toc371486960 \h </w:instrText>
        </w:r>
        <w:r w:rsidR="00BC05D4">
          <w:rPr>
            <w:noProof/>
            <w:webHidden/>
          </w:rPr>
        </w:r>
        <w:r w:rsidR="00BC05D4">
          <w:rPr>
            <w:noProof/>
            <w:webHidden/>
          </w:rPr>
          <w:fldChar w:fldCharType="separate"/>
        </w:r>
        <w:r w:rsidR="00BC05D4">
          <w:rPr>
            <w:noProof/>
            <w:webHidden/>
          </w:rPr>
          <w:t>3</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1" w:history="1">
        <w:r w:rsidR="00BC05D4" w:rsidRPr="00F11570">
          <w:rPr>
            <w:rStyle w:val="Hyperlink"/>
            <w:noProof/>
          </w:rPr>
          <w:t>Policy</w:t>
        </w:r>
        <w:r w:rsidR="00BC05D4">
          <w:rPr>
            <w:noProof/>
            <w:webHidden/>
          </w:rPr>
          <w:tab/>
        </w:r>
        <w:r w:rsidR="00BC05D4">
          <w:rPr>
            <w:noProof/>
            <w:webHidden/>
          </w:rPr>
          <w:fldChar w:fldCharType="begin"/>
        </w:r>
        <w:r w:rsidR="00BC05D4">
          <w:rPr>
            <w:noProof/>
            <w:webHidden/>
          </w:rPr>
          <w:instrText xml:space="preserve"> PAGEREF _Toc371486961 \h </w:instrText>
        </w:r>
        <w:r w:rsidR="00BC05D4">
          <w:rPr>
            <w:noProof/>
            <w:webHidden/>
          </w:rPr>
        </w:r>
        <w:r w:rsidR="00BC05D4">
          <w:rPr>
            <w:noProof/>
            <w:webHidden/>
          </w:rPr>
          <w:fldChar w:fldCharType="separate"/>
        </w:r>
        <w:r w:rsidR="00BC05D4">
          <w:rPr>
            <w:noProof/>
            <w:webHidden/>
          </w:rPr>
          <w:t>3</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2" w:history="1">
        <w:r w:rsidR="00BC05D4" w:rsidRPr="00F11570">
          <w:rPr>
            <w:rStyle w:val="Hyperlink"/>
            <w:noProof/>
          </w:rPr>
          <w:t>Procedures</w:t>
        </w:r>
        <w:r w:rsidR="00BC05D4">
          <w:rPr>
            <w:noProof/>
            <w:webHidden/>
          </w:rPr>
          <w:tab/>
        </w:r>
        <w:r w:rsidR="00BC05D4">
          <w:rPr>
            <w:noProof/>
            <w:webHidden/>
          </w:rPr>
          <w:fldChar w:fldCharType="begin"/>
        </w:r>
        <w:r w:rsidR="00BC05D4">
          <w:rPr>
            <w:noProof/>
            <w:webHidden/>
          </w:rPr>
          <w:instrText xml:space="preserve"> PAGEREF _Toc371486962 \h </w:instrText>
        </w:r>
        <w:r w:rsidR="00BC05D4">
          <w:rPr>
            <w:noProof/>
            <w:webHidden/>
          </w:rPr>
        </w:r>
        <w:r w:rsidR="00BC05D4">
          <w:rPr>
            <w:noProof/>
            <w:webHidden/>
          </w:rPr>
          <w:fldChar w:fldCharType="separate"/>
        </w:r>
        <w:r w:rsidR="00BC05D4">
          <w:rPr>
            <w:noProof/>
            <w:webHidden/>
          </w:rPr>
          <w:t>3</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3" w:history="1">
        <w:r w:rsidR="00BC05D4" w:rsidRPr="00F11570">
          <w:rPr>
            <w:rStyle w:val="Hyperlink"/>
            <w:noProof/>
          </w:rPr>
          <w:t>Evaluation/Outcomes</w:t>
        </w:r>
        <w:r w:rsidR="00BC05D4">
          <w:rPr>
            <w:noProof/>
            <w:webHidden/>
          </w:rPr>
          <w:tab/>
        </w:r>
        <w:r w:rsidR="00BC05D4">
          <w:rPr>
            <w:noProof/>
            <w:webHidden/>
          </w:rPr>
          <w:fldChar w:fldCharType="begin"/>
        </w:r>
        <w:r w:rsidR="00BC05D4">
          <w:rPr>
            <w:noProof/>
            <w:webHidden/>
          </w:rPr>
          <w:instrText xml:space="preserve"> PAGEREF _Toc371486963 \h </w:instrText>
        </w:r>
        <w:r w:rsidR="00BC05D4">
          <w:rPr>
            <w:noProof/>
            <w:webHidden/>
          </w:rPr>
        </w:r>
        <w:r w:rsidR="00BC05D4">
          <w:rPr>
            <w:noProof/>
            <w:webHidden/>
          </w:rPr>
          <w:fldChar w:fldCharType="separate"/>
        </w:r>
        <w:r w:rsidR="00BC05D4">
          <w:rPr>
            <w:noProof/>
            <w:webHidden/>
          </w:rPr>
          <w:t>4</w:t>
        </w:r>
        <w:r w:rsidR="00BC05D4">
          <w:rPr>
            <w:noProof/>
            <w:webHidden/>
          </w:rPr>
          <w:fldChar w:fldCharType="end"/>
        </w:r>
      </w:hyperlink>
    </w:p>
    <w:p w:rsidR="00BC05D4" w:rsidRDefault="00474B73">
      <w:pPr>
        <w:pStyle w:val="TOC1"/>
        <w:rPr>
          <w:rFonts w:asciiTheme="minorHAnsi" w:eastAsiaTheme="minorEastAsia" w:hAnsiTheme="minorHAnsi" w:cstheme="minorBidi"/>
          <w:b w:val="0"/>
          <w:bCs w:val="0"/>
          <w:caps w:val="0"/>
          <w:sz w:val="22"/>
          <w:szCs w:val="22"/>
        </w:rPr>
      </w:pPr>
      <w:hyperlink w:anchor="_Toc371486964" w:history="1">
        <w:r w:rsidR="00BC05D4" w:rsidRPr="00F11570">
          <w:rPr>
            <w:rStyle w:val="Hyperlink"/>
          </w:rPr>
          <w:t>Additional Information</w:t>
        </w:r>
        <w:r w:rsidR="00BC05D4">
          <w:rPr>
            <w:webHidden/>
          </w:rPr>
          <w:tab/>
        </w:r>
        <w:r w:rsidR="00BC05D4">
          <w:rPr>
            <w:webHidden/>
          </w:rPr>
          <w:fldChar w:fldCharType="begin"/>
        </w:r>
        <w:r w:rsidR="00BC05D4">
          <w:rPr>
            <w:webHidden/>
          </w:rPr>
          <w:instrText xml:space="preserve"> PAGEREF _Toc371486964 \h </w:instrText>
        </w:r>
        <w:r w:rsidR="00BC05D4">
          <w:rPr>
            <w:webHidden/>
          </w:rPr>
        </w:r>
        <w:r w:rsidR="00BC05D4">
          <w:rPr>
            <w:webHidden/>
          </w:rPr>
          <w:fldChar w:fldCharType="separate"/>
        </w:r>
        <w:r w:rsidR="00BC05D4">
          <w:rPr>
            <w:webHidden/>
          </w:rPr>
          <w:t>5</w:t>
        </w:r>
        <w:r w:rsidR="00BC05D4">
          <w:rPr>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5" w:history="1">
        <w:r w:rsidR="00BC05D4" w:rsidRPr="00F11570">
          <w:rPr>
            <w:rStyle w:val="Hyperlink"/>
            <w:noProof/>
          </w:rPr>
          <w:t>Glossary</w:t>
        </w:r>
        <w:r w:rsidR="00BC05D4">
          <w:rPr>
            <w:noProof/>
            <w:webHidden/>
          </w:rPr>
          <w:tab/>
        </w:r>
        <w:r w:rsidR="00BC05D4">
          <w:rPr>
            <w:noProof/>
            <w:webHidden/>
          </w:rPr>
          <w:fldChar w:fldCharType="begin"/>
        </w:r>
        <w:r w:rsidR="00BC05D4">
          <w:rPr>
            <w:noProof/>
            <w:webHidden/>
          </w:rPr>
          <w:instrText xml:space="preserve"> PAGEREF _Toc371486965 \h </w:instrText>
        </w:r>
        <w:r w:rsidR="00BC05D4">
          <w:rPr>
            <w:noProof/>
            <w:webHidden/>
          </w:rPr>
        </w:r>
        <w:r w:rsidR="00BC05D4">
          <w:rPr>
            <w:noProof/>
            <w:webHidden/>
          </w:rPr>
          <w:fldChar w:fldCharType="separate"/>
        </w:r>
        <w:r w:rsidR="00BC05D4">
          <w:rPr>
            <w:noProof/>
            <w:webHidden/>
          </w:rPr>
          <w:t>5</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6" w:history="1">
        <w:r w:rsidR="00BC05D4" w:rsidRPr="00F11570">
          <w:rPr>
            <w:rStyle w:val="Hyperlink"/>
            <w:noProof/>
          </w:rPr>
          <w:t>Exemptions and dispensations</w:t>
        </w:r>
        <w:r w:rsidR="00BC05D4">
          <w:rPr>
            <w:noProof/>
            <w:webHidden/>
          </w:rPr>
          <w:tab/>
        </w:r>
        <w:r w:rsidR="00BC05D4">
          <w:rPr>
            <w:noProof/>
            <w:webHidden/>
          </w:rPr>
          <w:fldChar w:fldCharType="begin"/>
        </w:r>
        <w:r w:rsidR="00BC05D4">
          <w:rPr>
            <w:noProof/>
            <w:webHidden/>
          </w:rPr>
          <w:instrText xml:space="preserve"> PAGEREF _Toc371486966 \h </w:instrText>
        </w:r>
        <w:r w:rsidR="00BC05D4">
          <w:rPr>
            <w:noProof/>
            <w:webHidden/>
          </w:rPr>
        </w:r>
        <w:r w:rsidR="00BC05D4">
          <w:rPr>
            <w:noProof/>
            <w:webHidden/>
          </w:rPr>
          <w:fldChar w:fldCharType="separate"/>
        </w:r>
        <w:r w:rsidR="00BC05D4">
          <w:rPr>
            <w:noProof/>
            <w:webHidden/>
          </w:rPr>
          <w:t>6</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7" w:history="1">
        <w:r w:rsidR="00BC05D4" w:rsidRPr="00F11570">
          <w:rPr>
            <w:rStyle w:val="Hyperlink"/>
            <w:noProof/>
          </w:rPr>
          <w:t>Delegations</w:t>
        </w:r>
        <w:r w:rsidR="00BC05D4">
          <w:rPr>
            <w:noProof/>
            <w:webHidden/>
          </w:rPr>
          <w:tab/>
        </w:r>
        <w:r w:rsidR="00BC05D4">
          <w:rPr>
            <w:noProof/>
            <w:webHidden/>
          </w:rPr>
          <w:fldChar w:fldCharType="begin"/>
        </w:r>
        <w:r w:rsidR="00BC05D4">
          <w:rPr>
            <w:noProof/>
            <w:webHidden/>
          </w:rPr>
          <w:instrText xml:space="preserve"> PAGEREF _Toc371486967 \h </w:instrText>
        </w:r>
        <w:r w:rsidR="00BC05D4">
          <w:rPr>
            <w:noProof/>
            <w:webHidden/>
          </w:rPr>
        </w:r>
        <w:r w:rsidR="00BC05D4">
          <w:rPr>
            <w:noProof/>
            <w:webHidden/>
          </w:rPr>
          <w:fldChar w:fldCharType="separate"/>
        </w:r>
        <w:r w:rsidR="00BC05D4">
          <w:rPr>
            <w:noProof/>
            <w:webHidden/>
          </w:rPr>
          <w:t>6</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8" w:history="1">
        <w:r w:rsidR="00BC05D4" w:rsidRPr="00F11570">
          <w:rPr>
            <w:rStyle w:val="Hyperlink"/>
            <w:noProof/>
          </w:rPr>
          <w:t>Relevant Legislation</w:t>
        </w:r>
        <w:r w:rsidR="00BC05D4">
          <w:rPr>
            <w:noProof/>
            <w:webHidden/>
          </w:rPr>
          <w:tab/>
        </w:r>
        <w:r w:rsidR="00BC05D4">
          <w:rPr>
            <w:noProof/>
            <w:webHidden/>
          </w:rPr>
          <w:fldChar w:fldCharType="begin"/>
        </w:r>
        <w:r w:rsidR="00BC05D4">
          <w:rPr>
            <w:noProof/>
            <w:webHidden/>
          </w:rPr>
          <w:instrText xml:space="preserve"> PAGEREF _Toc371486968 \h </w:instrText>
        </w:r>
        <w:r w:rsidR="00BC05D4">
          <w:rPr>
            <w:noProof/>
            <w:webHidden/>
          </w:rPr>
        </w:r>
        <w:r w:rsidR="00BC05D4">
          <w:rPr>
            <w:noProof/>
            <w:webHidden/>
          </w:rPr>
          <w:fldChar w:fldCharType="separate"/>
        </w:r>
        <w:r w:rsidR="00BC05D4">
          <w:rPr>
            <w:noProof/>
            <w:webHidden/>
          </w:rPr>
          <w:t>6</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69" w:history="1">
        <w:r w:rsidR="00BC05D4" w:rsidRPr="00F11570">
          <w:rPr>
            <w:rStyle w:val="Hyperlink"/>
            <w:noProof/>
          </w:rPr>
          <w:t>Legal Compliance</w:t>
        </w:r>
        <w:r w:rsidR="00BC05D4">
          <w:rPr>
            <w:noProof/>
            <w:webHidden/>
          </w:rPr>
          <w:tab/>
        </w:r>
        <w:r w:rsidR="00BC05D4">
          <w:rPr>
            <w:noProof/>
            <w:webHidden/>
          </w:rPr>
          <w:fldChar w:fldCharType="begin"/>
        </w:r>
        <w:r w:rsidR="00BC05D4">
          <w:rPr>
            <w:noProof/>
            <w:webHidden/>
          </w:rPr>
          <w:instrText xml:space="preserve"> PAGEREF _Toc371486969 \h </w:instrText>
        </w:r>
        <w:r w:rsidR="00BC05D4">
          <w:rPr>
            <w:noProof/>
            <w:webHidden/>
          </w:rPr>
        </w:r>
        <w:r w:rsidR="00BC05D4">
          <w:rPr>
            <w:noProof/>
            <w:webHidden/>
          </w:rPr>
          <w:fldChar w:fldCharType="separate"/>
        </w:r>
        <w:r w:rsidR="00BC05D4">
          <w:rPr>
            <w:noProof/>
            <w:webHidden/>
          </w:rPr>
          <w:t>6</w:t>
        </w:r>
        <w:r w:rsidR="00BC05D4">
          <w:rPr>
            <w:noProof/>
            <w:webHidden/>
          </w:rPr>
          <w:fldChar w:fldCharType="end"/>
        </w:r>
      </w:hyperlink>
    </w:p>
    <w:p w:rsidR="00BC05D4" w:rsidRDefault="00474B73">
      <w:pPr>
        <w:pStyle w:val="TOC3"/>
        <w:tabs>
          <w:tab w:val="right" w:leader="dot" w:pos="9629"/>
        </w:tabs>
        <w:rPr>
          <w:rFonts w:asciiTheme="minorHAnsi" w:eastAsiaTheme="minorEastAsia" w:hAnsiTheme="minorHAnsi" w:cstheme="minorBidi"/>
          <w:iCs w:val="0"/>
          <w:smallCaps w:val="0"/>
          <w:noProof/>
          <w:szCs w:val="22"/>
        </w:rPr>
      </w:pPr>
      <w:hyperlink w:anchor="_Toc371486970" w:history="1">
        <w:r w:rsidR="00BC05D4" w:rsidRPr="00F11570">
          <w:rPr>
            <w:rStyle w:val="Hyperlink"/>
            <w:noProof/>
          </w:rPr>
          <w:t>Associated documents</w:t>
        </w:r>
        <w:r w:rsidR="00BC05D4">
          <w:rPr>
            <w:noProof/>
            <w:webHidden/>
          </w:rPr>
          <w:tab/>
        </w:r>
        <w:r w:rsidR="00BC05D4">
          <w:rPr>
            <w:noProof/>
            <w:webHidden/>
          </w:rPr>
          <w:fldChar w:fldCharType="begin"/>
        </w:r>
        <w:r w:rsidR="00BC05D4">
          <w:rPr>
            <w:noProof/>
            <w:webHidden/>
          </w:rPr>
          <w:instrText xml:space="preserve"> PAGEREF _Toc371486970 \h </w:instrText>
        </w:r>
        <w:r w:rsidR="00BC05D4">
          <w:rPr>
            <w:noProof/>
            <w:webHidden/>
          </w:rPr>
        </w:r>
        <w:r w:rsidR="00BC05D4">
          <w:rPr>
            <w:noProof/>
            <w:webHidden/>
          </w:rPr>
          <w:fldChar w:fldCharType="separate"/>
        </w:r>
        <w:r w:rsidR="00BC05D4">
          <w:rPr>
            <w:noProof/>
            <w:webHidden/>
          </w:rPr>
          <w:t>6</w:t>
        </w:r>
        <w:r w:rsidR="00BC05D4">
          <w:rPr>
            <w:noProof/>
            <w:webHidden/>
          </w:rPr>
          <w:fldChar w:fldCharType="end"/>
        </w:r>
      </w:hyperlink>
    </w:p>
    <w:p w:rsidR="00CD3903" w:rsidRPr="0002540A" w:rsidRDefault="00B63B7D" w:rsidP="00CD3903">
      <w:pPr>
        <w:pStyle w:val="BlockText"/>
      </w:pPr>
      <w:r>
        <w:rPr>
          <w:rFonts w:ascii="Arial Bold" w:eastAsia="Calibri" w:hAnsi="Arial Bold" w:cstheme="minorHAnsi"/>
          <w:b/>
          <w:bCs/>
          <w:caps/>
          <w:noProof/>
          <w:sz w:val="24"/>
          <w:szCs w:val="24"/>
          <w:lang w:val="en-NZ" w:eastAsia="en-NZ"/>
        </w:rPr>
        <w:fldChar w:fldCharType="end"/>
      </w:r>
    </w:p>
    <w:p w:rsidR="00CD3903" w:rsidRDefault="00CD3903" w:rsidP="00AF2146">
      <w:pPr>
        <w:pStyle w:val="Heading1"/>
      </w:pPr>
      <w:r>
        <w:br w:type="page"/>
      </w:r>
      <w:bookmarkStart w:id="13" w:name="PolicyName3"/>
      <w:bookmarkStart w:id="14" w:name="_Toc371486959"/>
      <w:r w:rsidR="00192B02">
        <w:lastRenderedPageBreak/>
        <w:t>Records Management</w:t>
      </w:r>
      <w:r w:rsidR="00A21D66">
        <w:t xml:space="preserve"> Policy</w:t>
      </w:r>
      <w:bookmarkEnd w:id="13"/>
      <w:bookmarkEnd w:id="14"/>
    </w:p>
    <w:p w:rsidR="0096415D" w:rsidRPr="0096415D" w:rsidRDefault="0096415D" w:rsidP="0096415D">
      <w:pPr>
        <w:pStyle w:val="HeadingLine"/>
      </w:pPr>
    </w:p>
    <w:bookmarkStart w:id="15" w:name="_Toc321125839" w:displacedByCustomXml="next"/>
    <w:bookmarkStart w:id="16" w:name="_Toc321122938" w:displacedByCustomXml="next"/>
    <w:bookmarkStart w:id="17" w:name="_Toc371486960" w:displacedByCustomXml="next"/>
    <w:sdt>
      <w:sdtPr>
        <w:id w:val="618495675"/>
        <w:lock w:val="sdtContentLocked"/>
        <w:placeholder>
          <w:docPart w:val="A5E80BCE747D46D281BB8FDE7ADE9EC5"/>
        </w:placeholder>
      </w:sdtPr>
      <w:sdtEndPr/>
      <w:sdtContent>
        <w:p w:rsidR="00CD3903" w:rsidRPr="007E1553" w:rsidRDefault="00CD3903" w:rsidP="00AF2146">
          <w:pPr>
            <w:pStyle w:val="Heading3"/>
          </w:pPr>
          <w:r w:rsidRPr="00BC57E8">
            <w:t>Purpose</w:t>
          </w:r>
        </w:p>
        <w:bookmarkEnd w:id="15" w:displacedByCustomXml="next"/>
        <w:bookmarkEnd w:id="16" w:displacedByCustomXml="next"/>
      </w:sdtContent>
    </w:sdt>
    <w:bookmarkEnd w:id="17" w:displacedByCustomXml="prev"/>
    <w:p w:rsidR="00CD00B3" w:rsidRPr="00454203" w:rsidRDefault="00835427" w:rsidP="00835427">
      <w:pPr>
        <w:ind w:left="720" w:hanging="720"/>
        <w:jc w:val="both"/>
        <w:rPr>
          <w:rFonts w:ascii="Arial" w:eastAsiaTheme="minorHAnsi" w:hAnsi="Arial" w:cs="Arial"/>
          <w:color w:val="000000" w:themeColor="text1"/>
          <w:sz w:val="20"/>
          <w:szCs w:val="20"/>
          <w:lang w:eastAsia="en-US"/>
        </w:rPr>
      </w:pPr>
      <w:bookmarkStart w:id="18" w:name="_Toc321122939"/>
      <w:bookmarkStart w:id="19" w:name="_Toc321125840"/>
      <w:r>
        <w:rPr>
          <w:rFonts w:ascii="Arial" w:eastAsiaTheme="minorHAnsi" w:hAnsi="Arial" w:cs="Arial"/>
          <w:color w:val="000000" w:themeColor="text1"/>
          <w:sz w:val="20"/>
          <w:szCs w:val="20"/>
          <w:lang w:eastAsia="en-US"/>
        </w:rPr>
        <w:t>1.1.1</w:t>
      </w:r>
      <w:r>
        <w:rPr>
          <w:rFonts w:ascii="Arial" w:eastAsiaTheme="minorHAnsi" w:hAnsi="Arial" w:cs="Arial"/>
          <w:color w:val="000000" w:themeColor="text1"/>
          <w:sz w:val="20"/>
          <w:szCs w:val="20"/>
          <w:lang w:eastAsia="en-US"/>
        </w:rPr>
        <w:tab/>
      </w:r>
      <w:r w:rsidR="00CD00B3" w:rsidRPr="00454203">
        <w:rPr>
          <w:rFonts w:ascii="Arial" w:eastAsiaTheme="minorHAnsi" w:hAnsi="Arial" w:cs="Arial"/>
          <w:color w:val="000000" w:themeColor="text1"/>
          <w:sz w:val="20"/>
          <w:szCs w:val="20"/>
          <w:lang w:eastAsia="en-US"/>
        </w:rPr>
        <w:t xml:space="preserve">The purpose of this policy is to establish a recordkeeping framework and assign responsibilities for the consistent and measurable capture and maintenance of records which evidence the business activities of Manukau Institute of Technology (“MIT”).  A consistent institute wide approach to the capture of </w:t>
      </w:r>
      <w:r w:rsidR="005274F8" w:rsidRPr="00454203">
        <w:rPr>
          <w:rFonts w:ascii="Arial" w:hAnsi="Arial" w:cs="Arial"/>
          <w:color w:val="000000" w:themeColor="text1"/>
          <w:sz w:val="20"/>
          <w:szCs w:val="20"/>
        </w:rPr>
        <w:t xml:space="preserve">Institute </w:t>
      </w:r>
      <w:r w:rsidR="005274F8">
        <w:rPr>
          <w:rFonts w:ascii="Arial" w:hAnsi="Arial" w:cs="Arial"/>
          <w:color w:val="000000" w:themeColor="text1"/>
          <w:sz w:val="20"/>
          <w:szCs w:val="20"/>
        </w:rPr>
        <w:t>R</w:t>
      </w:r>
      <w:r w:rsidR="005274F8" w:rsidRPr="00454203">
        <w:rPr>
          <w:rFonts w:ascii="Arial" w:hAnsi="Arial" w:cs="Arial"/>
          <w:color w:val="000000" w:themeColor="text1"/>
          <w:sz w:val="20"/>
          <w:szCs w:val="20"/>
        </w:rPr>
        <w:t xml:space="preserve">ecords </w:t>
      </w:r>
      <w:r w:rsidR="00CD00B3" w:rsidRPr="00454203">
        <w:rPr>
          <w:rFonts w:ascii="Arial" w:eastAsiaTheme="minorHAnsi" w:hAnsi="Arial" w:cs="Arial"/>
          <w:color w:val="000000" w:themeColor="text1"/>
          <w:sz w:val="20"/>
          <w:szCs w:val="20"/>
          <w:lang w:eastAsia="en-US"/>
        </w:rPr>
        <w:t xml:space="preserve">conforms to the needs of the business and legislative obligations. </w:t>
      </w:r>
    </w:p>
    <w:p w:rsidR="00CD00B3" w:rsidRPr="00454203" w:rsidRDefault="00CD00B3" w:rsidP="00CD00B3">
      <w:pPr>
        <w:ind w:left="357"/>
        <w:jc w:val="both"/>
        <w:rPr>
          <w:rFonts w:ascii="Arial" w:eastAsiaTheme="minorHAnsi" w:hAnsi="Arial" w:cs="Arial"/>
          <w:color w:val="000000" w:themeColor="text1"/>
          <w:sz w:val="20"/>
          <w:szCs w:val="20"/>
          <w:lang w:eastAsia="en-US"/>
        </w:rPr>
      </w:pPr>
    </w:p>
    <w:p w:rsidR="00CD00B3" w:rsidRPr="00454203" w:rsidRDefault="00835427" w:rsidP="00835427">
      <w:pPr>
        <w:ind w:left="720" w:hanging="720"/>
        <w:jc w:val="both"/>
        <w:rPr>
          <w:rFonts w:ascii="Arial" w:eastAsiaTheme="minorHAnsi" w:hAnsi="Arial" w:cs="Arial"/>
          <w:color w:val="000000" w:themeColor="text1"/>
          <w:sz w:val="20"/>
          <w:szCs w:val="20"/>
          <w:lang w:eastAsia="en-US"/>
        </w:rPr>
      </w:pPr>
      <w:r>
        <w:rPr>
          <w:rFonts w:ascii="Arial" w:eastAsiaTheme="minorHAnsi" w:hAnsi="Arial" w:cs="Arial"/>
          <w:color w:val="000000" w:themeColor="text1"/>
          <w:sz w:val="20"/>
          <w:szCs w:val="20"/>
          <w:lang w:eastAsia="en-US"/>
        </w:rPr>
        <w:t>1.1.2</w:t>
      </w:r>
      <w:r>
        <w:rPr>
          <w:rFonts w:ascii="Arial" w:eastAsiaTheme="minorHAnsi" w:hAnsi="Arial" w:cs="Arial"/>
          <w:color w:val="000000" w:themeColor="text1"/>
          <w:sz w:val="20"/>
          <w:szCs w:val="20"/>
          <w:lang w:eastAsia="en-US"/>
        </w:rPr>
        <w:tab/>
      </w:r>
      <w:r w:rsidR="00CD00B3" w:rsidRPr="00454203">
        <w:rPr>
          <w:rFonts w:ascii="Arial" w:eastAsiaTheme="minorHAnsi" w:hAnsi="Arial" w:cs="Arial"/>
          <w:color w:val="000000" w:themeColor="text1"/>
          <w:sz w:val="20"/>
          <w:szCs w:val="20"/>
          <w:lang w:eastAsia="en-US"/>
        </w:rPr>
        <w:t xml:space="preserve">This policy is in accordance with </w:t>
      </w:r>
      <w:r w:rsidR="00A02E25">
        <w:rPr>
          <w:rFonts w:ascii="Arial" w:eastAsiaTheme="minorHAnsi" w:hAnsi="Arial" w:cs="Arial"/>
          <w:color w:val="000000" w:themeColor="text1"/>
          <w:sz w:val="20"/>
          <w:szCs w:val="20"/>
          <w:lang w:eastAsia="en-US"/>
        </w:rPr>
        <w:t>MIT’s</w:t>
      </w:r>
      <w:r w:rsidR="00CD00B3" w:rsidRPr="00454203">
        <w:rPr>
          <w:rFonts w:ascii="Arial" w:eastAsiaTheme="minorHAnsi" w:hAnsi="Arial" w:cs="Arial"/>
          <w:color w:val="000000" w:themeColor="text1"/>
          <w:sz w:val="20"/>
          <w:szCs w:val="20"/>
          <w:lang w:eastAsia="en-US"/>
        </w:rPr>
        <w:t xml:space="preserve"> obligations pursuant to, though not limited to, the Public Records Act 2005.</w:t>
      </w:r>
    </w:p>
    <w:p w:rsidR="00CD00B3" w:rsidRPr="00454203" w:rsidRDefault="00CD00B3" w:rsidP="00CD00B3">
      <w:pPr>
        <w:autoSpaceDE w:val="0"/>
        <w:autoSpaceDN w:val="0"/>
        <w:adjustRightInd w:val="0"/>
        <w:ind w:left="426"/>
        <w:jc w:val="both"/>
        <w:rPr>
          <w:rFonts w:ascii="Arial" w:eastAsiaTheme="minorHAnsi" w:hAnsi="Arial" w:cs="Arial"/>
          <w:b/>
          <w:color w:val="000000" w:themeColor="text1"/>
          <w:sz w:val="20"/>
          <w:szCs w:val="20"/>
          <w:lang w:eastAsia="en-US"/>
        </w:rPr>
      </w:pPr>
    </w:p>
    <w:bookmarkStart w:id="20" w:name="_Toc371486961"/>
    <w:p w:rsidR="00CD3903" w:rsidRPr="007E1553" w:rsidRDefault="00474B73" w:rsidP="00AF2146">
      <w:pPr>
        <w:pStyle w:val="Heading3"/>
      </w:pPr>
      <w:sdt>
        <w:sdtPr>
          <w:id w:val="-1818178647"/>
          <w:lock w:val="sdtContentLocked"/>
          <w:placeholder>
            <w:docPart w:val="A5E80BCE747D46D281BB8FDE7ADE9EC5"/>
          </w:placeholder>
        </w:sdtPr>
        <w:sdtEndPr/>
        <w:sdtContent>
          <w:r w:rsidR="00CD3903" w:rsidRPr="0096415D">
            <w:t>Policy</w:t>
          </w:r>
          <w:bookmarkEnd w:id="18"/>
          <w:bookmarkEnd w:id="19"/>
        </w:sdtContent>
      </w:sdt>
      <w:bookmarkEnd w:id="20"/>
      <w:r w:rsidR="00CD3903" w:rsidRPr="007E1553">
        <w:t xml:space="preserve"> </w:t>
      </w:r>
    </w:p>
    <w:p w:rsidR="00CD00B3" w:rsidRPr="00454203" w:rsidRDefault="00835427" w:rsidP="00835427">
      <w:pPr>
        <w:ind w:left="720" w:hanging="720"/>
        <w:rPr>
          <w:rFonts w:ascii="Arial" w:hAnsi="Arial" w:cs="Arial"/>
          <w:b/>
          <w:color w:val="000000" w:themeColor="text1"/>
          <w:sz w:val="20"/>
          <w:szCs w:val="20"/>
        </w:rPr>
      </w:pPr>
      <w:bookmarkStart w:id="21" w:name="_Toc321122940"/>
      <w:bookmarkStart w:id="22" w:name="_Toc321125841"/>
      <w:r>
        <w:rPr>
          <w:rFonts w:ascii="Arial" w:hAnsi="Arial" w:cs="Arial"/>
          <w:color w:val="000000" w:themeColor="text1"/>
          <w:sz w:val="20"/>
          <w:szCs w:val="20"/>
        </w:rPr>
        <w:t>1.2.1</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MIT acknowledges that recordkeeping is a prudent business practice and will establish and manage an effective, up-to-date recordkeeping framework to support complete, accurate, reliable and authentic record capture as evidence of its business activity.  </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color w:val="000000" w:themeColor="text1"/>
          <w:sz w:val="20"/>
          <w:szCs w:val="20"/>
        </w:rPr>
      </w:pPr>
      <w:r>
        <w:rPr>
          <w:rFonts w:ascii="Arial" w:hAnsi="Arial" w:cs="Arial"/>
          <w:color w:val="000000" w:themeColor="text1"/>
          <w:sz w:val="20"/>
          <w:szCs w:val="20"/>
        </w:rPr>
        <w:t>1.2.2</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MIT will manage its records efficiently and in a manner that is consistent with </w:t>
      </w:r>
      <w:r w:rsidR="00192B02" w:rsidRPr="00454203">
        <w:rPr>
          <w:rFonts w:ascii="Arial" w:hAnsi="Arial" w:cs="Arial"/>
          <w:color w:val="000000" w:themeColor="text1"/>
          <w:sz w:val="20"/>
          <w:szCs w:val="20"/>
        </w:rPr>
        <w:t>its</w:t>
      </w:r>
      <w:r w:rsidR="00CD00B3" w:rsidRPr="00454203">
        <w:rPr>
          <w:rFonts w:ascii="Arial" w:hAnsi="Arial" w:cs="Arial"/>
          <w:color w:val="000000" w:themeColor="text1"/>
          <w:sz w:val="20"/>
          <w:szCs w:val="20"/>
        </w:rPr>
        <w:t xml:space="preserve"> legal obligations including, but not limited to, the Public Records Act 2005.  </w:t>
      </w:r>
    </w:p>
    <w:p w:rsidR="00CD00B3" w:rsidRPr="00454203" w:rsidRDefault="00CD00B3" w:rsidP="00965328">
      <w:pPr>
        <w:ind w:left="426"/>
        <w:rPr>
          <w:rFonts w:ascii="Arial" w:hAnsi="Arial" w:cs="Arial"/>
          <w:color w:val="000000" w:themeColor="text1"/>
          <w:sz w:val="20"/>
          <w:szCs w:val="20"/>
        </w:rPr>
      </w:pPr>
    </w:p>
    <w:bookmarkStart w:id="23" w:name="_Toc371486962" w:displacedByCustomXml="next"/>
    <w:sdt>
      <w:sdtPr>
        <w:id w:val="-1978832872"/>
        <w:lock w:val="sdtContentLocked"/>
        <w:placeholder>
          <w:docPart w:val="A5E80BCE747D46D281BB8FDE7ADE9EC5"/>
        </w:placeholder>
      </w:sdtPr>
      <w:sdtEndPr/>
      <w:sdtContent>
        <w:p w:rsidR="00CD3903" w:rsidRPr="0096415D" w:rsidRDefault="00CD3903" w:rsidP="00AF2146">
          <w:pPr>
            <w:pStyle w:val="Heading3"/>
          </w:pPr>
          <w:r w:rsidRPr="0096415D">
            <w:t>Procedures</w:t>
          </w:r>
        </w:p>
        <w:bookmarkEnd w:id="22" w:displacedByCustomXml="next"/>
        <w:bookmarkEnd w:id="21" w:displacedByCustomXml="next"/>
      </w:sdtContent>
    </w:sdt>
    <w:bookmarkEnd w:id="23" w:displacedByCustomXml="prev"/>
    <w:p w:rsidR="00CD00B3" w:rsidRPr="00CE681D" w:rsidRDefault="00CD00B3" w:rsidP="00965328">
      <w:pPr>
        <w:rPr>
          <w:rFonts w:asciiTheme="minorHAnsi" w:hAnsiTheme="minorHAnsi" w:cs="Arial"/>
          <w:color w:val="000000" w:themeColor="text1"/>
          <w:sz w:val="22"/>
          <w:szCs w:val="22"/>
        </w:rPr>
      </w:pPr>
      <w:bookmarkStart w:id="24" w:name="_Toc321122941"/>
      <w:bookmarkStart w:id="25" w:name="_Toc321125842"/>
    </w:p>
    <w:p w:rsidR="00CD00B3" w:rsidRPr="00835427" w:rsidRDefault="00CD00B3" w:rsidP="00965328">
      <w:pPr>
        <w:rPr>
          <w:rFonts w:ascii="Arial" w:hAnsi="Arial" w:cs="Arial"/>
          <w:i/>
          <w:color w:val="000000" w:themeColor="text1"/>
          <w:sz w:val="20"/>
          <w:szCs w:val="20"/>
          <w:u w:val="single"/>
        </w:rPr>
      </w:pPr>
      <w:r w:rsidRPr="00835427">
        <w:rPr>
          <w:rFonts w:ascii="Arial" w:hAnsi="Arial" w:cs="Arial"/>
          <w:i/>
          <w:color w:val="000000" w:themeColor="text1"/>
          <w:sz w:val="20"/>
          <w:szCs w:val="20"/>
          <w:u w:val="single"/>
        </w:rPr>
        <w:t>Records Management</w:t>
      </w: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1.3.1</w:t>
      </w:r>
      <w:r>
        <w:rPr>
          <w:rFonts w:ascii="Arial" w:hAnsi="Arial" w:cs="Arial"/>
          <w:color w:val="000000" w:themeColor="text1"/>
          <w:sz w:val="20"/>
          <w:szCs w:val="20"/>
        </w:rPr>
        <w:tab/>
      </w:r>
      <w:r w:rsidR="00965328" w:rsidRPr="00454203">
        <w:rPr>
          <w:rFonts w:ascii="Arial" w:hAnsi="Arial" w:cs="Arial"/>
          <w:color w:val="000000" w:themeColor="text1"/>
          <w:sz w:val="20"/>
          <w:szCs w:val="20"/>
        </w:rPr>
        <w:t>MIT</w:t>
      </w:r>
      <w:r w:rsidR="00CD00B3" w:rsidRPr="00454203">
        <w:rPr>
          <w:rFonts w:ascii="Arial" w:hAnsi="Arial" w:cs="Arial"/>
          <w:color w:val="000000" w:themeColor="text1"/>
          <w:sz w:val="20"/>
          <w:szCs w:val="20"/>
        </w:rPr>
        <w:t xml:space="preserve"> will define and introduce an institutional recordkeeping framework which will comprise of an</w:t>
      </w:r>
      <w:r w:rsidR="00CD00B3" w:rsidRPr="00454203">
        <w:rPr>
          <w:rFonts w:ascii="Arial" w:eastAsiaTheme="minorHAnsi" w:hAnsi="Arial" w:cs="Arial"/>
          <w:color w:val="000000" w:themeColor="text1"/>
          <w:sz w:val="20"/>
          <w:szCs w:val="20"/>
        </w:rPr>
        <w:t xml:space="preserve"> aggregation of policies, procedures, guidelines, disposal authorities, training and other resources and tools to allow for consistent, measurable and compliant records management by </w:t>
      </w:r>
      <w:r w:rsidR="00A02E25">
        <w:rPr>
          <w:rFonts w:ascii="Arial" w:eastAsiaTheme="minorHAnsi" w:hAnsi="Arial" w:cs="Arial"/>
          <w:color w:val="000000" w:themeColor="text1"/>
          <w:sz w:val="20"/>
          <w:szCs w:val="20"/>
        </w:rPr>
        <w:t>MIT</w:t>
      </w:r>
      <w:r w:rsidR="00CD00B3" w:rsidRPr="00454203">
        <w:rPr>
          <w:rFonts w:ascii="Arial" w:hAnsi="Arial" w:cs="Arial"/>
          <w:color w:val="000000" w:themeColor="text1"/>
          <w:sz w:val="20"/>
          <w:szCs w:val="20"/>
        </w:rPr>
        <w:t>.</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1.3.2</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Records deemed to be </w:t>
      </w:r>
      <w:r w:rsidR="005274F8" w:rsidRPr="00454203">
        <w:rPr>
          <w:rFonts w:ascii="Arial" w:hAnsi="Arial" w:cs="Arial"/>
          <w:color w:val="000000" w:themeColor="text1"/>
          <w:sz w:val="20"/>
          <w:szCs w:val="20"/>
        </w:rPr>
        <w:t xml:space="preserve">Institute </w:t>
      </w:r>
      <w:r w:rsidR="005274F8">
        <w:rPr>
          <w:rFonts w:ascii="Arial" w:hAnsi="Arial" w:cs="Arial"/>
          <w:color w:val="000000" w:themeColor="text1"/>
          <w:sz w:val="20"/>
          <w:szCs w:val="20"/>
        </w:rPr>
        <w:t>R</w:t>
      </w:r>
      <w:r w:rsidR="005274F8" w:rsidRPr="00454203">
        <w:rPr>
          <w:rFonts w:ascii="Arial" w:hAnsi="Arial" w:cs="Arial"/>
          <w:color w:val="000000" w:themeColor="text1"/>
          <w:sz w:val="20"/>
          <w:szCs w:val="20"/>
        </w:rPr>
        <w:t>ecords</w:t>
      </w:r>
      <w:r w:rsidR="00CD00B3" w:rsidRPr="00454203">
        <w:rPr>
          <w:rFonts w:ascii="Arial" w:hAnsi="Arial" w:cs="Arial"/>
          <w:color w:val="000000" w:themeColor="text1"/>
          <w:sz w:val="20"/>
          <w:szCs w:val="20"/>
        </w:rPr>
        <w:t>, must be arranged into a meaningful order such as a Business Classification Scheme.  This will allow MIT to locate and retrieve records consistently and when required.</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1.3.3</w:t>
      </w:r>
      <w:r>
        <w:rPr>
          <w:rFonts w:ascii="Arial" w:hAnsi="Arial" w:cs="Arial"/>
          <w:color w:val="000000" w:themeColor="text1"/>
          <w:sz w:val="20"/>
          <w:szCs w:val="20"/>
        </w:rPr>
        <w:tab/>
      </w:r>
      <w:r w:rsidR="00CD00B3" w:rsidRPr="00454203">
        <w:rPr>
          <w:rFonts w:ascii="Arial" w:hAnsi="Arial" w:cs="Arial"/>
          <w:color w:val="000000" w:themeColor="text1"/>
          <w:sz w:val="20"/>
          <w:szCs w:val="20"/>
        </w:rPr>
        <w:t>Records must be kept in appropriate storage mitigating unauthorised access and preventing alteration, damage or loss.</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1.3.4</w:t>
      </w:r>
      <w:r>
        <w:rPr>
          <w:rFonts w:ascii="Arial" w:hAnsi="Arial" w:cs="Arial"/>
          <w:color w:val="000000" w:themeColor="text1"/>
          <w:sz w:val="20"/>
          <w:szCs w:val="20"/>
        </w:rPr>
        <w:tab/>
      </w:r>
      <w:r w:rsidR="00965328" w:rsidRPr="00454203">
        <w:rPr>
          <w:rFonts w:ascii="Arial" w:hAnsi="Arial" w:cs="Arial"/>
          <w:color w:val="000000" w:themeColor="text1"/>
          <w:sz w:val="20"/>
          <w:szCs w:val="20"/>
        </w:rPr>
        <w:t>MIT</w:t>
      </w:r>
      <w:r w:rsidR="00CD00B3" w:rsidRPr="00454203">
        <w:rPr>
          <w:rFonts w:ascii="Arial" w:hAnsi="Arial" w:cs="Arial"/>
          <w:color w:val="000000" w:themeColor="text1"/>
          <w:sz w:val="20"/>
          <w:szCs w:val="20"/>
        </w:rPr>
        <w:t xml:space="preserve"> will create, maintain and dispose of records in accordance with all known legal obligations and associated mandatory standards and requirements.  Public records created by </w:t>
      </w:r>
      <w:r w:rsidR="00965328" w:rsidRPr="00454203">
        <w:rPr>
          <w:rFonts w:ascii="Arial" w:hAnsi="Arial" w:cs="Arial"/>
          <w:color w:val="000000" w:themeColor="text1"/>
          <w:sz w:val="20"/>
          <w:szCs w:val="20"/>
        </w:rPr>
        <w:t xml:space="preserve">MIT </w:t>
      </w:r>
      <w:r w:rsidR="00CD00B3" w:rsidRPr="00454203">
        <w:rPr>
          <w:rFonts w:ascii="Arial" w:hAnsi="Arial" w:cs="Arial"/>
          <w:color w:val="000000" w:themeColor="text1"/>
          <w:sz w:val="20"/>
          <w:szCs w:val="20"/>
        </w:rPr>
        <w:t>will only be disposed of with explicit authorisation by the Chief Archivist of New Zealand.</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1.3.5</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All personal information contained in </w:t>
      </w:r>
      <w:r w:rsidR="00A02E25">
        <w:rPr>
          <w:rFonts w:ascii="Arial" w:hAnsi="Arial" w:cs="Arial"/>
          <w:color w:val="000000" w:themeColor="text1"/>
          <w:sz w:val="20"/>
          <w:szCs w:val="20"/>
        </w:rPr>
        <w:t>I</w:t>
      </w:r>
      <w:r w:rsidR="00CD00B3" w:rsidRPr="00454203">
        <w:rPr>
          <w:rFonts w:ascii="Arial" w:hAnsi="Arial" w:cs="Arial"/>
          <w:color w:val="000000" w:themeColor="text1"/>
          <w:sz w:val="20"/>
          <w:szCs w:val="20"/>
        </w:rPr>
        <w:t xml:space="preserve">nstitute </w:t>
      </w:r>
      <w:r w:rsidR="00A02E25">
        <w:rPr>
          <w:rFonts w:ascii="Arial" w:hAnsi="Arial" w:cs="Arial"/>
          <w:color w:val="000000" w:themeColor="text1"/>
          <w:sz w:val="20"/>
          <w:szCs w:val="20"/>
        </w:rPr>
        <w:t>R</w:t>
      </w:r>
      <w:r w:rsidR="00CD00B3" w:rsidRPr="00454203">
        <w:rPr>
          <w:rFonts w:ascii="Arial" w:hAnsi="Arial" w:cs="Arial"/>
          <w:color w:val="000000" w:themeColor="text1"/>
          <w:sz w:val="20"/>
          <w:szCs w:val="20"/>
        </w:rPr>
        <w:t xml:space="preserve">ecords must be collected, stored and used in accordance with the provisions of the Privacy Act 1993.  Further assistance and guidance may also be sought from </w:t>
      </w:r>
      <w:r w:rsidR="00A02E25">
        <w:rPr>
          <w:rFonts w:ascii="Arial" w:hAnsi="Arial" w:cs="Arial"/>
          <w:color w:val="000000" w:themeColor="text1"/>
          <w:sz w:val="20"/>
          <w:szCs w:val="20"/>
        </w:rPr>
        <w:t>MIT’s</w:t>
      </w:r>
      <w:r w:rsidR="00CD00B3" w:rsidRPr="00454203">
        <w:rPr>
          <w:rFonts w:ascii="Arial" w:hAnsi="Arial" w:cs="Arial"/>
          <w:color w:val="000000" w:themeColor="text1"/>
          <w:sz w:val="20"/>
          <w:szCs w:val="20"/>
        </w:rPr>
        <w:t xml:space="preserve"> Privacy Officer.</w:t>
      </w:r>
    </w:p>
    <w:p w:rsidR="00CD00B3" w:rsidRPr="00454203" w:rsidRDefault="00CD00B3" w:rsidP="00965328">
      <w:pPr>
        <w:rPr>
          <w:rFonts w:ascii="Arial" w:hAnsi="Arial" w:cs="Arial"/>
          <w:b/>
          <w:color w:val="000000" w:themeColor="text1"/>
          <w:sz w:val="20"/>
          <w:szCs w:val="20"/>
        </w:rPr>
      </w:pPr>
    </w:p>
    <w:p w:rsidR="00CD00B3" w:rsidRPr="00454203" w:rsidRDefault="00CD00B3" w:rsidP="00965328">
      <w:pPr>
        <w:rPr>
          <w:rFonts w:ascii="Arial" w:hAnsi="Arial" w:cs="Arial"/>
          <w:b/>
          <w:color w:val="000000" w:themeColor="text1"/>
          <w:sz w:val="20"/>
          <w:szCs w:val="20"/>
        </w:rPr>
      </w:pPr>
    </w:p>
    <w:p w:rsidR="00CD00B3" w:rsidRPr="00835427" w:rsidRDefault="00CD00B3" w:rsidP="00965328">
      <w:pPr>
        <w:rPr>
          <w:rFonts w:ascii="Arial" w:hAnsi="Arial" w:cs="Arial"/>
          <w:i/>
          <w:color w:val="000000" w:themeColor="text1"/>
          <w:sz w:val="20"/>
          <w:szCs w:val="20"/>
          <w:u w:val="single"/>
        </w:rPr>
      </w:pPr>
      <w:r w:rsidRPr="00835427">
        <w:rPr>
          <w:rFonts w:ascii="Arial" w:hAnsi="Arial" w:cs="Arial"/>
          <w:i/>
          <w:color w:val="000000" w:themeColor="text1"/>
          <w:sz w:val="20"/>
          <w:szCs w:val="20"/>
          <w:u w:val="single"/>
        </w:rPr>
        <w:t>Records</w:t>
      </w:r>
    </w:p>
    <w:p w:rsidR="00CD00B3" w:rsidRPr="00454203" w:rsidRDefault="00835427" w:rsidP="00835427">
      <w:pPr>
        <w:rPr>
          <w:rFonts w:ascii="Arial" w:hAnsi="Arial" w:cs="Arial"/>
          <w:b/>
          <w:color w:val="000000" w:themeColor="text1"/>
          <w:sz w:val="20"/>
          <w:szCs w:val="20"/>
        </w:rPr>
      </w:pPr>
      <w:r>
        <w:rPr>
          <w:rFonts w:ascii="Arial" w:hAnsi="Arial" w:cs="Arial"/>
          <w:color w:val="000000" w:themeColor="text1"/>
          <w:sz w:val="20"/>
          <w:szCs w:val="20"/>
        </w:rPr>
        <w:t>1.3.6</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All Institute </w:t>
      </w:r>
      <w:r w:rsidR="00A02E25">
        <w:rPr>
          <w:rFonts w:ascii="Arial" w:hAnsi="Arial" w:cs="Arial"/>
          <w:color w:val="000000" w:themeColor="text1"/>
          <w:sz w:val="20"/>
          <w:szCs w:val="20"/>
        </w:rPr>
        <w:t>R</w:t>
      </w:r>
      <w:r w:rsidR="00CD00B3" w:rsidRPr="00454203">
        <w:rPr>
          <w:rFonts w:ascii="Arial" w:hAnsi="Arial" w:cs="Arial"/>
          <w:color w:val="000000" w:themeColor="text1"/>
          <w:sz w:val="20"/>
          <w:szCs w:val="20"/>
        </w:rPr>
        <w:t xml:space="preserve">ecords </w:t>
      </w:r>
      <w:r w:rsidR="00CF1506" w:rsidRPr="00454203">
        <w:rPr>
          <w:rFonts w:ascii="Arial" w:hAnsi="Arial" w:cs="Arial"/>
          <w:color w:val="000000" w:themeColor="text1"/>
          <w:sz w:val="20"/>
          <w:szCs w:val="20"/>
        </w:rPr>
        <w:t xml:space="preserve">should </w:t>
      </w:r>
      <w:r w:rsidR="00CF1506" w:rsidRPr="00835427">
        <w:rPr>
          <w:rFonts w:ascii="Arial" w:hAnsi="Arial" w:cs="Arial"/>
          <w:color w:val="000000" w:themeColor="text1"/>
          <w:sz w:val="20"/>
          <w:szCs w:val="20"/>
        </w:rPr>
        <w:t>ideally</w:t>
      </w:r>
      <w:r w:rsidR="00CF1506" w:rsidRPr="00454203">
        <w:rPr>
          <w:rFonts w:ascii="Arial" w:hAnsi="Arial" w:cs="Arial"/>
          <w:color w:val="000000" w:themeColor="text1"/>
          <w:sz w:val="20"/>
          <w:szCs w:val="20"/>
        </w:rPr>
        <w:t xml:space="preserve"> </w:t>
      </w:r>
      <w:r w:rsidR="00CD00B3" w:rsidRPr="00454203">
        <w:rPr>
          <w:rFonts w:ascii="Arial" w:hAnsi="Arial" w:cs="Arial"/>
          <w:color w:val="000000" w:themeColor="text1"/>
          <w:sz w:val="20"/>
          <w:szCs w:val="20"/>
        </w:rPr>
        <w:t>be:</w:t>
      </w:r>
    </w:p>
    <w:p w:rsidR="00CD00B3" w:rsidRPr="00454203" w:rsidRDefault="00CD00B3" w:rsidP="00965328">
      <w:pPr>
        <w:pStyle w:val="ListParagraph"/>
        <w:numPr>
          <w:ilvl w:val="0"/>
          <w:numId w:val="35"/>
        </w:numPr>
        <w:rPr>
          <w:rFonts w:ascii="Arial" w:hAnsi="Arial" w:cs="Arial"/>
          <w:b/>
          <w:color w:val="000000" w:themeColor="text1"/>
          <w:sz w:val="20"/>
          <w:szCs w:val="20"/>
        </w:rPr>
      </w:pPr>
      <w:r w:rsidRPr="00454203">
        <w:rPr>
          <w:rFonts w:ascii="Arial" w:hAnsi="Arial" w:cs="Arial"/>
          <w:i/>
          <w:color w:val="000000" w:themeColor="text1"/>
          <w:sz w:val="20"/>
          <w:szCs w:val="20"/>
        </w:rPr>
        <w:t>Complete:</w:t>
      </w:r>
      <w:r w:rsidRPr="00454203">
        <w:rPr>
          <w:rFonts w:ascii="Arial" w:hAnsi="Arial" w:cs="Arial"/>
          <w:color w:val="000000" w:themeColor="text1"/>
          <w:sz w:val="20"/>
          <w:szCs w:val="20"/>
        </w:rPr>
        <w:t xml:space="preserve"> In addition to the content of the record, suitable contextual information must exist to document the activity </w:t>
      </w:r>
      <w:r w:rsidR="005274F8">
        <w:rPr>
          <w:rFonts w:ascii="Arial" w:hAnsi="Arial" w:cs="Arial"/>
          <w:color w:val="000000" w:themeColor="text1"/>
          <w:sz w:val="20"/>
          <w:szCs w:val="20"/>
        </w:rPr>
        <w:t xml:space="preserve">to which the </w:t>
      </w:r>
      <w:r w:rsidRPr="00454203">
        <w:rPr>
          <w:rFonts w:ascii="Arial" w:hAnsi="Arial" w:cs="Arial"/>
          <w:color w:val="000000" w:themeColor="text1"/>
          <w:sz w:val="20"/>
          <w:szCs w:val="20"/>
        </w:rPr>
        <w:t>records relate.</w:t>
      </w:r>
    </w:p>
    <w:p w:rsidR="00CD00B3" w:rsidRPr="00454203" w:rsidRDefault="00CD00B3" w:rsidP="00965328">
      <w:pPr>
        <w:pStyle w:val="ListParagraph"/>
        <w:numPr>
          <w:ilvl w:val="0"/>
          <w:numId w:val="35"/>
        </w:numPr>
        <w:rPr>
          <w:rFonts w:ascii="Arial" w:hAnsi="Arial" w:cs="Arial"/>
          <w:b/>
          <w:color w:val="000000" w:themeColor="text1"/>
          <w:sz w:val="20"/>
          <w:szCs w:val="20"/>
        </w:rPr>
      </w:pPr>
      <w:r w:rsidRPr="00454203">
        <w:rPr>
          <w:rFonts w:ascii="Arial" w:hAnsi="Arial" w:cs="Arial"/>
          <w:i/>
          <w:color w:val="000000" w:themeColor="text1"/>
          <w:sz w:val="20"/>
          <w:szCs w:val="20"/>
        </w:rPr>
        <w:lastRenderedPageBreak/>
        <w:t>Reliable:</w:t>
      </w:r>
      <w:r w:rsidRPr="00454203">
        <w:rPr>
          <w:rFonts w:ascii="Arial" w:hAnsi="Arial" w:cs="Arial"/>
          <w:color w:val="000000" w:themeColor="text1"/>
          <w:sz w:val="20"/>
          <w:szCs w:val="20"/>
        </w:rPr>
        <w:t xml:space="preserve"> Records must be trusted to be a true and definitive representation of the business activity being undertaken.</w:t>
      </w:r>
    </w:p>
    <w:p w:rsidR="00CD00B3" w:rsidRPr="00454203" w:rsidRDefault="00CD00B3" w:rsidP="00965328">
      <w:pPr>
        <w:pStyle w:val="ListParagraph"/>
        <w:numPr>
          <w:ilvl w:val="0"/>
          <w:numId w:val="35"/>
        </w:numPr>
        <w:rPr>
          <w:rFonts w:ascii="Arial" w:hAnsi="Arial" w:cs="Arial"/>
          <w:b/>
          <w:color w:val="000000" w:themeColor="text1"/>
          <w:sz w:val="20"/>
          <w:szCs w:val="20"/>
        </w:rPr>
      </w:pPr>
      <w:r w:rsidRPr="00454203">
        <w:rPr>
          <w:rFonts w:ascii="Arial" w:hAnsi="Arial" w:cs="Arial"/>
          <w:i/>
          <w:color w:val="000000" w:themeColor="text1"/>
          <w:sz w:val="20"/>
          <w:szCs w:val="20"/>
        </w:rPr>
        <w:t>Authentic:</w:t>
      </w:r>
      <w:r w:rsidRPr="00454203">
        <w:rPr>
          <w:rFonts w:ascii="Arial" w:hAnsi="Arial" w:cs="Arial"/>
          <w:color w:val="000000" w:themeColor="text1"/>
          <w:sz w:val="20"/>
          <w:szCs w:val="20"/>
        </w:rPr>
        <w:t xml:space="preserve"> It must be possible to gauge whether the record is in fact what it claims to be.  For example, a user should be able to confirm the author, version, creation date of a procedural document.  For electronic records, authenticity may be confirmed through structural and contextual metadata.</w:t>
      </w:r>
    </w:p>
    <w:p w:rsidR="00CD00B3" w:rsidRPr="00454203" w:rsidRDefault="00CD00B3" w:rsidP="00965328">
      <w:pPr>
        <w:pStyle w:val="ListParagraph"/>
        <w:numPr>
          <w:ilvl w:val="0"/>
          <w:numId w:val="35"/>
        </w:numPr>
        <w:rPr>
          <w:rFonts w:ascii="Arial" w:hAnsi="Arial" w:cs="Arial"/>
          <w:b/>
          <w:color w:val="000000" w:themeColor="text1"/>
          <w:sz w:val="20"/>
          <w:szCs w:val="20"/>
        </w:rPr>
      </w:pPr>
      <w:r w:rsidRPr="00454203">
        <w:rPr>
          <w:rFonts w:ascii="Arial" w:hAnsi="Arial" w:cs="Arial"/>
          <w:i/>
          <w:color w:val="000000" w:themeColor="text1"/>
          <w:sz w:val="20"/>
          <w:szCs w:val="20"/>
        </w:rPr>
        <w:t>Secure:</w:t>
      </w:r>
      <w:r w:rsidRPr="00454203">
        <w:rPr>
          <w:rFonts w:ascii="Arial" w:hAnsi="Arial" w:cs="Arial"/>
          <w:color w:val="000000" w:themeColor="text1"/>
          <w:sz w:val="20"/>
          <w:szCs w:val="20"/>
        </w:rPr>
        <w:t xml:space="preserve"> Records must be maintained so that the chance of unauthorised access is minimised and records cannot be altered, damaged or lost.  </w:t>
      </w:r>
    </w:p>
    <w:p w:rsidR="00CD00B3" w:rsidRPr="00454203" w:rsidRDefault="00CD00B3" w:rsidP="00965328">
      <w:pPr>
        <w:rPr>
          <w:rFonts w:ascii="Arial" w:hAnsi="Arial" w:cs="Arial"/>
          <w:b/>
          <w:color w:val="000000" w:themeColor="text1"/>
          <w:sz w:val="20"/>
          <w:szCs w:val="20"/>
        </w:rPr>
      </w:pPr>
    </w:p>
    <w:p w:rsidR="00CD00B3" w:rsidRPr="00835427" w:rsidRDefault="00CD00B3" w:rsidP="00965328">
      <w:pPr>
        <w:rPr>
          <w:rFonts w:ascii="Arial" w:hAnsi="Arial" w:cs="Arial"/>
          <w:i/>
          <w:color w:val="000000" w:themeColor="text1"/>
          <w:sz w:val="20"/>
          <w:szCs w:val="20"/>
          <w:u w:val="single"/>
        </w:rPr>
      </w:pPr>
      <w:r w:rsidRPr="00835427">
        <w:rPr>
          <w:rFonts w:ascii="Arial" w:hAnsi="Arial" w:cs="Arial"/>
          <w:i/>
          <w:color w:val="000000" w:themeColor="text1"/>
          <w:sz w:val="20"/>
          <w:szCs w:val="20"/>
          <w:u w:val="single"/>
        </w:rPr>
        <w:t>Responsibilities</w:t>
      </w:r>
    </w:p>
    <w:p w:rsidR="00CD00B3" w:rsidRPr="00454203" w:rsidRDefault="00835427" w:rsidP="0043473E">
      <w:pPr>
        <w:ind w:left="720" w:hanging="720"/>
        <w:rPr>
          <w:rFonts w:ascii="Arial" w:hAnsi="Arial" w:cs="Arial"/>
          <w:b/>
          <w:color w:val="000000" w:themeColor="text1"/>
          <w:sz w:val="20"/>
          <w:szCs w:val="20"/>
        </w:rPr>
      </w:pPr>
      <w:r>
        <w:rPr>
          <w:rFonts w:ascii="Arial" w:hAnsi="Arial" w:cs="Arial"/>
          <w:color w:val="000000" w:themeColor="text1"/>
          <w:sz w:val="20"/>
          <w:szCs w:val="20"/>
        </w:rPr>
        <w:t>1.3.7</w:t>
      </w:r>
      <w:r>
        <w:rPr>
          <w:rFonts w:ascii="Arial" w:hAnsi="Arial" w:cs="Arial"/>
          <w:color w:val="000000" w:themeColor="text1"/>
          <w:sz w:val="20"/>
          <w:szCs w:val="20"/>
        </w:rPr>
        <w:tab/>
      </w:r>
      <w:r w:rsidR="00965328" w:rsidRPr="00454203">
        <w:rPr>
          <w:rFonts w:ascii="Arial" w:hAnsi="Arial" w:cs="Arial"/>
          <w:color w:val="000000" w:themeColor="text1"/>
          <w:sz w:val="20"/>
          <w:szCs w:val="20"/>
        </w:rPr>
        <w:t>Directors and Deans</w:t>
      </w:r>
      <w:r w:rsidR="00CD00B3" w:rsidRPr="00454203">
        <w:rPr>
          <w:rFonts w:ascii="Arial" w:hAnsi="Arial" w:cs="Arial"/>
          <w:color w:val="000000" w:themeColor="text1"/>
          <w:sz w:val="20"/>
          <w:szCs w:val="20"/>
        </w:rPr>
        <w:t xml:space="preserve"> are responsible for ensuring staff (including contractors) are aware of and work to the procedures, standards and systems that comprise the recordkeeping framework.</w:t>
      </w:r>
    </w:p>
    <w:p w:rsidR="00CD00B3" w:rsidRPr="00454203" w:rsidRDefault="00CD00B3" w:rsidP="00965328">
      <w:pPr>
        <w:ind w:left="426"/>
        <w:rPr>
          <w:rFonts w:ascii="Arial" w:hAnsi="Arial" w:cs="Arial"/>
          <w:b/>
          <w:color w:val="000000" w:themeColor="text1"/>
          <w:sz w:val="20"/>
          <w:szCs w:val="20"/>
        </w:rPr>
      </w:pPr>
    </w:p>
    <w:p w:rsidR="00CD00B3" w:rsidRPr="00454203" w:rsidRDefault="00835427" w:rsidP="00835427">
      <w:pPr>
        <w:ind w:left="720" w:hanging="720"/>
        <w:rPr>
          <w:rFonts w:ascii="Arial" w:hAnsi="Arial" w:cs="Arial"/>
          <w:b/>
          <w:color w:val="000000" w:themeColor="text1"/>
          <w:sz w:val="20"/>
          <w:szCs w:val="20"/>
        </w:rPr>
      </w:pPr>
      <w:r>
        <w:rPr>
          <w:rFonts w:ascii="Arial" w:hAnsi="Arial" w:cs="Arial"/>
          <w:color w:val="000000" w:themeColor="text1"/>
          <w:sz w:val="20"/>
          <w:szCs w:val="20"/>
        </w:rPr>
        <w:t>1.3.8</w:t>
      </w:r>
      <w:r>
        <w:rPr>
          <w:rFonts w:ascii="Arial" w:hAnsi="Arial" w:cs="Arial"/>
          <w:color w:val="000000" w:themeColor="text1"/>
          <w:sz w:val="20"/>
          <w:szCs w:val="20"/>
        </w:rPr>
        <w:tab/>
      </w:r>
      <w:r w:rsidR="00CD00B3" w:rsidRPr="00454203">
        <w:rPr>
          <w:rFonts w:ascii="Arial" w:hAnsi="Arial" w:cs="Arial"/>
          <w:color w:val="000000" w:themeColor="text1"/>
          <w:sz w:val="20"/>
          <w:szCs w:val="20"/>
        </w:rPr>
        <w:t xml:space="preserve">All </w:t>
      </w:r>
      <w:r w:rsidR="00A02E25">
        <w:rPr>
          <w:rFonts w:ascii="Arial" w:hAnsi="Arial" w:cs="Arial"/>
          <w:color w:val="000000" w:themeColor="text1"/>
          <w:sz w:val="20"/>
          <w:szCs w:val="20"/>
        </w:rPr>
        <w:t xml:space="preserve">MIT </w:t>
      </w:r>
      <w:r w:rsidR="00CD00B3" w:rsidRPr="00454203">
        <w:rPr>
          <w:rFonts w:ascii="Arial" w:hAnsi="Arial" w:cs="Arial"/>
          <w:color w:val="000000" w:themeColor="text1"/>
          <w:sz w:val="20"/>
          <w:szCs w:val="20"/>
        </w:rPr>
        <w:t xml:space="preserve">staff </w:t>
      </w:r>
      <w:r w:rsidR="00CD00B3" w:rsidRPr="00454203">
        <w:rPr>
          <w:rFonts w:ascii="Arial" w:hAnsi="Arial" w:cs="Arial"/>
          <w:sz w:val="20"/>
          <w:szCs w:val="20"/>
        </w:rPr>
        <w:t>are</w:t>
      </w:r>
      <w:r w:rsidR="00CD00B3" w:rsidRPr="00454203">
        <w:rPr>
          <w:rFonts w:ascii="Arial" w:hAnsi="Arial" w:cs="Arial"/>
          <w:color w:val="000000" w:themeColor="text1"/>
          <w:sz w:val="20"/>
          <w:szCs w:val="20"/>
        </w:rPr>
        <w:t xml:space="preserve"> responsible for capturing records within the MIT record keeping framework. This includes contractors.  It is the individual’s responsibility to understand and adhere to </w:t>
      </w:r>
      <w:r w:rsidR="00A02E25">
        <w:rPr>
          <w:rFonts w:ascii="Arial" w:hAnsi="Arial" w:cs="Arial"/>
          <w:color w:val="000000" w:themeColor="text1"/>
          <w:sz w:val="20"/>
          <w:szCs w:val="20"/>
        </w:rPr>
        <w:t>MIT’s</w:t>
      </w:r>
      <w:r w:rsidR="00CD00B3" w:rsidRPr="00454203">
        <w:rPr>
          <w:rFonts w:ascii="Arial" w:hAnsi="Arial" w:cs="Arial"/>
          <w:color w:val="000000" w:themeColor="text1"/>
          <w:sz w:val="20"/>
          <w:szCs w:val="20"/>
        </w:rPr>
        <w:t xml:space="preserve"> policies and procedures </w:t>
      </w:r>
      <w:r w:rsidR="00965328" w:rsidRPr="00454203">
        <w:rPr>
          <w:rFonts w:ascii="Arial" w:hAnsi="Arial" w:cs="Arial"/>
          <w:color w:val="000000" w:themeColor="text1"/>
          <w:sz w:val="20"/>
          <w:szCs w:val="20"/>
        </w:rPr>
        <w:t xml:space="preserve">relating to </w:t>
      </w:r>
      <w:r w:rsidR="00CD00B3" w:rsidRPr="00454203">
        <w:rPr>
          <w:rFonts w:ascii="Arial" w:hAnsi="Arial" w:cs="Arial"/>
          <w:color w:val="000000" w:themeColor="text1"/>
          <w:sz w:val="20"/>
          <w:szCs w:val="20"/>
        </w:rPr>
        <w:t>records management.</w:t>
      </w:r>
    </w:p>
    <w:p w:rsidR="00CD00B3" w:rsidRPr="00CE681D" w:rsidRDefault="00CD00B3" w:rsidP="00965328">
      <w:pPr>
        <w:rPr>
          <w:rFonts w:asciiTheme="minorHAnsi" w:hAnsiTheme="minorHAnsi" w:cs="Arial"/>
          <w:b/>
          <w:color w:val="000000" w:themeColor="text1"/>
          <w:sz w:val="22"/>
          <w:szCs w:val="22"/>
        </w:rPr>
      </w:pPr>
    </w:p>
    <w:bookmarkStart w:id="26" w:name="_Toc371486963" w:displacedByCustomXml="next"/>
    <w:sdt>
      <w:sdtPr>
        <w:id w:val="817684582"/>
        <w:lock w:val="sdtContentLocked"/>
        <w:placeholder>
          <w:docPart w:val="A5E80BCE747D46D281BB8FDE7ADE9EC5"/>
        </w:placeholder>
      </w:sdtPr>
      <w:sdtEndPr/>
      <w:sdtContent>
        <w:p w:rsidR="00CD3903" w:rsidRPr="007E1553" w:rsidRDefault="00CD3903" w:rsidP="00AF2146">
          <w:pPr>
            <w:pStyle w:val="Heading3"/>
          </w:pPr>
          <w:r w:rsidRPr="007E1553">
            <w:t>Evaluation/</w:t>
          </w:r>
          <w:r w:rsidRPr="0096415D">
            <w:t>Outcomes</w:t>
          </w:r>
        </w:p>
        <w:bookmarkEnd w:id="25" w:displacedByCustomXml="next"/>
        <w:bookmarkEnd w:id="24" w:displacedByCustomXml="next"/>
      </w:sdtContent>
    </w:sdt>
    <w:bookmarkEnd w:id="26" w:displacedByCustomXml="prev"/>
    <w:p w:rsidR="00965328" w:rsidRPr="00454203" w:rsidRDefault="00835427" w:rsidP="00835427">
      <w:pPr>
        <w:ind w:left="720" w:hanging="720"/>
        <w:rPr>
          <w:rFonts w:ascii="Arial" w:hAnsi="Arial" w:cs="Arial"/>
          <w:color w:val="000000" w:themeColor="text1"/>
          <w:sz w:val="20"/>
          <w:szCs w:val="20"/>
        </w:rPr>
      </w:pPr>
      <w:r>
        <w:rPr>
          <w:rFonts w:ascii="Arial" w:hAnsi="Arial" w:cs="Arial"/>
          <w:color w:val="000000" w:themeColor="text1"/>
          <w:sz w:val="20"/>
          <w:szCs w:val="20"/>
        </w:rPr>
        <w:t>1.4</w:t>
      </w:r>
      <w:r>
        <w:rPr>
          <w:rFonts w:ascii="Arial" w:hAnsi="Arial" w:cs="Arial"/>
          <w:color w:val="000000" w:themeColor="text1"/>
          <w:sz w:val="20"/>
          <w:szCs w:val="20"/>
        </w:rPr>
        <w:tab/>
      </w:r>
      <w:r w:rsidR="00965328" w:rsidRPr="00454203">
        <w:rPr>
          <w:rFonts w:ascii="Arial" w:hAnsi="Arial" w:cs="Arial"/>
          <w:color w:val="000000" w:themeColor="text1"/>
          <w:sz w:val="20"/>
          <w:szCs w:val="20"/>
        </w:rPr>
        <w:t>Performance against the requirements of this policy will be measure</w:t>
      </w:r>
      <w:r w:rsidR="005274F8">
        <w:rPr>
          <w:rFonts w:ascii="Arial" w:hAnsi="Arial" w:cs="Arial"/>
          <w:color w:val="000000" w:themeColor="text1"/>
          <w:sz w:val="20"/>
          <w:szCs w:val="20"/>
        </w:rPr>
        <w:t>d</w:t>
      </w:r>
      <w:r w:rsidR="00965328" w:rsidRPr="00454203">
        <w:rPr>
          <w:rFonts w:ascii="Arial" w:hAnsi="Arial" w:cs="Arial"/>
          <w:color w:val="000000" w:themeColor="text1"/>
          <w:sz w:val="20"/>
          <w:szCs w:val="20"/>
        </w:rPr>
        <w:t xml:space="preserve"> by inclusion in MIT’s audit framework.</w:t>
      </w:r>
    </w:p>
    <w:p w:rsidR="00CD00B3" w:rsidRPr="00454203" w:rsidRDefault="00CD00B3" w:rsidP="00965328">
      <w:pPr>
        <w:ind w:left="426"/>
        <w:rPr>
          <w:rFonts w:ascii="Arial" w:hAnsi="Arial" w:cs="Arial"/>
          <w:b/>
          <w:color w:val="000000" w:themeColor="text1"/>
          <w:sz w:val="20"/>
          <w:szCs w:val="20"/>
        </w:rPr>
      </w:pPr>
    </w:p>
    <w:p w:rsidR="00CD3903" w:rsidRDefault="00CD3903" w:rsidP="00CD3903">
      <w:pPr>
        <w:pStyle w:val="BlockText"/>
      </w:pPr>
    </w:p>
    <w:p w:rsidR="00CD3903" w:rsidRDefault="00CD3903" w:rsidP="00AF2146">
      <w:pPr>
        <w:pStyle w:val="Heading1"/>
      </w:pPr>
      <w:r>
        <w:br w:type="page"/>
      </w:r>
      <w:bookmarkStart w:id="27" w:name="_Toc321122942"/>
      <w:bookmarkStart w:id="28" w:name="_Toc321125843"/>
      <w:bookmarkStart w:id="29" w:name="_Toc371486964"/>
      <w:sdt>
        <w:sdtPr>
          <w:id w:val="315538178"/>
          <w:lock w:val="sdtContentLocked"/>
          <w:placeholder>
            <w:docPart w:val="A5E80BCE747D46D281BB8FDE7ADE9EC5"/>
          </w:placeholder>
        </w:sdtPr>
        <w:sdtEndPr/>
        <w:sdtContent>
          <w:r>
            <w:t>Additional Information</w:t>
          </w:r>
          <w:bookmarkEnd w:id="27"/>
          <w:bookmarkEnd w:id="28"/>
        </w:sdtContent>
      </w:sdt>
      <w:bookmarkEnd w:id="29"/>
    </w:p>
    <w:p w:rsidR="0096415D" w:rsidRPr="0096415D" w:rsidRDefault="0096415D" w:rsidP="0096415D">
      <w:pPr>
        <w:pStyle w:val="HeadingLine"/>
      </w:pPr>
    </w:p>
    <w:bookmarkStart w:id="30" w:name="_Toc321125844" w:displacedByCustomXml="next"/>
    <w:bookmarkStart w:id="31" w:name="_Toc321122943" w:displacedByCustomXml="next"/>
    <w:bookmarkStart w:id="32" w:name="_Toc371486965" w:displacedByCustomXml="next"/>
    <w:sdt>
      <w:sdtPr>
        <w:id w:val="-130018276"/>
        <w:lock w:val="sdtContentLocked"/>
        <w:placeholder>
          <w:docPart w:val="A5E80BCE747D46D281BB8FDE7ADE9EC5"/>
        </w:placeholder>
      </w:sdtPr>
      <w:sdtEndPr/>
      <w:sdtContent>
        <w:p w:rsidR="00CD3903" w:rsidRPr="00976A5D" w:rsidRDefault="00CD3903" w:rsidP="00AF2146">
          <w:pPr>
            <w:pStyle w:val="Heading3"/>
          </w:pPr>
          <w:r w:rsidRPr="00976A5D">
            <w:t>Glossary</w:t>
          </w:r>
        </w:p>
        <w:bookmarkEnd w:id="30" w:displacedByCustomXml="next"/>
        <w:bookmarkEnd w:id="31" w:displacedByCustomXml="next"/>
      </w:sdtContent>
    </w:sdt>
    <w:bookmarkEnd w:id="32" w:displacedByCustomXml="prev"/>
    <w:tbl>
      <w:tblPr>
        <w:tblW w:w="9694"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694"/>
        <w:gridCol w:w="7000"/>
      </w:tblGrid>
      <w:tr w:rsidR="00CD3903" w:rsidTr="007B3D2A">
        <w:tc>
          <w:tcPr>
            <w:tcW w:w="2694" w:type="dxa"/>
            <w:shd w:val="clear" w:color="auto" w:fill="808080"/>
          </w:tcPr>
          <w:sdt>
            <w:sdtPr>
              <w:id w:val="-931503650"/>
              <w:lock w:val="sdtContentLocked"/>
              <w:placeholder>
                <w:docPart w:val="A5E80BCE747D46D281BB8FDE7ADE9EC5"/>
              </w:placeholder>
            </w:sdtPr>
            <w:sdtEndPr/>
            <w:sdtContent>
              <w:p w:rsidR="00CD3903" w:rsidRPr="00892EF9" w:rsidRDefault="00CD3903" w:rsidP="00892EF9">
                <w:pPr>
                  <w:pStyle w:val="TableHdg"/>
                </w:pPr>
                <w:r w:rsidRPr="00892EF9">
                  <w:t>Term</w:t>
                </w:r>
              </w:p>
            </w:sdtContent>
          </w:sdt>
        </w:tc>
        <w:tc>
          <w:tcPr>
            <w:tcW w:w="7000" w:type="dxa"/>
            <w:shd w:val="clear" w:color="auto" w:fill="808080"/>
          </w:tcPr>
          <w:sdt>
            <w:sdtPr>
              <w:id w:val="-1140803880"/>
              <w:lock w:val="sdtContentLocked"/>
              <w:placeholder>
                <w:docPart w:val="A5E80BCE747D46D281BB8FDE7ADE9EC5"/>
              </w:placeholder>
            </w:sdtPr>
            <w:sdtEndPr/>
            <w:sdtContent>
              <w:p w:rsidR="00CD3903" w:rsidRPr="00892EF9" w:rsidRDefault="00CD3903" w:rsidP="00892EF9">
                <w:pPr>
                  <w:pStyle w:val="TableHdg"/>
                </w:pPr>
                <w:r w:rsidRPr="00892EF9">
                  <w:t xml:space="preserve">Definition </w:t>
                </w:r>
              </w:p>
            </w:sdtContent>
          </w:sdt>
        </w:tc>
      </w:tr>
      <w:tr w:rsidR="00CD00B3" w:rsidTr="007B3D2A">
        <w:tc>
          <w:tcPr>
            <w:tcW w:w="2694" w:type="dxa"/>
            <w:shd w:val="clear" w:color="auto" w:fill="auto"/>
          </w:tcPr>
          <w:p w:rsidR="0043473E" w:rsidRDefault="0043473E" w:rsidP="00CD00B3">
            <w:pPr>
              <w:pStyle w:val="TableText"/>
              <w:rPr>
                <w:rFonts w:eastAsiaTheme="minorHAnsi" w:cs="Arial"/>
                <w:b/>
                <w:color w:val="000000" w:themeColor="text1"/>
              </w:rPr>
            </w:pPr>
          </w:p>
          <w:p w:rsidR="00CD00B3" w:rsidRPr="00454203" w:rsidRDefault="00CD00B3" w:rsidP="00CD00B3">
            <w:pPr>
              <w:pStyle w:val="TableText"/>
              <w:rPr>
                <w:rFonts w:cs="Arial"/>
              </w:rPr>
            </w:pPr>
            <w:r w:rsidRPr="00454203">
              <w:rPr>
                <w:rFonts w:eastAsiaTheme="minorHAnsi" w:cs="Arial"/>
                <w:b/>
                <w:color w:val="000000" w:themeColor="text1"/>
              </w:rPr>
              <w:t>Archives</w:t>
            </w:r>
          </w:p>
        </w:tc>
        <w:tc>
          <w:tcPr>
            <w:tcW w:w="7000" w:type="dxa"/>
            <w:shd w:val="clear" w:color="auto" w:fill="auto"/>
          </w:tcPr>
          <w:p w:rsidR="0043473E" w:rsidRDefault="0043473E" w:rsidP="00BE36F4">
            <w:pPr>
              <w:autoSpaceDE w:val="0"/>
              <w:autoSpaceDN w:val="0"/>
              <w:adjustRightInd w:val="0"/>
              <w:spacing w:after="60"/>
              <w:ind w:left="7"/>
              <w:jc w:val="both"/>
              <w:rPr>
                <w:rFonts w:ascii="Arial" w:eastAsiaTheme="minorHAnsi" w:hAnsi="Arial" w:cs="Arial"/>
                <w:color w:val="000000" w:themeColor="text1"/>
                <w:sz w:val="20"/>
                <w:szCs w:val="20"/>
                <w:lang w:eastAsia="en-US"/>
              </w:rPr>
            </w:pPr>
          </w:p>
          <w:p w:rsidR="00CD00B3" w:rsidRDefault="00BE36F4" w:rsidP="00BE36F4">
            <w:pPr>
              <w:autoSpaceDE w:val="0"/>
              <w:autoSpaceDN w:val="0"/>
              <w:adjustRightInd w:val="0"/>
              <w:spacing w:after="60"/>
              <w:ind w:left="7"/>
              <w:jc w:val="both"/>
              <w:rPr>
                <w:rFonts w:ascii="Arial" w:eastAsiaTheme="minorHAnsi" w:hAnsi="Arial" w:cs="Arial"/>
                <w:color w:val="000000" w:themeColor="text1"/>
                <w:sz w:val="20"/>
                <w:szCs w:val="20"/>
                <w:lang w:eastAsia="en-US"/>
              </w:rPr>
            </w:pPr>
            <w:r w:rsidRPr="00454203">
              <w:rPr>
                <w:rFonts w:ascii="Arial" w:eastAsiaTheme="minorHAnsi" w:hAnsi="Arial" w:cs="Arial"/>
                <w:color w:val="000000" w:themeColor="text1"/>
                <w:sz w:val="20"/>
                <w:szCs w:val="20"/>
                <w:lang w:eastAsia="en-US"/>
              </w:rPr>
              <w:t>T</w:t>
            </w:r>
            <w:r w:rsidR="00CD00B3" w:rsidRPr="00454203">
              <w:rPr>
                <w:rFonts w:ascii="Arial" w:eastAsiaTheme="minorHAnsi" w:hAnsi="Arial" w:cs="Arial"/>
                <w:color w:val="000000" w:themeColor="text1"/>
                <w:sz w:val="20"/>
                <w:szCs w:val="20"/>
                <w:lang w:eastAsia="en-US"/>
              </w:rPr>
              <w:t xml:space="preserve">hose records which have either been appraised to either have ongoing historic value or as set out in the </w:t>
            </w:r>
            <w:r w:rsidR="00EB2A93">
              <w:rPr>
                <w:rFonts w:ascii="Arial" w:eastAsiaTheme="minorHAnsi" w:hAnsi="Arial" w:cs="Arial"/>
                <w:color w:val="000000" w:themeColor="text1"/>
                <w:sz w:val="20"/>
                <w:szCs w:val="20"/>
                <w:lang w:eastAsia="en-US"/>
              </w:rPr>
              <w:t>ITPNZ GDA</w:t>
            </w:r>
            <w:r w:rsidR="00CD00B3" w:rsidRPr="00454203">
              <w:rPr>
                <w:rFonts w:ascii="Arial" w:eastAsiaTheme="minorHAnsi" w:hAnsi="Arial" w:cs="Arial"/>
                <w:color w:val="000000" w:themeColor="text1"/>
                <w:sz w:val="20"/>
                <w:szCs w:val="20"/>
                <w:lang w:eastAsia="en-US"/>
              </w:rPr>
              <w:t xml:space="preserve"> to be maintained in perpetuity. There is a requirement to transfer records of archival value (those records of significant value to the nation) to Archives New Zealand after a period of 25 years.</w:t>
            </w:r>
          </w:p>
          <w:p w:rsidR="0043473E" w:rsidRPr="00454203" w:rsidRDefault="0043473E" w:rsidP="00BE36F4">
            <w:pPr>
              <w:autoSpaceDE w:val="0"/>
              <w:autoSpaceDN w:val="0"/>
              <w:adjustRightInd w:val="0"/>
              <w:spacing w:after="60"/>
              <w:ind w:left="7"/>
              <w:jc w:val="both"/>
              <w:rPr>
                <w:rFonts w:ascii="Arial" w:eastAsiaTheme="minorHAnsi" w:hAnsi="Arial" w:cs="Arial"/>
                <w:color w:val="000000" w:themeColor="text1"/>
                <w:sz w:val="20"/>
                <w:szCs w:val="20"/>
                <w:lang w:eastAsia="en-US"/>
              </w:rPr>
            </w:pPr>
          </w:p>
        </w:tc>
      </w:tr>
      <w:tr w:rsidR="00CD3903" w:rsidTr="007B3D2A">
        <w:tc>
          <w:tcPr>
            <w:tcW w:w="2694" w:type="dxa"/>
            <w:shd w:val="clear" w:color="auto" w:fill="auto"/>
          </w:tcPr>
          <w:p w:rsidR="00C32620" w:rsidRPr="00454203" w:rsidRDefault="00C32620" w:rsidP="00C32620">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Disposal</w:t>
            </w:r>
            <w:r w:rsidRPr="00454203">
              <w:rPr>
                <w:rFonts w:ascii="Arial" w:eastAsiaTheme="minorHAnsi" w:hAnsi="Arial" w:cs="Arial"/>
                <w:color w:val="000000" w:themeColor="text1"/>
                <w:sz w:val="20"/>
                <w:szCs w:val="20"/>
                <w:lang w:eastAsia="en-US"/>
              </w:rPr>
              <w:t xml:space="preserve"> </w:t>
            </w:r>
          </w:p>
          <w:p w:rsidR="00CD3903" w:rsidRPr="00454203" w:rsidRDefault="00CD3903" w:rsidP="00A41EE7">
            <w:pPr>
              <w:pStyle w:val="TableText"/>
              <w:rPr>
                <w:rFonts w:cs="Arial"/>
              </w:rPr>
            </w:pPr>
          </w:p>
        </w:tc>
        <w:tc>
          <w:tcPr>
            <w:tcW w:w="7000" w:type="dxa"/>
            <w:shd w:val="clear" w:color="auto" w:fill="auto"/>
          </w:tcPr>
          <w:p w:rsidR="00BE36F4" w:rsidRPr="00454203" w:rsidRDefault="00BE36F4" w:rsidP="0043473E">
            <w:pPr>
              <w:pStyle w:val="TableText"/>
              <w:rPr>
                <w:rFonts w:eastAsiaTheme="minorHAnsi" w:cs="Arial"/>
                <w:color w:val="000000" w:themeColor="text1"/>
              </w:rPr>
            </w:pPr>
            <w:r w:rsidRPr="00454203">
              <w:rPr>
                <w:rFonts w:eastAsiaTheme="minorHAnsi" w:cs="Arial"/>
                <w:color w:val="000000" w:themeColor="text1"/>
              </w:rPr>
              <w:t>I</w:t>
            </w:r>
            <w:r w:rsidR="00C32620" w:rsidRPr="00454203">
              <w:rPr>
                <w:rFonts w:eastAsiaTheme="minorHAnsi" w:cs="Arial"/>
                <w:color w:val="000000" w:themeColor="text1"/>
              </w:rPr>
              <w:t xml:space="preserve">n relation to a public record, means: </w:t>
            </w:r>
          </w:p>
          <w:p w:rsidR="00BE36F4" w:rsidRPr="00454203" w:rsidRDefault="00C32620" w:rsidP="0043473E">
            <w:pPr>
              <w:pStyle w:val="TableText"/>
              <w:numPr>
                <w:ilvl w:val="0"/>
                <w:numId w:val="40"/>
              </w:numPr>
              <w:ind w:left="482" w:hanging="482"/>
              <w:rPr>
                <w:rFonts w:eastAsiaTheme="minorHAnsi" w:cs="Arial"/>
                <w:color w:val="000000" w:themeColor="text1"/>
              </w:rPr>
            </w:pPr>
            <w:r w:rsidRPr="00454203">
              <w:rPr>
                <w:rFonts w:eastAsiaTheme="minorHAnsi" w:cs="Arial"/>
                <w:color w:val="000000" w:themeColor="text1"/>
              </w:rPr>
              <w:t xml:space="preserve">the transfer of control of a record; or </w:t>
            </w:r>
          </w:p>
          <w:p w:rsidR="0043473E" w:rsidRDefault="00C32620" w:rsidP="0043473E">
            <w:pPr>
              <w:pStyle w:val="TableText"/>
              <w:numPr>
                <w:ilvl w:val="0"/>
                <w:numId w:val="40"/>
              </w:numPr>
              <w:ind w:left="482" w:hanging="482"/>
              <w:rPr>
                <w:rFonts w:eastAsiaTheme="minorHAnsi" w:cs="Arial"/>
                <w:color w:val="000000" w:themeColor="text1"/>
              </w:rPr>
            </w:pPr>
            <w:r w:rsidRPr="00454203">
              <w:rPr>
                <w:rFonts w:eastAsiaTheme="minorHAnsi" w:cs="Arial"/>
                <w:color w:val="000000" w:themeColor="text1"/>
              </w:rPr>
              <w:t xml:space="preserve">the sale, alteration, destruction, or discharge of a record. </w:t>
            </w:r>
          </w:p>
          <w:p w:rsidR="0043473E" w:rsidRPr="00454203" w:rsidRDefault="00C32620" w:rsidP="0043473E">
            <w:pPr>
              <w:pStyle w:val="TableText"/>
              <w:rPr>
                <w:rFonts w:eastAsiaTheme="minorHAnsi" w:cs="Arial"/>
                <w:color w:val="000000" w:themeColor="text1"/>
              </w:rPr>
            </w:pPr>
            <w:r w:rsidRPr="00454203">
              <w:rPr>
                <w:rFonts w:eastAsiaTheme="minorHAnsi" w:cs="Arial"/>
                <w:color w:val="000000" w:themeColor="text1"/>
              </w:rPr>
              <w:t>(</w:t>
            </w:r>
            <w:r w:rsidRPr="0043473E">
              <w:rPr>
                <w:rFonts w:eastAsiaTheme="minorHAnsi" w:cs="Arial"/>
                <w:i/>
                <w:color w:val="000000" w:themeColor="text1"/>
              </w:rPr>
              <w:t>Public Records Act 2005, Sec 4</w:t>
            </w:r>
            <w:r w:rsidRPr="00454203">
              <w:rPr>
                <w:rFonts w:eastAsiaTheme="minorHAnsi" w:cs="Arial"/>
                <w:color w:val="000000" w:themeColor="text1"/>
              </w:rPr>
              <w:t xml:space="preserve">). </w:t>
            </w:r>
          </w:p>
          <w:p w:rsidR="00CD3903" w:rsidRDefault="00C32620" w:rsidP="0043473E">
            <w:pPr>
              <w:pStyle w:val="TableText"/>
              <w:rPr>
                <w:rFonts w:eastAsiaTheme="minorHAnsi" w:cs="Arial"/>
                <w:color w:val="000000" w:themeColor="text1"/>
              </w:rPr>
            </w:pPr>
            <w:r w:rsidRPr="00454203">
              <w:rPr>
                <w:rFonts w:eastAsiaTheme="minorHAnsi" w:cs="Arial"/>
                <w:color w:val="000000" w:themeColor="text1"/>
              </w:rPr>
              <w:t>For the purposes of MIT</w:t>
            </w:r>
            <w:r w:rsidR="00EB2A93">
              <w:rPr>
                <w:rFonts w:eastAsiaTheme="minorHAnsi" w:cs="Arial"/>
                <w:color w:val="000000" w:themeColor="text1"/>
              </w:rPr>
              <w:t>,</w:t>
            </w:r>
            <w:r w:rsidRPr="00454203">
              <w:rPr>
                <w:rFonts w:eastAsiaTheme="minorHAnsi" w:cs="Arial"/>
                <w:color w:val="000000" w:themeColor="text1"/>
              </w:rPr>
              <w:t xml:space="preserve"> disposal would usually refer to the controlled destruction of a record having met its minimum legal retention period set out by applicable disposal authorities </w:t>
            </w:r>
            <w:r w:rsidR="00EB2A93">
              <w:rPr>
                <w:rFonts w:eastAsiaTheme="minorHAnsi" w:cs="Arial"/>
                <w:color w:val="000000" w:themeColor="text1"/>
              </w:rPr>
              <w:t>that</w:t>
            </w:r>
            <w:r w:rsidR="00EB2A93" w:rsidRPr="00454203">
              <w:rPr>
                <w:rFonts w:eastAsiaTheme="minorHAnsi" w:cs="Arial"/>
                <w:color w:val="000000" w:themeColor="text1"/>
              </w:rPr>
              <w:t xml:space="preserve"> </w:t>
            </w:r>
            <w:r w:rsidRPr="00454203">
              <w:rPr>
                <w:rFonts w:eastAsiaTheme="minorHAnsi" w:cs="Arial"/>
                <w:color w:val="000000" w:themeColor="text1"/>
              </w:rPr>
              <w:t>have been authorised by the Chief Archivist of NZ.</w:t>
            </w:r>
          </w:p>
          <w:p w:rsidR="0043473E" w:rsidRPr="00454203" w:rsidRDefault="0043473E" w:rsidP="00A41EE7">
            <w:pPr>
              <w:pStyle w:val="TableText"/>
              <w:rPr>
                <w:rFonts w:cs="Arial"/>
              </w:rPr>
            </w:pPr>
          </w:p>
        </w:tc>
      </w:tr>
      <w:tr w:rsidR="00CD3903" w:rsidTr="007B3D2A">
        <w:tc>
          <w:tcPr>
            <w:tcW w:w="2694" w:type="dxa"/>
            <w:shd w:val="clear" w:color="auto" w:fill="auto"/>
          </w:tcPr>
          <w:p w:rsidR="00CD3903" w:rsidRPr="00454203" w:rsidRDefault="00C32620" w:rsidP="00C32620">
            <w:pPr>
              <w:autoSpaceDE w:val="0"/>
              <w:autoSpaceDN w:val="0"/>
              <w:adjustRightInd w:val="0"/>
              <w:spacing w:after="60"/>
              <w:jc w:val="both"/>
              <w:rPr>
                <w:rFonts w:ascii="Arial" w:hAnsi="Arial" w:cs="Arial"/>
                <w:sz w:val="20"/>
                <w:szCs w:val="20"/>
              </w:rPr>
            </w:pPr>
            <w:r w:rsidRPr="00454203">
              <w:rPr>
                <w:rFonts w:ascii="Arial" w:eastAsiaTheme="minorHAnsi" w:hAnsi="Arial" w:cs="Arial"/>
                <w:b/>
                <w:color w:val="000000" w:themeColor="text1"/>
                <w:sz w:val="20"/>
                <w:szCs w:val="20"/>
                <w:lang w:eastAsia="en-US"/>
              </w:rPr>
              <w:t xml:space="preserve">Estray record </w:t>
            </w:r>
          </w:p>
        </w:tc>
        <w:tc>
          <w:tcPr>
            <w:tcW w:w="7000" w:type="dxa"/>
            <w:shd w:val="clear" w:color="auto" w:fill="auto"/>
          </w:tcPr>
          <w:p w:rsidR="00C32620" w:rsidRPr="00454203" w:rsidRDefault="00BE36F4" w:rsidP="0043473E">
            <w:pPr>
              <w:autoSpaceDE w:val="0"/>
              <w:autoSpaceDN w:val="0"/>
              <w:adjustRightInd w:val="0"/>
              <w:jc w:val="both"/>
              <w:rPr>
                <w:rFonts w:ascii="Arial" w:eastAsiaTheme="minorHAnsi" w:hAnsi="Arial" w:cs="Arial"/>
                <w:color w:val="000000" w:themeColor="text1"/>
                <w:sz w:val="20"/>
                <w:szCs w:val="20"/>
                <w:lang w:eastAsia="en-US"/>
              </w:rPr>
            </w:pPr>
            <w:r w:rsidRPr="00454203">
              <w:rPr>
                <w:rFonts w:ascii="Arial" w:eastAsiaTheme="minorHAnsi" w:hAnsi="Arial" w:cs="Arial"/>
                <w:color w:val="000000" w:themeColor="text1"/>
                <w:sz w:val="20"/>
                <w:szCs w:val="20"/>
                <w:lang w:eastAsia="en-US"/>
              </w:rPr>
              <w:t>A</w:t>
            </w:r>
            <w:r w:rsidR="00C32620" w:rsidRPr="00454203">
              <w:rPr>
                <w:rFonts w:ascii="Arial" w:eastAsiaTheme="minorHAnsi" w:hAnsi="Arial" w:cs="Arial"/>
                <w:color w:val="000000" w:themeColor="text1"/>
                <w:sz w:val="20"/>
                <w:szCs w:val="20"/>
                <w:lang w:eastAsia="en-US"/>
              </w:rPr>
              <w:t xml:space="preserve"> public record, public archive or protected records that has been disposed of otherwise than</w:t>
            </w:r>
            <w:r w:rsidR="0043473E">
              <w:rPr>
                <w:rFonts w:ascii="Arial" w:eastAsiaTheme="minorHAnsi" w:hAnsi="Arial" w:cs="Arial"/>
                <w:color w:val="000000" w:themeColor="text1"/>
                <w:sz w:val="20"/>
                <w:szCs w:val="20"/>
                <w:lang w:eastAsia="en-US"/>
              </w:rPr>
              <w:t>:</w:t>
            </w:r>
            <w:r w:rsidR="00C32620" w:rsidRPr="00454203">
              <w:rPr>
                <w:rFonts w:ascii="Arial" w:eastAsiaTheme="minorHAnsi" w:hAnsi="Arial" w:cs="Arial"/>
                <w:color w:val="000000" w:themeColor="text1"/>
                <w:sz w:val="20"/>
                <w:szCs w:val="20"/>
                <w:lang w:eastAsia="en-US"/>
              </w:rPr>
              <w:t xml:space="preserve"> </w:t>
            </w:r>
          </w:p>
          <w:p w:rsidR="00C32620" w:rsidRPr="00454203" w:rsidRDefault="00C32620" w:rsidP="0043473E">
            <w:pPr>
              <w:pStyle w:val="ListParagraph"/>
              <w:numPr>
                <w:ilvl w:val="0"/>
                <w:numId w:val="39"/>
              </w:numPr>
              <w:autoSpaceDE w:val="0"/>
              <w:autoSpaceDN w:val="0"/>
              <w:adjustRightInd w:val="0"/>
              <w:ind w:left="482" w:hanging="482"/>
              <w:contextualSpacing w:val="0"/>
              <w:jc w:val="both"/>
              <w:rPr>
                <w:rFonts w:ascii="Arial" w:eastAsiaTheme="minorHAnsi" w:hAnsi="Arial" w:cs="Arial"/>
                <w:color w:val="000000" w:themeColor="text1"/>
                <w:sz w:val="20"/>
                <w:szCs w:val="20"/>
                <w:lang w:eastAsia="en-US"/>
              </w:rPr>
            </w:pPr>
            <w:r w:rsidRPr="00454203">
              <w:rPr>
                <w:rFonts w:ascii="Arial" w:eastAsiaTheme="minorHAnsi" w:hAnsi="Arial" w:cs="Arial"/>
                <w:color w:val="000000" w:themeColor="text1"/>
                <w:sz w:val="20"/>
                <w:szCs w:val="20"/>
                <w:lang w:eastAsia="en-US"/>
              </w:rPr>
              <w:t xml:space="preserve">in accordance with an authorisation of the Chief Archivist under </w:t>
            </w:r>
            <w:r w:rsidR="0043473E">
              <w:rPr>
                <w:rFonts w:ascii="Arial" w:eastAsiaTheme="minorHAnsi" w:hAnsi="Arial" w:cs="Arial"/>
                <w:color w:val="000000" w:themeColor="text1"/>
                <w:sz w:val="20"/>
                <w:szCs w:val="20"/>
                <w:lang w:eastAsia="en-US"/>
              </w:rPr>
              <w:t xml:space="preserve">the </w:t>
            </w:r>
            <w:r w:rsidR="0043473E" w:rsidRPr="00454203">
              <w:rPr>
                <w:rFonts w:ascii="Arial" w:eastAsiaTheme="minorHAnsi" w:hAnsi="Arial" w:cs="Arial"/>
                <w:color w:val="000000" w:themeColor="text1"/>
                <w:sz w:val="20"/>
                <w:szCs w:val="20"/>
                <w:lang w:eastAsia="en-US"/>
              </w:rPr>
              <w:t>Public Records Act 2005</w:t>
            </w:r>
            <w:r w:rsidRPr="00454203">
              <w:rPr>
                <w:rFonts w:ascii="Arial" w:eastAsiaTheme="minorHAnsi" w:hAnsi="Arial" w:cs="Arial"/>
                <w:color w:val="000000" w:themeColor="text1"/>
                <w:sz w:val="20"/>
                <w:szCs w:val="20"/>
                <w:lang w:eastAsia="en-US"/>
              </w:rPr>
              <w:t>; or</w:t>
            </w:r>
          </w:p>
          <w:p w:rsidR="0043473E" w:rsidRDefault="00C32620" w:rsidP="0043473E">
            <w:pPr>
              <w:pStyle w:val="ListParagraph"/>
              <w:numPr>
                <w:ilvl w:val="0"/>
                <w:numId w:val="39"/>
              </w:numPr>
              <w:autoSpaceDE w:val="0"/>
              <w:autoSpaceDN w:val="0"/>
              <w:adjustRightInd w:val="0"/>
              <w:ind w:left="482" w:hanging="482"/>
              <w:contextualSpacing w:val="0"/>
              <w:jc w:val="both"/>
              <w:rPr>
                <w:rFonts w:ascii="Arial" w:eastAsiaTheme="minorHAnsi" w:hAnsi="Arial" w:cs="Arial"/>
                <w:color w:val="000000" w:themeColor="text1"/>
                <w:sz w:val="20"/>
                <w:szCs w:val="20"/>
                <w:lang w:eastAsia="en-US"/>
              </w:rPr>
            </w:pPr>
            <w:r w:rsidRPr="00454203">
              <w:rPr>
                <w:rFonts w:ascii="Arial" w:eastAsiaTheme="minorHAnsi" w:hAnsi="Arial" w:cs="Arial"/>
                <w:color w:val="000000" w:themeColor="text1"/>
                <w:sz w:val="20"/>
                <w:szCs w:val="20"/>
                <w:lang w:eastAsia="en-US"/>
              </w:rPr>
              <w:t>as required by or under another enactment; but</w:t>
            </w:r>
          </w:p>
          <w:p w:rsidR="0043473E" w:rsidRDefault="0043473E" w:rsidP="0043473E">
            <w:pPr>
              <w:pStyle w:val="ListParagraph"/>
              <w:numPr>
                <w:ilvl w:val="0"/>
                <w:numId w:val="39"/>
              </w:numPr>
              <w:autoSpaceDE w:val="0"/>
              <w:autoSpaceDN w:val="0"/>
              <w:adjustRightInd w:val="0"/>
              <w:ind w:left="482" w:hanging="482"/>
              <w:contextualSpacing w:val="0"/>
              <w:jc w:val="both"/>
              <w:rPr>
                <w:rFonts w:ascii="Arial" w:eastAsiaTheme="minorHAnsi" w:hAnsi="Arial" w:cs="Arial"/>
                <w:color w:val="000000" w:themeColor="text1"/>
                <w:sz w:val="20"/>
                <w:szCs w:val="20"/>
                <w:lang w:eastAsia="en-US"/>
              </w:rPr>
            </w:pPr>
            <w:r w:rsidRPr="00947996">
              <w:rPr>
                <w:rFonts w:ascii="Arial" w:eastAsiaTheme="minorHAnsi" w:hAnsi="Arial" w:cs="Arial"/>
                <w:color w:val="000000" w:themeColor="text1"/>
                <w:sz w:val="20"/>
                <w:szCs w:val="20"/>
                <w:lang w:eastAsia="en-US"/>
              </w:rPr>
              <w:t>does not include a discharged public record</w:t>
            </w:r>
          </w:p>
          <w:p w:rsidR="00CD3903" w:rsidRDefault="00C32620" w:rsidP="0043473E">
            <w:pPr>
              <w:autoSpaceDE w:val="0"/>
              <w:autoSpaceDN w:val="0"/>
              <w:adjustRightInd w:val="0"/>
              <w:jc w:val="both"/>
              <w:rPr>
                <w:rFonts w:ascii="Arial" w:eastAsiaTheme="minorHAnsi" w:hAnsi="Arial" w:cs="Arial"/>
                <w:color w:val="000000" w:themeColor="text1"/>
                <w:sz w:val="20"/>
                <w:szCs w:val="20"/>
                <w:lang w:eastAsia="en-US"/>
              </w:rPr>
            </w:pPr>
            <w:r w:rsidRPr="00454203">
              <w:rPr>
                <w:rFonts w:ascii="Arial" w:eastAsiaTheme="minorHAnsi" w:hAnsi="Arial" w:cs="Arial"/>
                <w:color w:val="000000" w:themeColor="text1"/>
                <w:sz w:val="20"/>
                <w:szCs w:val="20"/>
                <w:lang w:eastAsia="en-US"/>
              </w:rPr>
              <w:t>(</w:t>
            </w:r>
            <w:r w:rsidRPr="0043473E">
              <w:rPr>
                <w:rFonts w:ascii="Arial" w:eastAsiaTheme="minorHAnsi" w:hAnsi="Arial" w:cs="Arial"/>
                <w:i/>
                <w:color w:val="000000" w:themeColor="text1"/>
                <w:sz w:val="20"/>
                <w:szCs w:val="20"/>
                <w:lang w:eastAsia="en-US"/>
              </w:rPr>
              <w:t>Public Records Act 2005, Sec 4</w:t>
            </w:r>
            <w:r w:rsidRPr="00454203">
              <w:rPr>
                <w:rFonts w:ascii="Arial" w:eastAsiaTheme="minorHAnsi" w:hAnsi="Arial" w:cs="Arial"/>
                <w:color w:val="000000" w:themeColor="text1"/>
                <w:sz w:val="20"/>
                <w:szCs w:val="20"/>
                <w:lang w:eastAsia="en-US"/>
              </w:rPr>
              <w:t>)</w:t>
            </w:r>
          </w:p>
          <w:p w:rsidR="0043473E" w:rsidRPr="00193173" w:rsidRDefault="0043473E" w:rsidP="00193173">
            <w:pPr>
              <w:autoSpaceDE w:val="0"/>
              <w:autoSpaceDN w:val="0"/>
              <w:adjustRightInd w:val="0"/>
              <w:spacing w:after="60"/>
              <w:jc w:val="both"/>
              <w:rPr>
                <w:rFonts w:ascii="Arial" w:eastAsiaTheme="minorHAnsi" w:hAnsi="Arial" w:cs="Arial"/>
                <w:color w:val="000000" w:themeColor="text1"/>
                <w:sz w:val="20"/>
                <w:szCs w:val="20"/>
                <w:lang w:eastAsia="en-US"/>
              </w:rPr>
            </w:pPr>
          </w:p>
        </w:tc>
      </w:tr>
      <w:tr w:rsidR="00C32620" w:rsidTr="007B3D2A">
        <w:tc>
          <w:tcPr>
            <w:tcW w:w="2694" w:type="dxa"/>
            <w:shd w:val="clear" w:color="auto" w:fill="auto"/>
          </w:tcPr>
          <w:p w:rsidR="00C32620" w:rsidRPr="00454203" w:rsidRDefault="00C32620" w:rsidP="00C32620">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Institute Records</w:t>
            </w:r>
            <w:r w:rsidRPr="00454203">
              <w:rPr>
                <w:rFonts w:ascii="Arial" w:eastAsiaTheme="minorHAnsi" w:hAnsi="Arial" w:cs="Arial"/>
                <w:i/>
                <w:color w:val="000000" w:themeColor="text1"/>
                <w:sz w:val="20"/>
                <w:szCs w:val="20"/>
                <w:lang w:eastAsia="en-US"/>
              </w:rPr>
              <w:t xml:space="preserve"> </w:t>
            </w:r>
          </w:p>
          <w:p w:rsidR="00C32620" w:rsidRPr="00454203" w:rsidRDefault="00C32620" w:rsidP="00965328">
            <w:pPr>
              <w:pStyle w:val="TableText"/>
              <w:rPr>
                <w:rFonts w:cs="Arial"/>
              </w:rPr>
            </w:pPr>
          </w:p>
        </w:tc>
        <w:tc>
          <w:tcPr>
            <w:tcW w:w="7000" w:type="dxa"/>
            <w:shd w:val="clear" w:color="auto" w:fill="auto"/>
          </w:tcPr>
          <w:p w:rsidR="00C32620" w:rsidRDefault="00BE36F4" w:rsidP="00A02E25">
            <w:pPr>
              <w:pStyle w:val="TableText"/>
              <w:rPr>
                <w:rFonts w:eastAsiaTheme="minorHAnsi" w:cs="Arial"/>
                <w:color w:val="000000" w:themeColor="text1"/>
              </w:rPr>
            </w:pPr>
            <w:r w:rsidRPr="00454203">
              <w:rPr>
                <w:rFonts w:eastAsiaTheme="minorHAnsi" w:cs="Arial"/>
                <w:color w:val="000000" w:themeColor="text1"/>
              </w:rPr>
              <w:t>R</w:t>
            </w:r>
            <w:r w:rsidR="00C32620" w:rsidRPr="00454203">
              <w:rPr>
                <w:rFonts w:eastAsiaTheme="minorHAnsi" w:cs="Arial"/>
                <w:color w:val="000000" w:themeColor="text1"/>
              </w:rPr>
              <w:t xml:space="preserve">ecords created by </w:t>
            </w:r>
            <w:r w:rsidR="00A02E25">
              <w:rPr>
                <w:rFonts w:eastAsiaTheme="minorHAnsi" w:cs="Arial"/>
                <w:color w:val="000000" w:themeColor="text1"/>
              </w:rPr>
              <w:t>MIT</w:t>
            </w:r>
            <w:r w:rsidR="00C32620" w:rsidRPr="00454203">
              <w:rPr>
                <w:rFonts w:eastAsiaTheme="minorHAnsi" w:cs="Arial"/>
                <w:color w:val="000000" w:themeColor="text1"/>
              </w:rPr>
              <w:t xml:space="preserve"> as a result of undertaking its normal business activity and which can evidence those activities and there outcomes.  </w:t>
            </w:r>
          </w:p>
          <w:p w:rsidR="0043473E" w:rsidRPr="00454203" w:rsidRDefault="0043473E" w:rsidP="00A02E25">
            <w:pPr>
              <w:pStyle w:val="TableText"/>
              <w:rPr>
                <w:rFonts w:cs="Arial"/>
              </w:rPr>
            </w:pPr>
          </w:p>
        </w:tc>
      </w:tr>
      <w:tr w:rsidR="00EB2A93" w:rsidTr="00947996">
        <w:tc>
          <w:tcPr>
            <w:tcW w:w="2694" w:type="dxa"/>
            <w:shd w:val="clear" w:color="auto" w:fill="auto"/>
          </w:tcPr>
          <w:p w:rsidR="00EB2A93" w:rsidRPr="00454203" w:rsidRDefault="00EB2A93" w:rsidP="00947996">
            <w:pPr>
              <w:spacing w:after="60"/>
              <w:jc w:val="both"/>
              <w:rPr>
                <w:rFonts w:ascii="Arial" w:eastAsiaTheme="minorHAnsi" w:hAnsi="Arial" w:cs="Arial"/>
                <w:color w:val="000000" w:themeColor="text1"/>
                <w:sz w:val="20"/>
                <w:szCs w:val="20"/>
                <w:lang w:eastAsia="en-US"/>
              </w:rPr>
            </w:pPr>
            <w:r>
              <w:rPr>
                <w:rFonts w:ascii="Arial" w:eastAsiaTheme="minorHAnsi" w:hAnsi="Arial" w:cs="Arial"/>
                <w:b/>
                <w:color w:val="000000" w:themeColor="text1"/>
                <w:sz w:val="20"/>
                <w:szCs w:val="20"/>
                <w:lang w:eastAsia="en-US"/>
              </w:rPr>
              <w:t xml:space="preserve">ITPNZ </w:t>
            </w:r>
            <w:r w:rsidRPr="00454203">
              <w:rPr>
                <w:rFonts w:ascii="Arial" w:eastAsiaTheme="minorHAnsi" w:hAnsi="Arial" w:cs="Arial"/>
                <w:b/>
                <w:color w:val="000000" w:themeColor="text1"/>
                <w:sz w:val="20"/>
                <w:szCs w:val="20"/>
                <w:lang w:eastAsia="en-US"/>
              </w:rPr>
              <w:t>General Disposal Authority</w:t>
            </w:r>
            <w:r>
              <w:rPr>
                <w:rFonts w:ascii="Arial" w:eastAsiaTheme="minorHAnsi" w:hAnsi="Arial" w:cs="Arial"/>
                <w:b/>
                <w:color w:val="000000" w:themeColor="text1"/>
                <w:sz w:val="20"/>
                <w:szCs w:val="20"/>
                <w:lang w:eastAsia="en-US"/>
              </w:rPr>
              <w:t xml:space="preserve"> (GDA)</w:t>
            </w:r>
            <w:r w:rsidRPr="00454203">
              <w:rPr>
                <w:rFonts w:ascii="Arial" w:eastAsiaTheme="minorHAnsi" w:hAnsi="Arial" w:cs="Arial"/>
                <w:i/>
                <w:color w:val="000000" w:themeColor="text1"/>
                <w:sz w:val="20"/>
                <w:szCs w:val="20"/>
                <w:lang w:eastAsia="en-US"/>
              </w:rPr>
              <w:t xml:space="preserve"> </w:t>
            </w:r>
          </w:p>
          <w:p w:rsidR="00EB2A93" w:rsidRPr="00454203" w:rsidRDefault="00EB2A93" w:rsidP="00947996">
            <w:pPr>
              <w:pStyle w:val="TableText"/>
              <w:rPr>
                <w:rFonts w:cs="Arial"/>
              </w:rPr>
            </w:pPr>
          </w:p>
        </w:tc>
        <w:tc>
          <w:tcPr>
            <w:tcW w:w="7000" w:type="dxa"/>
            <w:shd w:val="clear" w:color="auto" w:fill="auto"/>
          </w:tcPr>
          <w:p w:rsidR="00EB2A93" w:rsidRDefault="00EB2A93" w:rsidP="00947996">
            <w:pPr>
              <w:pStyle w:val="TableText"/>
              <w:rPr>
                <w:rFonts w:eastAsiaTheme="minorHAnsi" w:cs="Arial"/>
                <w:color w:val="000000" w:themeColor="text1"/>
              </w:rPr>
            </w:pPr>
            <w:r>
              <w:rPr>
                <w:rFonts w:eastAsiaTheme="minorHAnsi" w:cs="Arial"/>
                <w:color w:val="000000" w:themeColor="text1"/>
              </w:rPr>
              <w:t>T</w:t>
            </w:r>
            <w:r w:rsidRPr="00454203">
              <w:rPr>
                <w:rFonts w:eastAsiaTheme="minorHAnsi" w:cs="Arial"/>
                <w:color w:val="000000" w:themeColor="text1"/>
              </w:rPr>
              <w:t xml:space="preserve">he legal instrument approved by the Chief Archivist of New Zealand that authorises the disposal of public records in accordance with minimum retention periods and actions for the ITP sector.  The Retention &amp; Disposal Schedule </w:t>
            </w:r>
            <w:r>
              <w:rPr>
                <w:rFonts w:eastAsiaTheme="minorHAnsi" w:cs="Arial"/>
                <w:color w:val="000000" w:themeColor="text1"/>
              </w:rPr>
              <w:t xml:space="preserve">to the GDA </w:t>
            </w:r>
            <w:r w:rsidRPr="00454203">
              <w:rPr>
                <w:rFonts w:eastAsiaTheme="minorHAnsi" w:cs="Arial"/>
                <w:color w:val="000000" w:themeColor="text1"/>
              </w:rPr>
              <w:t xml:space="preserve">is the approved mechanism </w:t>
            </w:r>
            <w:r>
              <w:rPr>
                <w:rFonts w:eastAsiaTheme="minorHAnsi" w:cs="Arial"/>
                <w:color w:val="000000" w:themeColor="text1"/>
              </w:rPr>
              <w:t>that</w:t>
            </w:r>
            <w:r w:rsidRPr="00454203">
              <w:rPr>
                <w:rFonts w:eastAsiaTheme="minorHAnsi" w:cs="Arial"/>
                <w:color w:val="000000" w:themeColor="text1"/>
              </w:rPr>
              <w:t xml:space="preserve"> facilitates the application of </w:t>
            </w:r>
            <w:r w:rsidRPr="0043473E">
              <w:rPr>
                <w:rFonts w:eastAsiaTheme="minorHAnsi" w:cs="Arial"/>
                <w:color w:val="000000" w:themeColor="text1"/>
              </w:rPr>
              <w:t>the GDA</w:t>
            </w:r>
            <w:r>
              <w:rPr>
                <w:rFonts w:eastAsiaTheme="minorHAnsi" w:cs="Arial"/>
                <w:color w:val="000000" w:themeColor="text1"/>
              </w:rPr>
              <w:t>.</w:t>
            </w:r>
          </w:p>
          <w:p w:rsidR="00EB2A93" w:rsidRPr="00454203" w:rsidRDefault="00EB2A93" w:rsidP="00947996">
            <w:pPr>
              <w:pStyle w:val="TableText"/>
              <w:rPr>
                <w:rFonts w:cs="Arial"/>
              </w:rPr>
            </w:pPr>
          </w:p>
        </w:tc>
      </w:tr>
      <w:tr w:rsidR="00C32620" w:rsidTr="007B3D2A">
        <w:tc>
          <w:tcPr>
            <w:tcW w:w="2694" w:type="dxa"/>
            <w:shd w:val="clear" w:color="auto" w:fill="auto"/>
          </w:tcPr>
          <w:p w:rsidR="00C32620" w:rsidRPr="00454203" w:rsidRDefault="00C32620" w:rsidP="00C32620">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Metadata</w:t>
            </w:r>
            <w:r w:rsidRPr="00454203">
              <w:rPr>
                <w:rFonts w:ascii="Arial" w:eastAsiaTheme="minorHAnsi" w:hAnsi="Arial" w:cs="Arial"/>
                <w:color w:val="000000" w:themeColor="text1"/>
                <w:sz w:val="20"/>
                <w:szCs w:val="20"/>
                <w:lang w:eastAsia="en-US"/>
              </w:rPr>
              <w:t xml:space="preserve"> </w:t>
            </w:r>
          </w:p>
          <w:p w:rsidR="00C32620" w:rsidRPr="00454203" w:rsidRDefault="00C32620" w:rsidP="00965328">
            <w:pPr>
              <w:pStyle w:val="TableText"/>
              <w:rPr>
                <w:rFonts w:cs="Arial"/>
              </w:rPr>
            </w:pPr>
          </w:p>
        </w:tc>
        <w:tc>
          <w:tcPr>
            <w:tcW w:w="7000" w:type="dxa"/>
            <w:shd w:val="clear" w:color="auto" w:fill="auto"/>
          </w:tcPr>
          <w:p w:rsidR="00C32620" w:rsidRDefault="00BE36F4" w:rsidP="00965328">
            <w:pPr>
              <w:pStyle w:val="TableText"/>
              <w:rPr>
                <w:rFonts w:eastAsiaTheme="minorHAnsi" w:cs="Arial"/>
                <w:color w:val="000000" w:themeColor="text1"/>
              </w:rPr>
            </w:pPr>
            <w:r w:rsidRPr="00454203">
              <w:rPr>
                <w:rFonts w:eastAsiaTheme="minorHAnsi" w:cs="Arial"/>
                <w:color w:val="000000" w:themeColor="text1"/>
              </w:rPr>
              <w:t>Data</w:t>
            </w:r>
            <w:r w:rsidR="00C32620" w:rsidRPr="00454203">
              <w:rPr>
                <w:rFonts w:eastAsiaTheme="minorHAnsi" w:cs="Arial"/>
                <w:color w:val="000000" w:themeColor="text1"/>
              </w:rPr>
              <w:t xml:space="preserve"> which describes context, content and structure of a record through time enabling discovery, management and authentication of the record. Specifically, recordkeeping metadata can be used to identify, contextualise and validate people, processes and systems that create, maintain and dispose of institutional records.</w:t>
            </w:r>
          </w:p>
          <w:p w:rsidR="0043473E" w:rsidRPr="00454203" w:rsidRDefault="0043473E" w:rsidP="00965328">
            <w:pPr>
              <w:pStyle w:val="TableText"/>
              <w:rPr>
                <w:rFonts w:cs="Arial"/>
              </w:rPr>
            </w:pPr>
          </w:p>
        </w:tc>
      </w:tr>
      <w:tr w:rsidR="00C32620" w:rsidTr="007B3D2A">
        <w:tc>
          <w:tcPr>
            <w:tcW w:w="2694" w:type="dxa"/>
            <w:shd w:val="clear" w:color="auto" w:fill="auto"/>
          </w:tcPr>
          <w:p w:rsidR="00C32620" w:rsidRPr="00454203" w:rsidRDefault="00C32620" w:rsidP="007B7117">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Offsite storage</w:t>
            </w:r>
          </w:p>
          <w:p w:rsidR="00C32620" w:rsidRPr="00454203" w:rsidRDefault="00C32620" w:rsidP="00965328">
            <w:pPr>
              <w:pStyle w:val="TableText"/>
              <w:rPr>
                <w:rFonts w:cs="Arial"/>
              </w:rPr>
            </w:pPr>
          </w:p>
        </w:tc>
        <w:tc>
          <w:tcPr>
            <w:tcW w:w="7000" w:type="dxa"/>
            <w:shd w:val="clear" w:color="auto" w:fill="auto"/>
          </w:tcPr>
          <w:p w:rsidR="00C32620" w:rsidRDefault="00192B02" w:rsidP="00965328">
            <w:pPr>
              <w:pStyle w:val="TableText"/>
              <w:rPr>
                <w:rFonts w:eastAsiaTheme="minorHAnsi" w:cs="Arial"/>
                <w:color w:val="000000" w:themeColor="text1"/>
              </w:rPr>
            </w:pPr>
            <w:r w:rsidRPr="00454203">
              <w:rPr>
                <w:rFonts w:eastAsiaTheme="minorHAnsi" w:cs="Arial"/>
                <w:color w:val="000000" w:themeColor="text1"/>
              </w:rPr>
              <w:t>C</w:t>
            </w:r>
            <w:r w:rsidR="007B7117" w:rsidRPr="00454203">
              <w:rPr>
                <w:rFonts w:eastAsiaTheme="minorHAnsi" w:cs="Arial"/>
                <w:color w:val="000000" w:themeColor="text1"/>
              </w:rPr>
              <w:t>ompliant storage repository other than on campus, where inactive records of value can be maintained through to eventual disposal or archiving.</w:t>
            </w:r>
          </w:p>
          <w:p w:rsidR="0043473E" w:rsidRPr="00454203" w:rsidRDefault="0043473E" w:rsidP="00965328">
            <w:pPr>
              <w:pStyle w:val="TableText"/>
              <w:rPr>
                <w:rFonts w:cs="Arial"/>
              </w:rPr>
            </w:pPr>
          </w:p>
        </w:tc>
      </w:tr>
      <w:tr w:rsidR="00C32620" w:rsidTr="007B3D2A">
        <w:tc>
          <w:tcPr>
            <w:tcW w:w="2694" w:type="dxa"/>
            <w:shd w:val="clear" w:color="auto" w:fill="auto"/>
          </w:tcPr>
          <w:p w:rsidR="00336267" w:rsidRPr="00454203" w:rsidRDefault="00336267" w:rsidP="007B7117">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Public Record</w:t>
            </w:r>
          </w:p>
          <w:p w:rsidR="00C32620" w:rsidRPr="00454203" w:rsidRDefault="00C32620" w:rsidP="00965328">
            <w:pPr>
              <w:pStyle w:val="TableText"/>
              <w:rPr>
                <w:rFonts w:cs="Arial"/>
              </w:rPr>
            </w:pPr>
          </w:p>
        </w:tc>
        <w:tc>
          <w:tcPr>
            <w:tcW w:w="7000" w:type="dxa"/>
            <w:shd w:val="clear" w:color="auto" w:fill="auto"/>
          </w:tcPr>
          <w:p w:rsidR="0043473E" w:rsidRDefault="00192B02" w:rsidP="00193173">
            <w:pPr>
              <w:pStyle w:val="TableText"/>
              <w:rPr>
                <w:rFonts w:eastAsiaTheme="minorHAnsi" w:cs="Arial"/>
                <w:color w:val="000000" w:themeColor="text1"/>
              </w:rPr>
            </w:pPr>
            <w:r w:rsidRPr="00454203">
              <w:rPr>
                <w:rFonts w:eastAsiaTheme="minorHAnsi" w:cs="Arial"/>
                <w:color w:val="000000" w:themeColor="text1"/>
              </w:rPr>
              <w:t>A</w:t>
            </w:r>
            <w:r w:rsidR="007B7117" w:rsidRPr="00454203">
              <w:rPr>
                <w:rFonts w:eastAsiaTheme="minorHAnsi" w:cs="Arial"/>
                <w:color w:val="000000" w:themeColor="text1"/>
              </w:rPr>
              <w:t xml:space="preserve"> </w:t>
            </w:r>
            <w:r w:rsidR="007B7117" w:rsidRPr="00454203">
              <w:rPr>
                <w:rFonts w:eastAsiaTheme="minorHAnsi" w:cs="Arial"/>
                <w:i/>
                <w:iCs/>
                <w:color w:val="000000" w:themeColor="text1"/>
              </w:rPr>
              <w:t xml:space="preserve">record </w:t>
            </w:r>
            <w:r w:rsidR="007B7117" w:rsidRPr="00454203">
              <w:rPr>
                <w:rFonts w:eastAsiaTheme="minorHAnsi" w:cs="Arial"/>
                <w:color w:val="000000" w:themeColor="text1"/>
              </w:rPr>
              <w:t xml:space="preserve">created or received by a </w:t>
            </w:r>
            <w:r w:rsidR="007B7117" w:rsidRPr="00454203">
              <w:rPr>
                <w:rFonts w:eastAsiaTheme="minorHAnsi" w:cs="Arial"/>
                <w:i/>
                <w:iCs/>
                <w:color w:val="000000" w:themeColor="text1"/>
              </w:rPr>
              <w:t xml:space="preserve">public office </w:t>
            </w:r>
            <w:r w:rsidR="007B7117" w:rsidRPr="00454203">
              <w:rPr>
                <w:rFonts w:eastAsiaTheme="minorHAnsi" w:cs="Arial"/>
                <w:color w:val="000000" w:themeColor="text1"/>
              </w:rPr>
              <w:t xml:space="preserve">in the conduct of its affairs. This includes records declared to be public records by the Governor-General and </w:t>
            </w:r>
            <w:r w:rsidR="007B7117" w:rsidRPr="00454203">
              <w:rPr>
                <w:rFonts w:eastAsiaTheme="minorHAnsi" w:cs="Arial"/>
                <w:i/>
                <w:iCs/>
                <w:color w:val="000000" w:themeColor="text1"/>
              </w:rPr>
              <w:t xml:space="preserve">estray </w:t>
            </w:r>
            <w:r w:rsidR="007B7117" w:rsidRPr="00454203">
              <w:rPr>
                <w:rFonts w:eastAsiaTheme="minorHAnsi" w:cs="Arial"/>
                <w:color w:val="000000" w:themeColor="text1"/>
              </w:rPr>
              <w:t xml:space="preserve">records. This does not include special collections (records </w:t>
            </w:r>
            <w:r w:rsidR="007B7117" w:rsidRPr="00454203">
              <w:rPr>
                <w:rFonts w:eastAsiaTheme="minorHAnsi" w:cs="Arial"/>
                <w:color w:val="000000" w:themeColor="text1"/>
              </w:rPr>
              <w:lastRenderedPageBreak/>
              <w:t xml:space="preserve">collected for purposes such as research) or records created by the academic staff or students of a tertiary education institution, unless the records have become part of the records of that institution. </w:t>
            </w:r>
          </w:p>
          <w:p w:rsidR="00C32620" w:rsidRDefault="007B7117" w:rsidP="00193173">
            <w:pPr>
              <w:pStyle w:val="TableText"/>
              <w:rPr>
                <w:rFonts w:eastAsiaTheme="minorHAnsi" w:cs="Arial"/>
                <w:color w:val="000000" w:themeColor="text1"/>
              </w:rPr>
            </w:pPr>
            <w:r w:rsidRPr="00454203">
              <w:rPr>
                <w:rFonts w:eastAsiaTheme="minorHAnsi" w:cs="Arial"/>
                <w:color w:val="000000" w:themeColor="text1"/>
              </w:rPr>
              <w:t>(</w:t>
            </w:r>
            <w:r w:rsidRPr="0043473E">
              <w:rPr>
                <w:rFonts w:eastAsiaTheme="minorHAnsi" w:cs="Arial"/>
                <w:i/>
                <w:color w:val="000000" w:themeColor="text1"/>
              </w:rPr>
              <w:t>Public Records Act, Sec 4</w:t>
            </w:r>
            <w:r w:rsidRPr="00454203">
              <w:rPr>
                <w:rFonts w:eastAsiaTheme="minorHAnsi" w:cs="Arial"/>
                <w:color w:val="000000" w:themeColor="text1"/>
              </w:rPr>
              <w:t xml:space="preserve">) </w:t>
            </w:r>
          </w:p>
          <w:p w:rsidR="0043473E" w:rsidRPr="00454203" w:rsidRDefault="0043473E" w:rsidP="00193173">
            <w:pPr>
              <w:pStyle w:val="TableText"/>
              <w:rPr>
                <w:rFonts w:cs="Arial"/>
              </w:rPr>
            </w:pPr>
          </w:p>
        </w:tc>
      </w:tr>
      <w:tr w:rsidR="00C32620" w:rsidTr="007B3D2A">
        <w:tc>
          <w:tcPr>
            <w:tcW w:w="2694" w:type="dxa"/>
            <w:shd w:val="clear" w:color="auto" w:fill="auto"/>
          </w:tcPr>
          <w:p w:rsidR="00336267" w:rsidRPr="00454203" w:rsidRDefault="00336267" w:rsidP="007B7117">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hAnsi="Arial" w:cs="Arial"/>
                <w:b/>
                <w:color w:val="000000" w:themeColor="text1"/>
                <w:sz w:val="20"/>
                <w:szCs w:val="20"/>
              </w:rPr>
              <w:lastRenderedPageBreak/>
              <w:t>Record</w:t>
            </w:r>
          </w:p>
          <w:p w:rsidR="00C32620" w:rsidRPr="00454203" w:rsidRDefault="00C32620" w:rsidP="00965328">
            <w:pPr>
              <w:pStyle w:val="TableText"/>
              <w:rPr>
                <w:rFonts w:cs="Arial"/>
              </w:rPr>
            </w:pPr>
          </w:p>
        </w:tc>
        <w:tc>
          <w:tcPr>
            <w:tcW w:w="7000" w:type="dxa"/>
            <w:shd w:val="clear" w:color="auto" w:fill="auto"/>
          </w:tcPr>
          <w:p w:rsidR="0043473E" w:rsidRDefault="00BE36F4" w:rsidP="00965328">
            <w:pPr>
              <w:pStyle w:val="TableText"/>
              <w:rPr>
                <w:rFonts w:eastAsiaTheme="minorHAnsi" w:cs="Arial"/>
                <w:color w:val="000000" w:themeColor="text1"/>
              </w:rPr>
            </w:pPr>
            <w:r w:rsidRPr="00454203">
              <w:rPr>
                <w:rFonts w:eastAsiaTheme="minorHAnsi" w:cs="Arial"/>
                <w:color w:val="000000" w:themeColor="text1"/>
              </w:rPr>
              <w:t>I</w:t>
            </w:r>
            <w:r w:rsidR="007B7117" w:rsidRPr="00454203">
              <w:rPr>
                <w:rFonts w:eastAsiaTheme="minorHAnsi" w:cs="Arial"/>
                <w:color w:val="000000" w:themeColor="text1"/>
              </w:rPr>
              <w:t xml:space="preserve">nformation, whether in its original form or otherwise, including (without limitation) a </w:t>
            </w:r>
            <w:r w:rsidR="007B7117" w:rsidRPr="00454203">
              <w:rPr>
                <w:rFonts w:eastAsiaTheme="minorHAnsi" w:cs="Arial"/>
                <w:i/>
                <w:iCs/>
                <w:color w:val="000000" w:themeColor="text1"/>
              </w:rPr>
              <w:t xml:space="preserve">document, </w:t>
            </w:r>
            <w:r w:rsidR="007B7117" w:rsidRPr="00454203">
              <w:rPr>
                <w:rFonts w:eastAsiaTheme="minorHAnsi" w:cs="Arial"/>
                <w:color w:val="000000" w:themeColor="text1"/>
              </w:rPr>
              <w:t xml:space="preserve">a signature, a seal, text, </w:t>
            </w:r>
            <w:r w:rsidR="007B7117" w:rsidRPr="00454203">
              <w:rPr>
                <w:rFonts w:eastAsiaTheme="minorHAnsi" w:cs="Arial"/>
                <w:i/>
                <w:iCs/>
                <w:color w:val="000000" w:themeColor="text1"/>
              </w:rPr>
              <w:t>images,</w:t>
            </w:r>
            <w:r w:rsidR="007B7117" w:rsidRPr="00454203">
              <w:rPr>
                <w:rFonts w:eastAsiaTheme="minorHAnsi" w:cs="Arial"/>
                <w:color w:val="000000" w:themeColor="text1"/>
              </w:rPr>
              <w:t xml:space="preserve"> sound, speech, or data compiled, recorded, or stored, as the case may be</w:t>
            </w:r>
            <w:r w:rsidR="0043473E">
              <w:rPr>
                <w:rFonts w:eastAsiaTheme="minorHAnsi" w:cs="Arial"/>
                <w:color w:val="000000" w:themeColor="text1"/>
              </w:rPr>
              <w:t>:</w:t>
            </w:r>
            <w:r w:rsidR="007B7117" w:rsidRPr="00454203">
              <w:rPr>
                <w:rFonts w:eastAsiaTheme="minorHAnsi" w:cs="Arial"/>
                <w:color w:val="000000" w:themeColor="text1"/>
              </w:rPr>
              <w:t xml:space="preserve"> </w:t>
            </w:r>
          </w:p>
          <w:p w:rsidR="0043473E" w:rsidRDefault="007B7117" w:rsidP="0043473E">
            <w:pPr>
              <w:pStyle w:val="TableText"/>
              <w:numPr>
                <w:ilvl w:val="0"/>
                <w:numId w:val="42"/>
              </w:numPr>
              <w:ind w:left="482" w:hanging="482"/>
              <w:rPr>
                <w:rFonts w:eastAsiaTheme="minorHAnsi" w:cs="Arial"/>
                <w:color w:val="000000" w:themeColor="text1"/>
              </w:rPr>
            </w:pPr>
            <w:r w:rsidRPr="00454203">
              <w:rPr>
                <w:rFonts w:eastAsiaTheme="minorHAnsi" w:cs="Arial"/>
                <w:color w:val="000000" w:themeColor="text1"/>
              </w:rPr>
              <w:t xml:space="preserve">in written form on any material; or </w:t>
            </w:r>
          </w:p>
          <w:p w:rsidR="0043473E" w:rsidRDefault="007B7117" w:rsidP="0043473E">
            <w:pPr>
              <w:pStyle w:val="TableText"/>
              <w:numPr>
                <w:ilvl w:val="0"/>
                <w:numId w:val="42"/>
              </w:numPr>
              <w:ind w:left="482" w:hanging="482"/>
              <w:rPr>
                <w:rFonts w:eastAsiaTheme="minorHAnsi" w:cs="Arial"/>
                <w:color w:val="000000" w:themeColor="text1"/>
              </w:rPr>
            </w:pPr>
            <w:r w:rsidRPr="00454203">
              <w:rPr>
                <w:rFonts w:eastAsiaTheme="minorHAnsi" w:cs="Arial"/>
                <w:color w:val="000000" w:themeColor="text1"/>
              </w:rPr>
              <w:t xml:space="preserve">on film, negative, tape, or other medium so as to be capable of being reproduced; or </w:t>
            </w:r>
          </w:p>
          <w:p w:rsidR="0043473E" w:rsidRDefault="007B7117" w:rsidP="0043473E">
            <w:pPr>
              <w:pStyle w:val="TableText"/>
              <w:numPr>
                <w:ilvl w:val="0"/>
                <w:numId w:val="42"/>
              </w:numPr>
              <w:ind w:left="482" w:hanging="482"/>
              <w:rPr>
                <w:rFonts w:eastAsiaTheme="minorHAnsi" w:cs="Arial"/>
                <w:color w:val="000000" w:themeColor="text1"/>
              </w:rPr>
            </w:pPr>
            <w:r w:rsidRPr="00454203">
              <w:rPr>
                <w:rFonts w:eastAsiaTheme="minorHAnsi" w:cs="Arial"/>
                <w:color w:val="000000" w:themeColor="text1"/>
              </w:rPr>
              <w:t xml:space="preserve">by means of any recording device or process, computer, or other electronic device or process. </w:t>
            </w:r>
          </w:p>
          <w:p w:rsidR="00C32620" w:rsidRDefault="007B7117" w:rsidP="00965328">
            <w:pPr>
              <w:pStyle w:val="TableText"/>
              <w:rPr>
                <w:rFonts w:eastAsiaTheme="minorHAnsi" w:cs="Arial"/>
                <w:color w:val="000000" w:themeColor="text1"/>
              </w:rPr>
            </w:pPr>
            <w:r w:rsidRPr="00454203">
              <w:rPr>
                <w:rFonts w:eastAsiaTheme="minorHAnsi" w:cs="Arial"/>
                <w:color w:val="000000" w:themeColor="text1"/>
              </w:rPr>
              <w:t>(</w:t>
            </w:r>
            <w:r w:rsidRPr="0043473E">
              <w:rPr>
                <w:rFonts w:eastAsiaTheme="minorHAnsi" w:cs="Arial"/>
                <w:i/>
                <w:color w:val="000000" w:themeColor="text1"/>
              </w:rPr>
              <w:t>Public Records Act, Sec 4</w:t>
            </w:r>
            <w:r w:rsidRPr="00454203">
              <w:rPr>
                <w:rFonts w:eastAsiaTheme="minorHAnsi" w:cs="Arial"/>
                <w:color w:val="000000" w:themeColor="text1"/>
              </w:rPr>
              <w:t>)</w:t>
            </w:r>
          </w:p>
          <w:p w:rsidR="0043473E" w:rsidRPr="00454203" w:rsidRDefault="0043473E" w:rsidP="00965328">
            <w:pPr>
              <w:pStyle w:val="TableText"/>
              <w:rPr>
                <w:rFonts w:cs="Arial"/>
              </w:rPr>
            </w:pPr>
          </w:p>
        </w:tc>
      </w:tr>
      <w:tr w:rsidR="00C32620" w:rsidTr="007B3D2A">
        <w:tc>
          <w:tcPr>
            <w:tcW w:w="2694" w:type="dxa"/>
            <w:shd w:val="clear" w:color="auto" w:fill="auto"/>
          </w:tcPr>
          <w:p w:rsidR="00336267" w:rsidRPr="00454203" w:rsidRDefault="00336267" w:rsidP="007B7117">
            <w:pPr>
              <w:autoSpaceDE w:val="0"/>
              <w:autoSpaceDN w:val="0"/>
              <w:adjustRightInd w:val="0"/>
              <w:spacing w:after="6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Recordkeeping framework</w:t>
            </w:r>
          </w:p>
          <w:p w:rsidR="00C32620" w:rsidRPr="00454203" w:rsidRDefault="00C32620" w:rsidP="00965328">
            <w:pPr>
              <w:pStyle w:val="TableText"/>
              <w:rPr>
                <w:rFonts w:cs="Arial"/>
              </w:rPr>
            </w:pPr>
          </w:p>
        </w:tc>
        <w:tc>
          <w:tcPr>
            <w:tcW w:w="7000" w:type="dxa"/>
            <w:shd w:val="clear" w:color="auto" w:fill="auto"/>
          </w:tcPr>
          <w:p w:rsidR="00C32620" w:rsidRDefault="00192B02" w:rsidP="00A02E25">
            <w:pPr>
              <w:pStyle w:val="TableText"/>
              <w:rPr>
                <w:rFonts w:eastAsiaTheme="minorHAnsi" w:cs="Arial"/>
                <w:color w:val="000000" w:themeColor="text1"/>
              </w:rPr>
            </w:pPr>
            <w:r w:rsidRPr="00454203">
              <w:rPr>
                <w:rFonts w:eastAsiaTheme="minorHAnsi" w:cs="Arial"/>
                <w:color w:val="000000" w:themeColor="text1"/>
              </w:rPr>
              <w:t>T</w:t>
            </w:r>
            <w:r w:rsidR="007B7117" w:rsidRPr="00454203">
              <w:rPr>
                <w:rFonts w:eastAsiaTheme="minorHAnsi" w:cs="Arial"/>
                <w:color w:val="000000" w:themeColor="text1"/>
              </w:rPr>
              <w:t xml:space="preserve">he aggregation of policies, procedures, disposal authorities, training and other resources and tools put in place to allow for a consistent, measurable and compliant records management approach by </w:t>
            </w:r>
            <w:r w:rsidR="00A02E25">
              <w:rPr>
                <w:rFonts w:eastAsiaTheme="minorHAnsi" w:cs="Arial"/>
                <w:color w:val="000000" w:themeColor="text1"/>
              </w:rPr>
              <w:t>MIT</w:t>
            </w:r>
            <w:r w:rsidR="007B7117" w:rsidRPr="00454203">
              <w:rPr>
                <w:rFonts w:eastAsiaTheme="minorHAnsi" w:cs="Arial"/>
                <w:color w:val="000000" w:themeColor="text1"/>
              </w:rPr>
              <w:t xml:space="preserve"> e.g. TechOne, Offsite Storage facilities, Records Management induction process, Records Management Policy etc.</w:t>
            </w:r>
          </w:p>
          <w:p w:rsidR="0043473E" w:rsidRPr="00454203" w:rsidRDefault="0043473E" w:rsidP="00A02E25">
            <w:pPr>
              <w:pStyle w:val="TableText"/>
              <w:rPr>
                <w:rFonts w:cs="Arial"/>
              </w:rPr>
            </w:pPr>
          </w:p>
        </w:tc>
      </w:tr>
      <w:tr w:rsidR="00336267" w:rsidTr="007B3D2A">
        <w:tc>
          <w:tcPr>
            <w:tcW w:w="2694" w:type="dxa"/>
            <w:shd w:val="clear" w:color="auto" w:fill="auto"/>
          </w:tcPr>
          <w:p w:rsidR="00336267" w:rsidRPr="00454203" w:rsidRDefault="00336267" w:rsidP="007B7117">
            <w:pPr>
              <w:autoSpaceDE w:val="0"/>
              <w:autoSpaceDN w:val="0"/>
              <w:adjustRightInd w:val="0"/>
              <w:jc w:val="both"/>
              <w:rPr>
                <w:rFonts w:ascii="Arial" w:eastAsiaTheme="minorHAnsi" w:hAnsi="Arial" w:cs="Arial"/>
                <w:color w:val="000000" w:themeColor="text1"/>
                <w:sz w:val="20"/>
                <w:szCs w:val="20"/>
                <w:lang w:eastAsia="en-US"/>
              </w:rPr>
            </w:pPr>
            <w:r w:rsidRPr="00454203">
              <w:rPr>
                <w:rFonts w:ascii="Arial" w:eastAsiaTheme="minorHAnsi" w:hAnsi="Arial" w:cs="Arial"/>
                <w:b/>
                <w:color w:val="000000" w:themeColor="text1"/>
                <w:sz w:val="20"/>
                <w:szCs w:val="20"/>
                <w:lang w:eastAsia="en-US"/>
              </w:rPr>
              <w:t>Vital records</w:t>
            </w:r>
          </w:p>
          <w:p w:rsidR="00336267" w:rsidRPr="00454203" w:rsidRDefault="00336267" w:rsidP="00965328">
            <w:pPr>
              <w:pStyle w:val="TableText"/>
              <w:rPr>
                <w:rFonts w:cs="Arial"/>
              </w:rPr>
            </w:pPr>
          </w:p>
        </w:tc>
        <w:tc>
          <w:tcPr>
            <w:tcW w:w="7000" w:type="dxa"/>
            <w:shd w:val="clear" w:color="auto" w:fill="auto"/>
          </w:tcPr>
          <w:p w:rsidR="00336267" w:rsidRDefault="00BE36F4" w:rsidP="00BE36F4">
            <w:pPr>
              <w:pStyle w:val="TableText"/>
              <w:rPr>
                <w:rFonts w:cs="Arial"/>
                <w:color w:val="000000" w:themeColor="text1"/>
              </w:rPr>
            </w:pPr>
            <w:r w:rsidRPr="00454203">
              <w:rPr>
                <w:rFonts w:cs="Arial"/>
                <w:color w:val="000000" w:themeColor="text1"/>
              </w:rPr>
              <w:t>A</w:t>
            </w:r>
            <w:r w:rsidR="007B7117" w:rsidRPr="00454203">
              <w:rPr>
                <w:rFonts w:cs="Arial"/>
                <w:color w:val="000000" w:themeColor="text1"/>
              </w:rPr>
              <w:t>uthoritative</w:t>
            </w:r>
            <w:r w:rsidR="007B7117" w:rsidRPr="00454203">
              <w:rPr>
                <w:rFonts w:eastAsiaTheme="minorHAnsi" w:cs="Arial"/>
                <w:color w:val="000000" w:themeColor="text1"/>
              </w:rPr>
              <w:t xml:space="preserve"> r</w:t>
            </w:r>
            <w:r w:rsidR="007B7117" w:rsidRPr="00454203">
              <w:rPr>
                <w:rFonts w:cs="Arial"/>
                <w:color w:val="000000" w:themeColor="text1"/>
              </w:rPr>
              <w:t>ecords</w:t>
            </w:r>
            <w:r w:rsidR="00EB2A93">
              <w:rPr>
                <w:rFonts w:cs="Arial"/>
                <w:color w:val="000000" w:themeColor="text1"/>
              </w:rPr>
              <w:t>,</w:t>
            </w:r>
            <w:r w:rsidR="007B7117" w:rsidRPr="00454203">
              <w:rPr>
                <w:rFonts w:cs="Arial"/>
                <w:color w:val="000000" w:themeColor="text1"/>
              </w:rPr>
              <w:t xml:space="preserve"> which contain essential information necessary for the resumption of operations after a disaster or significant event, </w:t>
            </w:r>
            <w:r w:rsidR="00EB2A93">
              <w:rPr>
                <w:rFonts w:cs="Arial"/>
                <w:color w:val="000000" w:themeColor="text1"/>
              </w:rPr>
              <w:t xml:space="preserve">and </w:t>
            </w:r>
            <w:r w:rsidR="007B7117" w:rsidRPr="00454203">
              <w:rPr>
                <w:rFonts w:cs="Arial"/>
                <w:color w:val="000000" w:themeColor="text1"/>
              </w:rPr>
              <w:t>that re-establish the legal, financial and academic status of an institute and determine the rights and obligations of the individual and corporate bodies within it.</w:t>
            </w:r>
          </w:p>
          <w:p w:rsidR="0043473E" w:rsidRPr="00454203" w:rsidRDefault="0043473E" w:rsidP="00BE36F4">
            <w:pPr>
              <w:pStyle w:val="TableText"/>
              <w:rPr>
                <w:rFonts w:cs="Arial"/>
              </w:rPr>
            </w:pPr>
          </w:p>
        </w:tc>
      </w:tr>
    </w:tbl>
    <w:bookmarkStart w:id="33" w:name="_Toc321125845" w:displacedByCustomXml="next"/>
    <w:bookmarkStart w:id="34" w:name="_Toc321122944" w:displacedByCustomXml="next"/>
    <w:bookmarkStart w:id="35" w:name="_Toc371486966" w:displacedByCustomXml="next"/>
    <w:sdt>
      <w:sdtPr>
        <w:id w:val="-1900899745"/>
        <w:lock w:val="sdtContentLocked"/>
        <w:placeholder>
          <w:docPart w:val="A5E80BCE747D46D281BB8FDE7ADE9EC5"/>
        </w:placeholder>
      </w:sdtPr>
      <w:sdtEndPr/>
      <w:sdtContent>
        <w:p w:rsidR="00CD3903" w:rsidRPr="00A41EE7" w:rsidRDefault="00CD3903" w:rsidP="00AF2146">
          <w:pPr>
            <w:pStyle w:val="Heading3"/>
          </w:pPr>
          <w:r w:rsidRPr="00A41EE7">
            <w:t>Exemptions and dispensations</w:t>
          </w:r>
        </w:p>
        <w:bookmarkEnd w:id="33" w:displacedByCustomXml="next"/>
        <w:bookmarkEnd w:id="34" w:displacedByCustomXml="next"/>
      </w:sdtContent>
    </w:sdt>
    <w:bookmarkEnd w:id="35" w:displacedByCustomXml="prev"/>
    <w:p w:rsidR="00CC1A8D" w:rsidRDefault="00CC1A8D" w:rsidP="00193173">
      <w:pPr>
        <w:pStyle w:val="BlockText"/>
        <w:ind w:left="0"/>
      </w:pPr>
      <w:bookmarkStart w:id="36" w:name="_Toc300139192"/>
      <w:bookmarkStart w:id="37" w:name="_Toc300666453"/>
      <w:r>
        <w:t>N</w:t>
      </w:r>
      <w:r w:rsidR="00EB2A93">
        <w:t>ot applicable.</w:t>
      </w:r>
    </w:p>
    <w:bookmarkEnd w:id="37" w:displacedByCustomXml="next"/>
    <w:bookmarkEnd w:id="36" w:displacedByCustomXml="next"/>
    <w:bookmarkStart w:id="38" w:name="_Toc321125846" w:displacedByCustomXml="next"/>
    <w:bookmarkStart w:id="39" w:name="_Toc321122945" w:displacedByCustomXml="next"/>
    <w:bookmarkStart w:id="40" w:name="_Toc371486967" w:displacedByCustomXml="next"/>
    <w:sdt>
      <w:sdtPr>
        <w:id w:val="-1771689082"/>
        <w:lock w:val="sdtContentLocked"/>
        <w:placeholder>
          <w:docPart w:val="A5E80BCE747D46D281BB8FDE7ADE9EC5"/>
        </w:placeholder>
      </w:sdtPr>
      <w:sdtEndPr/>
      <w:sdtContent>
        <w:p w:rsidR="00CD3903" w:rsidRPr="00A41EE7" w:rsidRDefault="00CD3903" w:rsidP="00AF2146">
          <w:pPr>
            <w:pStyle w:val="Heading3"/>
          </w:pPr>
          <w:r w:rsidRPr="00A41EE7">
            <w:t>Delegations</w:t>
          </w:r>
        </w:p>
        <w:bookmarkEnd w:id="38" w:displacedByCustomXml="next"/>
        <w:bookmarkEnd w:id="39" w:displacedByCustomXml="next"/>
      </w:sdtContent>
    </w:sdt>
    <w:bookmarkEnd w:id="40" w:displacedByCustomXml="prev"/>
    <w:p w:rsidR="00BE36F4" w:rsidRPr="00454203" w:rsidRDefault="00BE36F4" w:rsidP="00BE36F4">
      <w:pPr>
        <w:pStyle w:val="BlockText"/>
        <w:rPr>
          <w:rFonts w:cs="Arial"/>
        </w:rPr>
      </w:pPr>
      <w:bookmarkStart w:id="41" w:name="_Toc321122946"/>
      <w:bookmarkStart w:id="42" w:name="_Toc321125847"/>
      <w:r w:rsidRPr="00454203">
        <w:rPr>
          <w:rFonts w:cs="Arial"/>
        </w:rPr>
        <w:t>As per:</w:t>
      </w:r>
    </w:p>
    <w:p w:rsidR="00BE36F4" w:rsidRPr="00454203" w:rsidRDefault="00BE36F4" w:rsidP="00BE36F4">
      <w:pPr>
        <w:pStyle w:val="Bullet1"/>
        <w:rPr>
          <w:rFonts w:cs="Arial"/>
        </w:rPr>
      </w:pPr>
      <w:r w:rsidRPr="00454203">
        <w:rPr>
          <w:rFonts w:cs="Arial"/>
        </w:rPr>
        <w:t xml:space="preserve">Council’s Register of Permanent Delegations and Authorisations; </w:t>
      </w:r>
    </w:p>
    <w:p w:rsidR="00BE36F4" w:rsidRPr="00454203" w:rsidRDefault="00BE36F4" w:rsidP="00BE36F4">
      <w:pPr>
        <w:pStyle w:val="Bullet1"/>
        <w:rPr>
          <w:rFonts w:cs="Arial"/>
        </w:rPr>
      </w:pPr>
      <w:r w:rsidRPr="00454203">
        <w:rPr>
          <w:rFonts w:cs="Arial"/>
        </w:rPr>
        <w:t>Chief Executive’s Register of Sub Delegation of Council’s Functions and Powers; and</w:t>
      </w:r>
    </w:p>
    <w:p w:rsidR="00BE36F4" w:rsidRPr="00454203" w:rsidRDefault="00BE36F4" w:rsidP="00BE36F4">
      <w:pPr>
        <w:pStyle w:val="Bullet1"/>
        <w:rPr>
          <w:rFonts w:cs="Arial"/>
        </w:rPr>
      </w:pPr>
      <w:r w:rsidRPr="00454203">
        <w:rPr>
          <w:rFonts w:cs="Arial"/>
        </w:rPr>
        <w:t>Chief Executive’s Register of Permanent and Temporary Delegations and Sub Delegations.</w:t>
      </w:r>
    </w:p>
    <w:bookmarkStart w:id="43" w:name="_Toc371486968" w:displacedByCustomXml="next"/>
    <w:sdt>
      <w:sdtPr>
        <w:id w:val="-1302223613"/>
        <w:lock w:val="sdtContentLocked"/>
        <w:placeholder>
          <w:docPart w:val="A5E80BCE747D46D281BB8FDE7ADE9EC5"/>
        </w:placeholder>
      </w:sdtPr>
      <w:sdtEndPr/>
      <w:sdtContent>
        <w:p w:rsidR="00CD3903" w:rsidRPr="00A41EE7" w:rsidRDefault="00CD3903" w:rsidP="003957D5">
          <w:pPr>
            <w:pStyle w:val="Heading3"/>
          </w:pPr>
          <w:r w:rsidRPr="00A41EE7">
            <w:t>Relevant Legislation</w:t>
          </w:r>
        </w:p>
        <w:bookmarkEnd w:id="42" w:displacedByCustomXml="next"/>
        <w:bookmarkEnd w:id="41" w:displacedByCustomXml="next"/>
      </w:sdtContent>
    </w:sdt>
    <w:bookmarkEnd w:id="43" w:displacedByCustomXml="prev"/>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bookmarkStart w:id="44" w:name="_Toc321122947"/>
      <w:bookmarkStart w:id="45" w:name="_Toc321125848"/>
      <w:r w:rsidRPr="00454203">
        <w:rPr>
          <w:rFonts w:ascii="Arial" w:hAnsi="Arial" w:cs="Arial"/>
          <w:color w:val="000000" w:themeColor="text1"/>
          <w:sz w:val="20"/>
          <w:szCs w:val="20"/>
        </w:rPr>
        <w:t>Public Records Act 2005</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Privacy Act 1993</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Electronic Transactions Act 2002</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Education Act 1989</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Health Act 1956</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Health (Retention of Health Information) Regulations 1996</w:t>
      </w:r>
    </w:p>
    <w:p w:rsidR="00CD00B3" w:rsidRPr="00454203" w:rsidRDefault="00CD00B3" w:rsidP="00CC1A8D">
      <w:pPr>
        <w:pStyle w:val="ListParagraph"/>
        <w:numPr>
          <w:ilvl w:val="0"/>
          <w:numId w:val="36"/>
        </w:numPr>
        <w:ind w:left="1701" w:hanging="425"/>
        <w:rPr>
          <w:rFonts w:ascii="Arial" w:hAnsi="Arial" w:cs="Arial"/>
          <w:b/>
          <w:color w:val="000000" w:themeColor="text1"/>
          <w:sz w:val="20"/>
          <w:szCs w:val="20"/>
        </w:rPr>
      </w:pPr>
      <w:r w:rsidRPr="00454203">
        <w:rPr>
          <w:rFonts w:ascii="Arial" w:hAnsi="Arial" w:cs="Arial"/>
          <w:color w:val="000000" w:themeColor="text1"/>
          <w:sz w:val="20"/>
          <w:szCs w:val="20"/>
        </w:rPr>
        <w:t>Official Information Act 1982</w:t>
      </w:r>
    </w:p>
    <w:bookmarkStart w:id="46" w:name="_Toc371486969" w:displacedByCustomXml="next"/>
    <w:sdt>
      <w:sdtPr>
        <w:id w:val="1456058302"/>
        <w:lock w:val="sdtContentLocked"/>
        <w:placeholder>
          <w:docPart w:val="A5E80BCE747D46D281BB8FDE7ADE9EC5"/>
        </w:placeholder>
      </w:sdtPr>
      <w:sdtEndPr/>
      <w:sdtContent>
        <w:p w:rsidR="00CD3903" w:rsidRPr="00A41EE7" w:rsidRDefault="00CD3903" w:rsidP="00AF2146">
          <w:pPr>
            <w:pStyle w:val="Heading3"/>
          </w:pPr>
          <w:r w:rsidRPr="00A41EE7">
            <w:t>Legal Compliance</w:t>
          </w:r>
        </w:p>
        <w:bookmarkEnd w:id="45" w:displacedByCustomXml="next"/>
        <w:bookmarkEnd w:id="44" w:displacedByCustomXml="next"/>
      </w:sdtContent>
    </w:sdt>
    <w:bookmarkEnd w:id="46" w:displacedByCustomXml="prev"/>
    <w:p w:rsidR="00CD00B3" w:rsidRPr="00454203" w:rsidRDefault="00CD00B3" w:rsidP="00FA5EC5">
      <w:pPr>
        <w:pStyle w:val="BodyText"/>
        <w:spacing w:after="0"/>
        <w:jc w:val="both"/>
        <w:rPr>
          <w:rFonts w:ascii="Arial" w:hAnsi="Arial" w:cs="Arial"/>
          <w:color w:val="000000" w:themeColor="text1"/>
          <w:sz w:val="20"/>
          <w:szCs w:val="20"/>
          <w:lang w:val="en-US"/>
        </w:rPr>
      </w:pPr>
      <w:bookmarkStart w:id="47" w:name="_Toc321122948"/>
      <w:bookmarkStart w:id="48" w:name="_Toc321125849"/>
      <w:r w:rsidRPr="00454203">
        <w:rPr>
          <w:rFonts w:ascii="Arial" w:hAnsi="Arial" w:cs="Arial"/>
          <w:color w:val="000000" w:themeColor="text1"/>
          <w:sz w:val="20"/>
          <w:szCs w:val="20"/>
          <w:lang w:val="en-US"/>
        </w:rPr>
        <w:lastRenderedPageBreak/>
        <w:t xml:space="preserve">This policy complies with </w:t>
      </w:r>
      <w:r w:rsidR="00A02E25">
        <w:rPr>
          <w:rFonts w:ascii="Arial" w:hAnsi="Arial" w:cs="Arial"/>
          <w:color w:val="000000" w:themeColor="text1"/>
          <w:sz w:val="20"/>
          <w:szCs w:val="20"/>
          <w:lang w:val="en-US"/>
        </w:rPr>
        <w:t>MIT’s</w:t>
      </w:r>
      <w:r w:rsidR="00A02E25" w:rsidRPr="00454203">
        <w:rPr>
          <w:rFonts w:ascii="Arial" w:hAnsi="Arial" w:cs="Arial"/>
          <w:color w:val="000000" w:themeColor="text1"/>
          <w:sz w:val="20"/>
          <w:szCs w:val="20"/>
          <w:lang w:val="en-US"/>
        </w:rPr>
        <w:t xml:space="preserve"> </w:t>
      </w:r>
      <w:r w:rsidRPr="00454203">
        <w:rPr>
          <w:rFonts w:ascii="Arial" w:hAnsi="Arial" w:cs="Arial"/>
          <w:color w:val="000000" w:themeColor="text1"/>
          <w:sz w:val="20"/>
          <w:szCs w:val="20"/>
          <w:lang w:val="en-US"/>
        </w:rPr>
        <w:t>statutes, regulations and relevant legislation.</w:t>
      </w:r>
    </w:p>
    <w:bookmarkStart w:id="49" w:name="_Toc371486970" w:displacedByCustomXml="next"/>
    <w:sdt>
      <w:sdtPr>
        <w:id w:val="1935245981"/>
        <w:lock w:val="sdtContentLocked"/>
        <w:placeholder>
          <w:docPart w:val="A5E80BCE747D46D281BB8FDE7ADE9EC5"/>
        </w:placeholder>
      </w:sdtPr>
      <w:sdtEndPr/>
      <w:sdtContent>
        <w:p w:rsidR="00CD3903" w:rsidRPr="00A41EE7" w:rsidRDefault="00CD3903" w:rsidP="00AF2146">
          <w:pPr>
            <w:pStyle w:val="Heading3"/>
          </w:pPr>
          <w:r w:rsidRPr="00A41EE7">
            <w:t>Associated documents</w:t>
          </w:r>
        </w:p>
        <w:bookmarkEnd w:id="48" w:displacedByCustomXml="next"/>
        <w:bookmarkEnd w:id="47" w:displacedByCustomXml="next"/>
      </w:sdtContent>
    </w:sdt>
    <w:bookmarkEnd w:id="49" w:displacedByCustomXml="prev"/>
    <w:p w:rsidR="00ED5DE5" w:rsidRPr="00ED5DE5" w:rsidRDefault="00474B73" w:rsidP="00ED5DE5">
      <w:pPr>
        <w:pStyle w:val="NormalWeb"/>
        <w:numPr>
          <w:ilvl w:val="0"/>
          <w:numId w:val="37"/>
        </w:numPr>
        <w:ind w:left="1701" w:hanging="425"/>
        <w:rPr>
          <w:rFonts w:ascii="Arial" w:hAnsi="Arial" w:cs="Arial"/>
          <w:color w:val="000000"/>
          <w:sz w:val="20"/>
          <w:szCs w:val="20"/>
        </w:rPr>
      </w:pPr>
      <w:hyperlink r:id="rId9" w:history="1">
        <w:r w:rsidR="005274F8">
          <w:rPr>
            <w:rStyle w:val="Hyperlink"/>
            <w:rFonts w:ascii="Arial" w:hAnsi="Arial" w:cs="Arial"/>
            <w:sz w:val="20"/>
            <w:szCs w:val="20"/>
          </w:rPr>
          <w:t>Records</w:t>
        </w:r>
      </w:hyperlink>
      <w:r w:rsidR="005274F8">
        <w:rPr>
          <w:rStyle w:val="Hyperlink"/>
          <w:rFonts w:ascii="Arial" w:hAnsi="Arial" w:cs="Arial"/>
          <w:sz w:val="20"/>
          <w:szCs w:val="20"/>
        </w:rPr>
        <w:t xml:space="preserve"> Management Standard for the New Zealand Public Sector</w:t>
      </w:r>
      <w:r w:rsidR="00ED5DE5" w:rsidRPr="00ED5DE5">
        <w:rPr>
          <w:rFonts w:ascii="Arial" w:hAnsi="Arial" w:cs="Arial"/>
          <w:color w:val="000000"/>
          <w:sz w:val="20"/>
          <w:szCs w:val="20"/>
        </w:rPr>
        <w:t xml:space="preserve"> [Mandatory for Public Offices and Local Authorities]</w:t>
      </w:r>
      <w:r w:rsidR="00ED5DE5" w:rsidRPr="00ED5DE5">
        <w:rPr>
          <w:rFonts w:ascii="Arial" w:hAnsi="Arial" w:cs="Arial"/>
          <w:color w:val="000000"/>
          <w:sz w:val="20"/>
          <w:szCs w:val="20"/>
        </w:rPr>
        <w:br/>
        <w:t xml:space="preserve">This standard sets minimum requirements for </w:t>
      </w:r>
      <w:r w:rsidR="005274F8">
        <w:rPr>
          <w:rFonts w:ascii="Arial" w:hAnsi="Arial" w:cs="Arial"/>
          <w:color w:val="000000"/>
          <w:sz w:val="20"/>
          <w:szCs w:val="20"/>
        </w:rPr>
        <w:t>the management of records by public offices</w:t>
      </w:r>
      <w:r w:rsidR="00086BDC">
        <w:rPr>
          <w:rFonts w:ascii="Arial" w:hAnsi="Arial" w:cs="Arial"/>
          <w:color w:val="000000"/>
          <w:sz w:val="20"/>
          <w:szCs w:val="20"/>
        </w:rPr>
        <w:t xml:space="preserve"> </w:t>
      </w:r>
      <w:r w:rsidR="005274F8">
        <w:rPr>
          <w:rFonts w:ascii="Arial" w:hAnsi="Arial" w:cs="Arial"/>
          <w:color w:val="000000"/>
          <w:sz w:val="20"/>
          <w:szCs w:val="20"/>
        </w:rPr>
        <w:t>(excluding schools) and local authorities</w:t>
      </w:r>
      <w:r w:rsidR="00ED5DE5" w:rsidRPr="00ED5DE5">
        <w:rPr>
          <w:rFonts w:ascii="Arial" w:hAnsi="Arial" w:cs="Arial"/>
          <w:color w:val="000000"/>
          <w:sz w:val="20"/>
          <w:szCs w:val="20"/>
        </w:rPr>
        <w:t>.</w:t>
      </w:r>
    </w:p>
    <w:p w:rsidR="00ED5DE5" w:rsidRPr="00ED5DE5" w:rsidRDefault="00474B73" w:rsidP="00ED5DE5">
      <w:pPr>
        <w:pStyle w:val="NormalWeb"/>
        <w:numPr>
          <w:ilvl w:val="0"/>
          <w:numId w:val="37"/>
        </w:numPr>
        <w:ind w:left="1701" w:hanging="425"/>
        <w:rPr>
          <w:rFonts w:ascii="Arial" w:hAnsi="Arial" w:cs="Arial"/>
          <w:color w:val="000000"/>
          <w:sz w:val="20"/>
          <w:szCs w:val="20"/>
        </w:rPr>
      </w:pPr>
      <w:hyperlink r:id="rId10" w:history="1">
        <w:r w:rsidR="00ED5DE5" w:rsidRPr="00ED5DE5">
          <w:rPr>
            <w:rStyle w:val="Hyperlink"/>
            <w:rFonts w:ascii="Arial" w:hAnsi="Arial" w:cs="Arial"/>
            <w:sz w:val="20"/>
            <w:szCs w:val="20"/>
          </w:rPr>
          <w:t>S4: Access Standard</w:t>
        </w:r>
      </w:hyperlink>
      <w:r w:rsidR="00ED5DE5" w:rsidRPr="00ED5DE5">
        <w:rPr>
          <w:rFonts w:ascii="Arial" w:hAnsi="Arial" w:cs="Arial"/>
          <w:color w:val="000000"/>
          <w:sz w:val="20"/>
          <w:szCs w:val="20"/>
        </w:rPr>
        <w:br/>
        <w:t>This standard sets out legislative requirements and guidance on best practices for the provision of access to public archives and local authority archives.</w:t>
      </w:r>
    </w:p>
    <w:p w:rsidR="00ED5DE5" w:rsidRPr="00ED5DE5" w:rsidRDefault="00474B73" w:rsidP="00ED5DE5">
      <w:pPr>
        <w:pStyle w:val="NormalWeb"/>
        <w:numPr>
          <w:ilvl w:val="0"/>
          <w:numId w:val="37"/>
        </w:numPr>
        <w:ind w:left="1701" w:hanging="425"/>
        <w:rPr>
          <w:rFonts w:ascii="Arial" w:hAnsi="Arial" w:cs="Arial"/>
          <w:color w:val="000000"/>
          <w:sz w:val="20"/>
          <w:szCs w:val="20"/>
        </w:rPr>
      </w:pPr>
      <w:hyperlink r:id="rId11" w:history="1">
        <w:r w:rsidR="00ED5DE5" w:rsidRPr="00ED5DE5">
          <w:rPr>
            <w:rStyle w:val="Hyperlink"/>
            <w:rFonts w:ascii="Arial" w:hAnsi="Arial" w:cs="Arial"/>
            <w:sz w:val="20"/>
            <w:szCs w:val="20"/>
          </w:rPr>
          <w:t>S5: Digital Recordkeeping Standard</w:t>
        </w:r>
      </w:hyperlink>
      <w:r w:rsidR="00ED5DE5" w:rsidRPr="00ED5DE5">
        <w:rPr>
          <w:rFonts w:ascii="Arial" w:hAnsi="Arial" w:cs="Arial"/>
          <w:color w:val="000000"/>
          <w:sz w:val="20"/>
          <w:szCs w:val="20"/>
        </w:rPr>
        <w:br/>
        <w:t>The Digital Recordkeeping Standard (DRS) establishes principles and good practice requirements for creating and managing records in digital systems, in accordance with the Public Records Act.</w:t>
      </w:r>
    </w:p>
    <w:p w:rsidR="00ED5DE5" w:rsidRPr="005274F8" w:rsidRDefault="00ED5DE5" w:rsidP="00ED5DE5">
      <w:pPr>
        <w:pStyle w:val="NormalWeb"/>
        <w:numPr>
          <w:ilvl w:val="0"/>
          <w:numId w:val="37"/>
        </w:numPr>
        <w:ind w:left="1701" w:hanging="425"/>
        <w:rPr>
          <w:rStyle w:val="Hyperlink"/>
          <w:rFonts w:ascii="Arial" w:hAnsi="Arial" w:cs="Arial"/>
          <w:color w:val="000000"/>
          <w:sz w:val="20"/>
          <w:szCs w:val="20"/>
          <w:u w:val="none"/>
        </w:rPr>
      </w:pPr>
      <w:r w:rsidRPr="00ED5DE5">
        <w:rPr>
          <w:rFonts w:ascii="Arial" w:hAnsi="Arial" w:cs="Arial"/>
          <w:color w:val="000000"/>
          <w:sz w:val="20"/>
          <w:szCs w:val="20"/>
        </w:rPr>
        <w:t xml:space="preserve">S6 Digitisation Standard [REVOKED - 2013] Replaced by </w:t>
      </w:r>
      <w:hyperlink r:id="rId12" w:history="1">
        <w:r w:rsidRPr="00ED5DE5">
          <w:rPr>
            <w:rStyle w:val="Hyperlink"/>
            <w:rFonts w:ascii="Arial" w:hAnsi="Arial" w:cs="Arial"/>
            <w:sz w:val="20"/>
            <w:szCs w:val="20"/>
          </w:rPr>
          <w:t xml:space="preserve">AS/NZS ISO 13028: 2012, </w:t>
        </w:r>
      </w:hyperlink>
      <w:hyperlink r:id="rId13" w:history="1">
        <w:r w:rsidRPr="00ED5DE5">
          <w:rPr>
            <w:rStyle w:val="Hyperlink"/>
            <w:rFonts w:ascii="Arial" w:hAnsi="Arial" w:cs="Arial"/>
            <w:i/>
            <w:iCs/>
            <w:sz w:val="20"/>
            <w:szCs w:val="20"/>
          </w:rPr>
          <w:t>Information and documentation - Implementation guidelines for digitization of records</w:t>
        </w:r>
      </w:hyperlink>
    </w:p>
    <w:p w:rsidR="005274F8" w:rsidRDefault="005274F8" w:rsidP="00ED5DE5">
      <w:pPr>
        <w:pStyle w:val="NormalWeb"/>
        <w:numPr>
          <w:ilvl w:val="0"/>
          <w:numId w:val="37"/>
        </w:numPr>
        <w:ind w:left="1701" w:hanging="425"/>
        <w:rPr>
          <w:rStyle w:val="Emphasis"/>
          <w:rFonts w:ascii="Arial" w:hAnsi="Arial" w:cs="Arial"/>
          <w:i w:val="0"/>
          <w:iCs w:val="0"/>
          <w:color w:val="000000"/>
          <w:sz w:val="20"/>
          <w:szCs w:val="20"/>
        </w:rPr>
      </w:pPr>
      <w:r>
        <w:rPr>
          <w:rStyle w:val="Emphasis"/>
          <w:rFonts w:ascii="Arial" w:hAnsi="Arial" w:cs="Arial"/>
          <w:i w:val="0"/>
          <w:iCs w:val="0"/>
          <w:color w:val="000000"/>
          <w:sz w:val="20"/>
          <w:szCs w:val="20"/>
        </w:rPr>
        <w:t>GDA 6</w:t>
      </w:r>
      <w:r w:rsidR="00085EFE">
        <w:rPr>
          <w:rStyle w:val="Emphasis"/>
          <w:rFonts w:ascii="Arial" w:hAnsi="Arial" w:cs="Arial"/>
          <w:i w:val="0"/>
          <w:iCs w:val="0"/>
          <w:color w:val="000000"/>
          <w:sz w:val="20"/>
          <w:szCs w:val="20"/>
        </w:rPr>
        <w:t>:  Common Corporate Services Public Records</w:t>
      </w:r>
    </w:p>
    <w:p w:rsidR="005274F8" w:rsidRDefault="005274F8" w:rsidP="00ED5DE5">
      <w:pPr>
        <w:pStyle w:val="NormalWeb"/>
        <w:numPr>
          <w:ilvl w:val="0"/>
          <w:numId w:val="37"/>
        </w:numPr>
        <w:ind w:left="1701" w:hanging="425"/>
        <w:rPr>
          <w:rStyle w:val="Emphasis"/>
          <w:rFonts w:ascii="Arial" w:hAnsi="Arial" w:cs="Arial"/>
          <w:i w:val="0"/>
          <w:iCs w:val="0"/>
          <w:color w:val="000000"/>
          <w:sz w:val="20"/>
          <w:szCs w:val="20"/>
        </w:rPr>
      </w:pPr>
      <w:r>
        <w:rPr>
          <w:rStyle w:val="Emphasis"/>
          <w:rFonts w:ascii="Arial" w:hAnsi="Arial" w:cs="Arial"/>
          <w:i w:val="0"/>
          <w:iCs w:val="0"/>
          <w:color w:val="000000"/>
          <w:sz w:val="20"/>
          <w:szCs w:val="20"/>
        </w:rPr>
        <w:t>GDA 7</w:t>
      </w:r>
      <w:r w:rsidR="00085EFE">
        <w:rPr>
          <w:rStyle w:val="Emphasis"/>
          <w:rFonts w:ascii="Arial" w:hAnsi="Arial" w:cs="Arial"/>
          <w:i w:val="0"/>
          <w:iCs w:val="0"/>
          <w:color w:val="000000"/>
          <w:sz w:val="20"/>
          <w:szCs w:val="20"/>
        </w:rPr>
        <w:t>:  Facilitative, Transitory and Short-Term Value Records</w:t>
      </w:r>
    </w:p>
    <w:p w:rsidR="0043473E" w:rsidRPr="0043473E" w:rsidRDefault="0043473E" w:rsidP="0043473E">
      <w:pPr>
        <w:pStyle w:val="ListParagraph"/>
        <w:numPr>
          <w:ilvl w:val="0"/>
          <w:numId w:val="37"/>
        </w:numPr>
        <w:ind w:left="1701" w:hanging="425"/>
        <w:rPr>
          <w:rStyle w:val="Emphasis"/>
          <w:rFonts w:ascii="Arial" w:hAnsi="Arial" w:cs="Arial"/>
          <w:i w:val="0"/>
          <w:iCs w:val="0"/>
          <w:color w:val="000000" w:themeColor="text1"/>
          <w:sz w:val="20"/>
          <w:szCs w:val="20"/>
        </w:rPr>
      </w:pPr>
      <w:r w:rsidRPr="0043473E">
        <w:rPr>
          <w:rFonts w:ascii="Arial" w:hAnsi="Arial" w:cs="Arial"/>
          <w:color w:val="000000" w:themeColor="text1"/>
          <w:sz w:val="20"/>
          <w:szCs w:val="20"/>
        </w:rPr>
        <w:t xml:space="preserve">DA424 </w:t>
      </w:r>
      <w:r w:rsidRPr="0043473E">
        <w:rPr>
          <w:rFonts w:ascii="Arial" w:hAnsi="Arial" w:cs="Arial"/>
          <w:sz w:val="20"/>
          <w:szCs w:val="20"/>
        </w:rPr>
        <w:t xml:space="preserve">Institutes of Technology and Polytechnics General Disposal Authority (including </w:t>
      </w:r>
      <w:r w:rsidRPr="0043473E">
        <w:rPr>
          <w:rFonts w:ascii="Arial" w:hAnsi="Arial" w:cs="Arial"/>
          <w:color w:val="000000" w:themeColor="text1"/>
          <w:sz w:val="20"/>
          <w:szCs w:val="20"/>
        </w:rPr>
        <w:t>Appraisal Report and Retention and Disposal Schedule)</w:t>
      </w:r>
    </w:p>
    <w:p w:rsidR="00CD3903" w:rsidRPr="00454203" w:rsidRDefault="00CD3903" w:rsidP="00965328">
      <w:pPr>
        <w:rPr>
          <w:rFonts w:ascii="Arial" w:hAnsi="Arial" w:cs="Arial"/>
          <w:sz w:val="20"/>
          <w:szCs w:val="20"/>
          <w:highlight w:val="yellow"/>
        </w:rPr>
      </w:pPr>
    </w:p>
    <w:p w:rsidR="00CD00B3" w:rsidRPr="00454203" w:rsidRDefault="00CD00B3" w:rsidP="00965328">
      <w:pPr>
        <w:rPr>
          <w:rFonts w:ascii="Arial" w:eastAsiaTheme="minorHAnsi" w:hAnsi="Arial" w:cs="Arial"/>
          <w:color w:val="000000" w:themeColor="text1"/>
          <w:sz w:val="20"/>
          <w:szCs w:val="20"/>
          <w:highlight w:val="yellow"/>
          <w:lang w:eastAsia="en-US"/>
        </w:rPr>
      </w:pPr>
    </w:p>
    <w:p w:rsidR="00CD00B3" w:rsidRPr="00454203" w:rsidRDefault="00CD00B3" w:rsidP="00965328">
      <w:pPr>
        <w:rPr>
          <w:rFonts w:ascii="Arial" w:hAnsi="Arial" w:cs="Arial"/>
          <w:color w:val="000000" w:themeColor="text1"/>
          <w:sz w:val="20"/>
          <w:szCs w:val="20"/>
          <w:highlight w:val="yellow"/>
        </w:rPr>
      </w:pPr>
    </w:p>
    <w:p w:rsidR="00CD00B3" w:rsidRPr="00454203" w:rsidRDefault="00CD00B3" w:rsidP="00965328">
      <w:pPr>
        <w:rPr>
          <w:rFonts w:ascii="Arial" w:hAnsi="Arial" w:cs="Arial"/>
          <w:color w:val="000000" w:themeColor="text1"/>
          <w:sz w:val="20"/>
          <w:szCs w:val="20"/>
          <w:highlight w:val="yellow"/>
        </w:rPr>
      </w:pPr>
    </w:p>
    <w:p w:rsidR="00CD00B3" w:rsidRPr="00CE681D" w:rsidRDefault="00CD00B3" w:rsidP="00965328">
      <w:pPr>
        <w:rPr>
          <w:rFonts w:asciiTheme="minorHAnsi" w:hAnsiTheme="minorHAnsi"/>
          <w:color w:val="000000" w:themeColor="text1"/>
          <w:sz w:val="22"/>
          <w:szCs w:val="22"/>
        </w:rPr>
      </w:pPr>
    </w:p>
    <w:p w:rsidR="00CD00B3" w:rsidRPr="00CE681D" w:rsidRDefault="00CD00B3" w:rsidP="00965328">
      <w:pPr>
        <w:rPr>
          <w:rFonts w:asciiTheme="minorHAnsi" w:hAnsiTheme="minorHAnsi"/>
          <w:color w:val="000000" w:themeColor="text1"/>
          <w:sz w:val="22"/>
          <w:szCs w:val="22"/>
        </w:rPr>
      </w:pPr>
    </w:p>
    <w:p w:rsidR="00CD00B3" w:rsidRPr="00112513" w:rsidRDefault="00CD00B3">
      <w:pPr>
        <w:pStyle w:val="Bullet1"/>
        <w:numPr>
          <w:ilvl w:val="0"/>
          <w:numId w:val="0"/>
        </w:numPr>
        <w:ind w:left="1531"/>
      </w:pPr>
    </w:p>
    <w:sectPr w:rsidR="00CD00B3" w:rsidRPr="00112513" w:rsidSect="00CD3903">
      <w:headerReference w:type="default" r:id="rId14"/>
      <w:footerReference w:type="even" r:id="rId15"/>
      <w:footerReference w:type="default" r:id="rId16"/>
      <w:pgSz w:w="11907" w:h="16840" w:code="9"/>
      <w:pgMar w:top="2410"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B73" w:rsidRDefault="00474B73" w:rsidP="00CD3903">
      <w:pPr>
        <w:pStyle w:val="DocumentTitle"/>
      </w:pPr>
      <w:r>
        <w:separator/>
      </w:r>
    </w:p>
  </w:endnote>
  <w:endnote w:type="continuationSeparator" w:id="0">
    <w:p w:rsidR="00474B73" w:rsidRDefault="00474B73" w:rsidP="00CD3903">
      <w:pPr>
        <w:pStyle w:val="Document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Italic">
    <w:panose1 w:val="020B060402020209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3E" w:rsidRDefault="0043473E" w:rsidP="00CD39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473E" w:rsidRDefault="0043473E" w:rsidP="00CD39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3E" w:rsidRDefault="0043473E" w:rsidP="00CD3903">
    <w:pPr>
      <w:pStyle w:val="Footer"/>
      <w:ind w:right="360"/>
    </w:pPr>
    <w:r>
      <w:rPr>
        <w:noProof/>
        <w:lang w:val="en-NZ" w:eastAsia="en-NZ"/>
      </w:rPr>
      <mc:AlternateContent>
        <mc:Choice Requires="wps">
          <w:drawing>
            <wp:anchor distT="0" distB="0" distL="114300" distR="114300" simplePos="0" relativeHeight="251655168" behindDoc="0" locked="0" layoutInCell="1" allowOverlap="1">
              <wp:simplePos x="0" y="0"/>
              <wp:positionH relativeFrom="column">
                <wp:posOffset>-790575</wp:posOffset>
              </wp:positionH>
              <wp:positionV relativeFrom="paragraph">
                <wp:posOffset>90805</wp:posOffset>
              </wp:positionV>
              <wp:extent cx="7991475" cy="561975"/>
              <wp:effectExtent l="15240" t="15240" r="13335" b="4191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561975"/>
                      </a:xfrm>
                      <a:prstGeom prst="rect">
                        <a:avLst/>
                      </a:prstGeom>
                      <a:solidFill>
                        <a:srgbClr val="931823"/>
                      </a:solidFill>
                      <a:ln w="19050">
                        <a:solidFill>
                          <a:srgbClr val="4A7EBB"/>
                        </a:solidFill>
                        <a:miter lim="800000"/>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95172" id="Rectangle 9" o:spid="_x0000_s1026" style="position:absolute;margin-left:-62.25pt;margin-top:7.15pt;width:629.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" fillcolor="#931823" strokecolor="#4a7ebb" strokeweight="1.5pt">
              <v:shadow on="t" opacity="22938f" offset="0"/>
              <v:textbox inset=",7.2pt,,7.2pt"/>
            </v:rect>
          </w:pict>
        </mc:Fallback>
      </mc:AlternateContent>
    </w:r>
    <w:r>
      <w:rPr>
        <w:noProof/>
        <w:lang w:val="en-NZ" w:eastAsia="en-NZ"/>
      </w:rPr>
      <mc:AlternateContent>
        <mc:Choice Requires="wps">
          <w:drawing>
            <wp:anchor distT="0" distB="0" distL="114300" distR="114300" simplePos="0" relativeHeight="251658240" behindDoc="0" locked="0" layoutInCell="1" allowOverlap="1">
              <wp:simplePos x="0" y="0"/>
              <wp:positionH relativeFrom="column">
                <wp:posOffset>6286500</wp:posOffset>
              </wp:positionH>
              <wp:positionV relativeFrom="paragraph">
                <wp:posOffset>-33020</wp:posOffset>
              </wp:positionV>
              <wp:extent cx="457200" cy="457200"/>
              <wp:effectExtent l="0" t="0" r="3810" b="254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73E" w:rsidRPr="0002540A" w:rsidRDefault="0043473E"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851963">
                            <w:rPr>
                              <w:rStyle w:val="PageNumber"/>
                              <w:noProof/>
                            </w:rPr>
                            <w:t>1</w:t>
                          </w:r>
                          <w:r w:rsidRPr="0002540A">
                            <w:rPr>
                              <w:rStyle w:val="PageNumber"/>
                            </w:rPr>
                            <w:fldChar w:fldCharType="end"/>
                          </w:r>
                        </w:p>
                        <w:p w:rsidR="0043473E" w:rsidRPr="003A4553" w:rsidRDefault="0043473E" w:rsidP="00CD3903"/>
                      </w:txbxContent>
                    </wps:txbx>
                    <wps:bodyPr rot="0" vert="horz" wrap="square" lIns="91440" tIns="126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495pt;margin-top:-2.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" filled="f" stroked="f">
              <v:textbox inset=",3.5mm,,7.2pt">
                <w:txbxContent>
                  <w:p w:rsidR="0043473E" w:rsidRPr="0002540A" w:rsidRDefault="0043473E"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851963">
                      <w:rPr>
                        <w:rStyle w:val="PageNumber"/>
                        <w:noProof/>
                      </w:rPr>
                      <w:t>1</w:t>
                    </w:r>
                    <w:r w:rsidRPr="0002540A">
                      <w:rPr>
                        <w:rStyle w:val="PageNumber"/>
                      </w:rPr>
                      <w:fldChar w:fldCharType="end"/>
                    </w:r>
                  </w:p>
                  <w:p w:rsidR="0043473E" w:rsidRPr="003A4553" w:rsidRDefault="0043473E" w:rsidP="00CD3903"/>
                </w:txbxContent>
              </v:textbox>
              <w10:wrap type="tight"/>
            </v:shape>
          </w:pict>
        </mc:Fallback>
      </mc:AlternateContent>
    </w:r>
    <w:r>
      <w:rPr>
        <w:noProof/>
        <w:lang w:val="en-NZ" w:eastAsia="en-NZ"/>
      </w:rPr>
      <w:drawing>
        <wp:anchor distT="0" distB="0" distL="114300" distR="114300" simplePos="0" relativeHeight="251656192" behindDoc="0" locked="0" layoutInCell="1" allowOverlap="1">
          <wp:simplePos x="0" y="0"/>
          <wp:positionH relativeFrom="column">
            <wp:posOffset>-720090</wp:posOffset>
          </wp:positionH>
          <wp:positionV relativeFrom="paragraph">
            <wp:posOffset>16510</wp:posOffset>
          </wp:positionV>
          <wp:extent cx="7578090" cy="407670"/>
          <wp:effectExtent l="0" t="0" r="0" b="0"/>
          <wp:wrapSquare wrapText="bothSides"/>
          <wp:docPr id="4" name="Picture 4" descr="MIT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57216" behindDoc="0" locked="0" layoutInCell="1" allowOverlap="1">
              <wp:simplePos x="0" y="0"/>
              <wp:positionH relativeFrom="column">
                <wp:posOffset>-457200</wp:posOffset>
              </wp:positionH>
              <wp:positionV relativeFrom="paragraph">
                <wp:posOffset>81280</wp:posOffset>
              </wp:positionV>
              <wp:extent cx="1257300" cy="342900"/>
              <wp:effectExtent l="0" t="0" r="381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73E" w:rsidRPr="00CD3903" w:rsidRDefault="00527C15">
                          <w:pPr>
                            <w:rPr>
                              <w:rFonts w:ascii="Arial" w:hAnsi="Arial"/>
                              <w:i/>
                              <w:color w:val="262626"/>
                              <w:sz w:val="18"/>
                            </w:rPr>
                          </w:pPr>
                          <w:r>
                            <w:rPr>
                              <w:rFonts w:ascii="Arial" w:hAnsi="Arial"/>
                              <w:i/>
                              <w:color w:val="262626"/>
                              <w:sz w:val="18"/>
                            </w:rPr>
                            <w:t>August 2015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36pt;margin-top:6.4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N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oXYYCdpCiR7YYNCtHNDcZqfvdAJG9x2YmQGOraVlqrs7WXzVSMh1TcWO3Sgl+5rREqIL7Ut/8nTE&#10;0RZk23+QJbiheyMd0FCp1gJCMhCgQ5Uez5WxoRTWZTRbXAZwVcDdJYliWF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" filled="f" stroked="f">
              <v:textbox inset=",7.2pt,,7.2pt">
                <w:txbxContent>
                  <w:p w:rsidR="0043473E" w:rsidRPr="00CD3903" w:rsidRDefault="00527C15">
                    <w:pPr>
                      <w:rPr>
                        <w:rFonts w:ascii="Arial" w:hAnsi="Arial"/>
                        <w:i/>
                        <w:color w:val="262626"/>
                        <w:sz w:val="18"/>
                      </w:rPr>
                    </w:pPr>
                    <w:r>
                      <w:rPr>
                        <w:rFonts w:ascii="Arial" w:hAnsi="Arial"/>
                        <w:i/>
                        <w:color w:val="262626"/>
                        <w:sz w:val="18"/>
                      </w:rPr>
                      <w:t>August 2015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B73" w:rsidRDefault="00474B73" w:rsidP="00CD3903">
      <w:pPr>
        <w:pStyle w:val="DocumentTitle"/>
      </w:pPr>
      <w:r>
        <w:separator/>
      </w:r>
    </w:p>
  </w:footnote>
  <w:footnote w:type="continuationSeparator" w:id="0">
    <w:p w:rsidR="00474B73" w:rsidRDefault="00474B73" w:rsidP="00CD3903">
      <w:pPr>
        <w:pStyle w:val="Document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3E" w:rsidRDefault="0043473E">
    <w:pPr>
      <w:pStyle w:val="Header"/>
    </w:pPr>
    <w:r>
      <w:rPr>
        <w:noProof/>
        <w:lang w:val="en-NZ" w:eastAsia="en-NZ"/>
      </w:rPr>
      <w:drawing>
        <wp:anchor distT="0" distB="0" distL="114300" distR="114300" simplePos="0" relativeHeight="251659264" behindDoc="1" locked="0" layoutInCell="1" allowOverlap="1" wp14:anchorId="6EFF63F8" wp14:editId="56AB1DA0">
          <wp:simplePos x="0" y="0"/>
          <wp:positionH relativeFrom="column">
            <wp:posOffset>-796290</wp:posOffset>
          </wp:positionH>
          <wp:positionV relativeFrom="paragraph">
            <wp:posOffset>-297815</wp:posOffset>
          </wp:positionV>
          <wp:extent cx="7658100" cy="1028700"/>
          <wp:effectExtent l="0" t="0" r="0" b="0"/>
          <wp:wrapNone/>
          <wp:docPr id="10" name="Picture 10" descr="MI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60288" behindDoc="0" locked="0" layoutInCell="1" allowOverlap="1" wp14:anchorId="444D49C6" wp14:editId="6414048C">
              <wp:simplePos x="0" y="0"/>
              <wp:positionH relativeFrom="column">
                <wp:posOffset>3771900</wp:posOffset>
              </wp:positionH>
              <wp:positionV relativeFrom="paragraph">
                <wp:posOffset>-73025</wp:posOffset>
              </wp:positionV>
              <wp:extent cx="2971800" cy="457200"/>
              <wp:effectExtent l="0" t="0" r="3810" b="381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473E" w:rsidRPr="00CD3903" w:rsidRDefault="0043473E">
                          <w:pPr>
                            <w:rPr>
                              <w:rFonts w:ascii="Arial Italic" w:hAnsi="Arial Italic"/>
                              <w:color w:val="FFFFFF"/>
                              <w:sz w:val="17"/>
                            </w:rPr>
                          </w:pPr>
                          <w:r>
                            <w:rPr>
                              <w:rFonts w:ascii="Arial Italic" w:hAnsi="Arial Italic"/>
                              <w:color w:val="FFFFFF"/>
                              <w:sz w:val="17"/>
                            </w:rPr>
                            <w:t>Records Management Policy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4D49C6" id="_x0000_t202" coordsize="21600,21600" o:spt="202" path="m,l,21600r21600,l21600,xe">
              <v:stroke joinstyle="miter"/>
              <v:path gradientshapeok="t" o:connecttype="rect"/>
            </v:shapetype>
            <v:shape id="Text Box 11" o:spid="_x0000_s1027" type="#_x0000_t202" style="position:absolute;left:0;text-align:left;margin-left:297pt;margin-top:-5.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" filled="f" stroked="f">
              <v:textbox inset=",7.2pt,,7.2pt">
                <w:txbxContent>
                  <w:p w:rsidR="0043473E" w:rsidRPr="00CD3903" w:rsidRDefault="0043473E">
                    <w:pPr>
                      <w:rPr>
                        <w:rFonts w:ascii="Arial Italic" w:hAnsi="Arial Italic"/>
                        <w:color w:val="FFFFFF"/>
                        <w:sz w:val="17"/>
                      </w:rPr>
                    </w:pPr>
                    <w:r>
                      <w:rPr>
                        <w:rFonts w:ascii="Arial Italic" w:hAnsi="Arial Italic"/>
                        <w:color w:val="FFFFFF"/>
                        <w:sz w:val="17"/>
                      </w:rPr>
                      <w:t>Records Management Policy</w:t>
                    </w:r>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AC6"/>
    <w:multiLevelType w:val="multilevel"/>
    <w:tmpl w:val="BD4472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CE06C6"/>
    <w:multiLevelType w:val="multilevel"/>
    <w:tmpl w:val="BD4472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2C06AE"/>
    <w:multiLevelType w:val="hybridMultilevel"/>
    <w:tmpl w:val="F0D24CA4"/>
    <w:lvl w:ilvl="0" w:tplc="C1E4F120">
      <w:start w:val="1"/>
      <w:numFmt w:val="lowerLetter"/>
      <w:lvlText w:val="(%1)"/>
      <w:lvlJc w:val="left"/>
      <w:pPr>
        <w:ind w:left="1077" w:hanging="360"/>
      </w:pPr>
      <w:rPr>
        <w:rFonts w:hint="default"/>
      </w:r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3" w15:restartNumberingAfterBreak="0">
    <w:nsid w:val="03A50DC0"/>
    <w:multiLevelType w:val="hybridMultilevel"/>
    <w:tmpl w:val="4146941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4DD34EF"/>
    <w:multiLevelType w:val="hybridMultilevel"/>
    <w:tmpl w:val="A8880324"/>
    <w:lvl w:ilvl="0" w:tplc="1409001B">
      <w:start w:val="1"/>
      <w:numFmt w:val="lowerRoman"/>
      <w:lvlText w:val="%1."/>
      <w:lvlJc w:val="right"/>
      <w:pPr>
        <w:ind w:left="1077" w:hanging="360"/>
      </w:p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5" w15:restartNumberingAfterBreak="0">
    <w:nsid w:val="068A7F35"/>
    <w:multiLevelType w:val="hybridMultilevel"/>
    <w:tmpl w:val="7E589C3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A061EC"/>
    <w:multiLevelType w:val="hybridMultilevel"/>
    <w:tmpl w:val="EA26522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16493C"/>
    <w:multiLevelType w:val="hybridMultilevel"/>
    <w:tmpl w:val="999447B2"/>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1E05F5"/>
    <w:multiLevelType w:val="hybridMultilevel"/>
    <w:tmpl w:val="8470342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176DB4"/>
    <w:multiLevelType w:val="hybridMultilevel"/>
    <w:tmpl w:val="D410F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A78301E"/>
    <w:multiLevelType w:val="hybridMultilevel"/>
    <w:tmpl w:val="4A78366A"/>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AA26C27"/>
    <w:multiLevelType w:val="hybridMultilevel"/>
    <w:tmpl w:val="E50CB83C"/>
    <w:lvl w:ilvl="0" w:tplc="14090001">
      <w:start w:val="1"/>
      <w:numFmt w:val="bullet"/>
      <w:lvlText w:val=""/>
      <w:lvlJc w:val="left"/>
      <w:pPr>
        <w:ind w:left="1146" w:hanging="360"/>
      </w:pPr>
      <w:rPr>
        <w:rFonts w:ascii="Symbol" w:hAnsi="Symbol" w:hint="default"/>
      </w:rPr>
    </w:lvl>
    <w:lvl w:ilvl="1" w:tplc="14090003" w:tentative="1">
      <w:start w:val="1"/>
      <w:numFmt w:val="bullet"/>
      <w:lvlText w:val="o"/>
      <w:lvlJc w:val="left"/>
      <w:pPr>
        <w:ind w:left="1866" w:hanging="360"/>
      </w:pPr>
      <w:rPr>
        <w:rFonts w:ascii="Courier New" w:hAnsi="Courier New" w:cs="Courier New" w:hint="default"/>
      </w:rPr>
    </w:lvl>
    <w:lvl w:ilvl="2" w:tplc="14090005" w:tentative="1">
      <w:start w:val="1"/>
      <w:numFmt w:val="bullet"/>
      <w:lvlText w:val=""/>
      <w:lvlJc w:val="left"/>
      <w:pPr>
        <w:ind w:left="2586" w:hanging="360"/>
      </w:pPr>
      <w:rPr>
        <w:rFonts w:ascii="Wingdings" w:hAnsi="Wingdings" w:hint="default"/>
      </w:rPr>
    </w:lvl>
    <w:lvl w:ilvl="3" w:tplc="14090001" w:tentative="1">
      <w:start w:val="1"/>
      <w:numFmt w:val="bullet"/>
      <w:lvlText w:val=""/>
      <w:lvlJc w:val="left"/>
      <w:pPr>
        <w:ind w:left="3306" w:hanging="360"/>
      </w:pPr>
      <w:rPr>
        <w:rFonts w:ascii="Symbol" w:hAnsi="Symbol" w:hint="default"/>
      </w:rPr>
    </w:lvl>
    <w:lvl w:ilvl="4" w:tplc="14090003" w:tentative="1">
      <w:start w:val="1"/>
      <w:numFmt w:val="bullet"/>
      <w:lvlText w:val="o"/>
      <w:lvlJc w:val="left"/>
      <w:pPr>
        <w:ind w:left="4026" w:hanging="360"/>
      </w:pPr>
      <w:rPr>
        <w:rFonts w:ascii="Courier New" w:hAnsi="Courier New" w:cs="Courier New" w:hint="default"/>
      </w:rPr>
    </w:lvl>
    <w:lvl w:ilvl="5" w:tplc="14090005" w:tentative="1">
      <w:start w:val="1"/>
      <w:numFmt w:val="bullet"/>
      <w:lvlText w:val=""/>
      <w:lvlJc w:val="left"/>
      <w:pPr>
        <w:ind w:left="4746" w:hanging="360"/>
      </w:pPr>
      <w:rPr>
        <w:rFonts w:ascii="Wingdings" w:hAnsi="Wingdings" w:hint="default"/>
      </w:rPr>
    </w:lvl>
    <w:lvl w:ilvl="6" w:tplc="14090001" w:tentative="1">
      <w:start w:val="1"/>
      <w:numFmt w:val="bullet"/>
      <w:lvlText w:val=""/>
      <w:lvlJc w:val="left"/>
      <w:pPr>
        <w:ind w:left="5466" w:hanging="360"/>
      </w:pPr>
      <w:rPr>
        <w:rFonts w:ascii="Symbol" w:hAnsi="Symbol" w:hint="default"/>
      </w:rPr>
    </w:lvl>
    <w:lvl w:ilvl="7" w:tplc="14090003" w:tentative="1">
      <w:start w:val="1"/>
      <w:numFmt w:val="bullet"/>
      <w:lvlText w:val="o"/>
      <w:lvlJc w:val="left"/>
      <w:pPr>
        <w:ind w:left="6186" w:hanging="360"/>
      </w:pPr>
      <w:rPr>
        <w:rFonts w:ascii="Courier New" w:hAnsi="Courier New" w:cs="Courier New" w:hint="default"/>
      </w:rPr>
    </w:lvl>
    <w:lvl w:ilvl="8" w:tplc="14090005" w:tentative="1">
      <w:start w:val="1"/>
      <w:numFmt w:val="bullet"/>
      <w:lvlText w:val=""/>
      <w:lvlJc w:val="left"/>
      <w:pPr>
        <w:ind w:left="6906" w:hanging="360"/>
      </w:pPr>
      <w:rPr>
        <w:rFonts w:ascii="Wingdings" w:hAnsi="Wingdings" w:hint="default"/>
      </w:rPr>
    </w:lvl>
  </w:abstractNum>
  <w:abstractNum w:abstractNumId="12" w15:restartNumberingAfterBreak="0">
    <w:nsid w:val="1DC5335D"/>
    <w:multiLevelType w:val="hybridMultilevel"/>
    <w:tmpl w:val="126AC1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8E2F74"/>
    <w:multiLevelType w:val="hybridMultilevel"/>
    <w:tmpl w:val="AC222A0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277078"/>
    <w:multiLevelType w:val="multilevel"/>
    <w:tmpl w:val="BD447278"/>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F1045D"/>
    <w:multiLevelType w:val="hybridMultilevel"/>
    <w:tmpl w:val="486CBE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7760F0"/>
    <w:multiLevelType w:val="hybridMultilevel"/>
    <w:tmpl w:val="577824CA"/>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EE71670"/>
    <w:multiLevelType w:val="hybridMultilevel"/>
    <w:tmpl w:val="E034DE6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FE5288"/>
    <w:multiLevelType w:val="hybridMultilevel"/>
    <w:tmpl w:val="1F00A5D2"/>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F880948"/>
    <w:multiLevelType w:val="hybridMultilevel"/>
    <w:tmpl w:val="60702A64"/>
    <w:lvl w:ilvl="0" w:tplc="D3BA3DAC">
      <w:start w:val="1"/>
      <w:numFmt w:val="bullet"/>
      <w:pStyle w:val="TableB1"/>
      <w:lvlText w:val=""/>
      <w:lvlJc w:val="left"/>
      <w:pPr>
        <w:tabs>
          <w:tab w:val="num" w:pos="1851"/>
        </w:tabs>
        <w:ind w:left="1851" w:hanging="360"/>
      </w:pPr>
      <w:rPr>
        <w:rFonts w:ascii="Wingdings" w:hAnsi="Wingdings" w:hint="default"/>
        <w:sz w:val="24"/>
        <w:szCs w:val="24"/>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4B054AAD"/>
    <w:multiLevelType w:val="hybridMultilevel"/>
    <w:tmpl w:val="FB5821D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2D5824"/>
    <w:multiLevelType w:val="hybridMultilevel"/>
    <w:tmpl w:val="40A0B7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332CFE"/>
    <w:multiLevelType w:val="hybridMultilevel"/>
    <w:tmpl w:val="0A5A5D2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2915DCE"/>
    <w:multiLevelType w:val="hybridMultilevel"/>
    <w:tmpl w:val="D59EBB56"/>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3900729"/>
    <w:multiLevelType w:val="hybridMultilevel"/>
    <w:tmpl w:val="9746E54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8173310"/>
    <w:multiLevelType w:val="multilevel"/>
    <w:tmpl w:val="999447B2"/>
    <w:lvl w:ilvl="0">
      <w:start w:val="1"/>
      <w:numFmt w:val="decimal"/>
      <w:lvlRestart w:val="0"/>
      <w:lvlText w:val="%1."/>
      <w:lvlJc w:val="left"/>
      <w:pPr>
        <w:tabs>
          <w:tab w:val="num" w:pos="720"/>
        </w:tabs>
        <w:ind w:left="720" w:hanging="36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A9F51E9"/>
    <w:multiLevelType w:val="hybridMultilevel"/>
    <w:tmpl w:val="2646C0E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691696"/>
    <w:multiLevelType w:val="hybridMultilevel"/>
    <w:tmpl w:val="DBA2828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A31931"/>
    <w:multiLevelType w:val="hybridMultilevel"/>
    <w:tmpl w:val="57DE34E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16507D"/>
    <w:multiLevelType w:val="hybridMultilevel"/>
    <w:tmpl w:val="6A2EED04"/>
    <w:lvl w:ilvl="0" w:tplc="64BE4E68">
      <w:start w:val="1"/>
      <w:numFmt w:val="bullet"/>
      <w:pStyle w:val="Table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4818AE"/>
    <w:multiLevelType w:val="singleLevel"/>
    <w:tmpl w:val="90C410E6"/>
    <w:lvl w:ilvl="0">
      <w:start w:val="1"/>
      <w:numFmt w:val="bullet"/>
      <w:pStyle w:val="Bullet1"/>
      <w:lvlText w:val=""/>
      <w:lvlJc w:val="left"/>
      <w:pPr>
        <w:tabs>
          <w:tab w:val="num" w:pos="1494"/>
        </w:tabs>
        <w:ind w:left="1494" w:hanging="360"/>
      </w:pPr>
      <w:rPr>
        <w:rFonts w:ascii="Wingdings" w:hAnsi="Wingdings" w:hint="default"/>
        <w:sz w:val="24"/>
        <w:szCs w:val="24"/>
      </w:rPr>
    </w:lvl>
  </w:abstractNum>
  <w:abstractNum w:abstractNumId="31" w15:restartNumberingAfterBreak="0">
    <w:nsid w:val="5FEC25DC"/>
    <w:multiLevelType w:val="hybridMultilevel"/>
    <w:tmpl w:val="CC92B5F2"/>
    <w:lvl w:ilvl="0" w:tplc="BB1A699A">
      <w:start w:val="1"/>
      <w:numFmt w:val="decimal"/>
      <w:pStyle w:val="NumberText1"/>
      <w:lvlText w:val="%1."/>
      <w:lvlJc w:val="left"/>
      <w:pPr>
        <w:tabs>
          <w:tab w:val="num" w:pos="407"/>
        </w:tabs>
        <w:ind w:left="407" w:hanging="227"/>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27617E6"/>
    <w:multiLevelType w:val="hybridMultilevel"/>
    <w:tmpl w:val="DE8C3856"/>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AD40F3"/>
    <w:multiLevelType w:val="hybridMultilevel"/>
    <w:tmpl w:val="D0F26DE2"/>
    <w:lvl w:ilvl="0" w:tplc="14090017">
      <w:start w:val="1"/>
      <w:numFmt w:val="lowerLetter"/>
      <w:lvlText w:val="%1)"/>
      <w:lvlJc w:val="left"/>
      <w:pPr>
        <w:ind w:left="1077" w:hanging="360"/>
      </w:pPr>
    </w:lvl>
    <w:lvl w:ilvl="1" w:tplc="14090019" w:tentative="1">
      <w:start w:val="1"/>
      <w:numFmt w:val="lowerLetter"/>
      <w:lvlText w:val="%2."/>
      <w:lvlJc w:val="left"/>
      <w:pPr>
        <w:ind w:left="1797" w:hanging="360"/>
      </w:pPr>
    </w:lvl>
    <w:lvl w:ilvl="2" w:tplc="1409001B" w:tentative="1">
      <w:start w:val="1"/>
      <w:numFmt w:val="lowerRoman"/>
      <w:lvlText w:val="%3."/>
      <w:lvlJc w:val="right"/>
      <w:pPr>
        <w:ind w:left="2517" w:hanging="180"/>
      </w:pPr>
    </w:lvl>
    <w:lvl w:ilvl="3" w:tplc="1409000F" w:tentative="1">
      <w:start w:val="1"/>
      <w:numFmt w:val="decimal"/>
      <w:lvlText w:val="%4."/>
      <w:lvlJc w:val="left"/>
      <w:pPr>
        <w:ind w:left="3237" w:hanging="360"/>
      </w:pPr>
    </w:lvl>
    <w:lvl w:ilvl="4" w:tplc="14090019" w:tentative="1">
      <w:start w:val="1"/>
      <w:numFmt w:val="lowerLetter"/>
      <w:lvlText w:val="%5."/>
      <w:lvlJc w:val="left"/>
      <w:pPr>
        <w:ind w:left="3957" w:hanging="360"/>
      </w:pPr>
    </w:lvl>
    <w:lvl w:ilvl="5" w:tplc="1409001B" w:tentative="1">
      <w:start w:val="1"/>
      <w:numFmt w:val="lowerRoman"/>
      <w:lvlText w:val="%6."/>
      <w:lvlJc w:val="right"/>
      <w:pPr>
        <w:ind w:left="4677" w:hanging="180"/>
      </w:pPr>
    </w:lvl>
    <w:lvl w:ilvl="6" w:tplc="1409000F" w:tentative="1">
      <w:start w:val="1"/>
      <w:numFmt w:val="decimal"/>
      <w:lvlText w:val="%7."/>
      <w:lvlJc w:val="left"/>
      <w:pPr>
        <w:ind w:left="5397" w:hanging="360"/>
      </w:pPr>
    </w:lvl>
    <w:lvl w:ilvl="7" w:tplc="14090019" w:tentative="1">
      <w:start w:val="1"/>
      <w:numFmt w:val="lowerLetter"/>
      <w:lvlText w:val="%8."/>
      <w:lvlJc w:val="left"/>
      <w:pPr>
        <w:ind w:left="6117" w:hanging="360"/>
      </w:pPr>
    </w:lvl>
    <w:lvl w:ilvl="8" w:tplc="1409001B" w:tentative="1">
      <w:start w:val="1"/>
      <w:numFmt w:val="lowerRoman"/>
      <w:lvlText w:val="%9."/>
      <w:lvlJc w:val="right"/>
      <w:pPr>
        <w:ind w:left="6837" w:hanging="180"/>
      </w:pPr>
    </w:lvl>
  </w:abstractNum>
  <w:abstractNum w:abstractNumId="34" w15:restartNumberingAfterBreak="0">
    <w:nsid w:val="6E6B5C79"/>
    <w:multiLevelType w:val="hybridMultilevel"/>
    <w:tmpl w:val="96944E54"/>
    <w:lvl w:ilvl="0" w:tplc="4FFE5B3E">
      <w:start w:val="1"/>
      <w:numFmt w:val="bullet"/>
      <w:lvlText w:val="­"/>
      <w:lvlJc w:val="left"/>
      <w:pPr>
        <w:ind w:left="72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1353CC0"/>
    <w:multiLevelType w:val="hybridMultilevel"/>
    <w:tmpl w:val="35CC3472"/>
    <w:lvl w:ilvl="0" w:tplc="C1E4F120">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33B5CCB"/>
    <w:multiLevelType w:val="hybridMultilevel"/>
    <w:tmpl w:val="4FD04A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9918C9"/>
    <w:multiLevelType w:val="hybridMultilevel"/>
    <w:tmpl w:val="05EC7DF4"/>
    <w:lvl w:ilvl="0" w:tplc="C438151E">
      <w:start w:val="1"/>
      <w:numFmt w:val="bullet"/>
      <w:pStyle w:val="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7"/>
  </w:num>
  <w:num w:numId="3">
    <w:abstractNumId w:val="19"/>
  </w:num>
  <w:num w:numId="4">
    <w:abstractNumId w:val="29"/>
  </w:num>
  <w:num w:numId="5">
    <w:abstractNumId w:val="29"/>
  </w:num>
  <w:num w:numId="6">
    <w:abstractNumId w:val="29"/>
  </w:num>
  <w:num w:numId="7">
    <w:abstractNumId w:val="12"/>
  </w:num>
  <w:num w:numId="8">
    <w:abstractNumId w:val="7"/>
  </w:num>
  <w:num w:numId="9">
    <w:abstractNumId w:val="25"/>
  </w:num>
  <w:num w:numId="10">
    <w:abstractNumId w:val="15"/>
  </w:num>
  <w:num w:numId="11">
    <w:abstractNumId w:val="28"/>
  </w:num>
  <w:num w:numId="12">
    <w:abstractNumId w:val="36"/>
  </w:num>
  <w:num w:numId="13">
    <w:abstractNumId w:val="8"/>
  </w:num>
  <w:num w:numId="14">
    <w:abstractNumId w:val="17"/>
  </w:num>
  <w:num w:numId="15">
    <w:abstractNumId w:val="22"/>
  </w:num>
  <w:num w:numId="16">
    <w:abstractNumId w:val="5"/>
  </w:num>
  <w:num w:numId="17">
    <w:abstractNumId w:val="3"/>
  </w:num>
  <w:num w:numId="18">
    <w:abstractNumId w:val="13"/>
  </w:num>
  <w:num w:numId="19">
    <w:abstractNumId w:val="27"/>
  </w:num>
  <w:num w:numId="20">
    <w:abstractNumId w:val="32"/>
  </w:num>
  <w:num w:numId="21">
    <w:abstractNumId w:val="26"/>
  </w:num>
  <w:num w:numId="22">
    <w:abstractNumId w:val="20"/>
  </w:num>
  <w:num w:numId="23">
    <w:abstractNumId w:val="24"/>
  </w:num>
  <w:num w:numId="24">
    <w:abstractNumId w:val="6"/>
  </w:num>
  <w:num w:numId="25">
    <w:abstractNumId w:val="31"/>
  </w:num>
  <w:num w:numId="26">
    <w:abstractNumId w:val="31"/>
  </w:num>
  <w:num w:numId="27">
    <w:abstractNumId w:val="31"/>
    <w:lvlOverride w:ilvl="0">
      <w:startOverride w:val="1"/>
    </w:lvlOverride>
  </w:num>
  <w:num w:numId="28">
    <w:abstractNumId w:val="31"/>
  </w:num>
  <w:num w:numId="29">
    <w:abstractNumId w:val="14"/>
  </w:num>
  <w:num w:numId="30">
    <w:abstractNumId w:val="10"/>
  </w:num>
  <w:num w:numId="31">
    <w:abstractNumId w:val="34"/>
  </w:num>
  <w:num w:numId="32">
    <w:abstractNumId w:val="4"/>
  </w:num>
  <w:num w:numId="33">
    <w:abstractNumId w:val="0"/>
  </w:num>
  <w:num w:numId="34">
    <w:abstractNumId w:val="1"/>
  </w:num>
  <w:num w:numId="35">
    <w:abstractNumId w:val="11"/>
  </w:num>
  <w:num w:numId="36">
    <w:abstractNumId w:val="9"/>
  </w:num>
  <w:num w:numId="37">
    <w:abstractNumId w:val="21"/>
  </w:num>
  <w:num w:numId="38">
    <w:abstractNumId w:val="33"/>
  </w:num>
  <w:num w:numId="39">
    <w:abstractNumId w:val="2"/>
  </w:num>
  <w:num w:numId="40">
    <w:abstractNumId w:val="16"/>
  </w:num>
  <w:num w:numId="41">
    <w:abstractNumId w:val="35"/>
  </w:num>
  <w:num w:numId="42">
    <w:abstractNumId w:val="2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yellow,#a40900,#9318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2MDQ0MzY3MjExNrZU0lEKTi0uzszPAykwrAUAF+q5hCwAAAA="/>
  </w:docVars>
  <w:rsids>
    <w:rsidRoot w:val="000B7B65"/>
    <w:rsid w:val="0001716B"/>
    <w:rsid w:val="0003357C"/>
    <w:rsid w:val="000835AF"/>
    <w:rsid w:val="00085EFE"/>
    <w:rsid w:val="00086BDC"/>
    <w:rsid w:val="000B7B65"/>
    <w:rsid w:val="00136BBE"/>
    <w:rsid w:val="00192B02"/>
    <w:rsid w:val="00193173"/>
    <w:rsid w:val="001F7E37"/>
    <w:rsid w:val="00244822"/>
    <w:rsid w:val="0028594D"/>
    <w:rsid w:val="002B2DF8"/>
    <w:rsid w:val="002D6C05"/>
    <w:rsid w:val="003006A8"/>
    <w:rsid w:val="0032368B"/>
    <w:rsid w:val="0032410A"/>
    <w:rsid w:val="00336267"/>
    <w:rsid w:val="00367E5A"/>
    <w:rsid w:val="00376589"/>
    <w:rsid w:val="003957D5"/>
    <w:rsid w:val="003E40F7"/>
    <w:rsid w:val="004272A3"/>
    <w:rsid w:val="0043473E"/>
    <w:rsid w:val="00454203"/>
    <w:rsid w:val="00463333"/>
    <w:rsid w:val="00474B73"/>
    <w:rsid w:val="00482ABD"/>
    <w:rsid w:val="004C2BCE"/>
    <w:rsid w:val="00525213"/>
    <w:rsid w:val="005274F8"/>
    <w:rsid w:val="00527C15"/>
    <w:rsid w:val="005826C6"/>
    <w:rsid w:val="00596DAA"/>
    <w:rsid w:val="00596EDE"/>
    <w:rsid w:val="0060089C"/>
    <w:rsid w:val="00601378"/>
    <w:rsid w:val="00605EA2"/>
    <w:rsid w:val="006960B5"/>
    <w:rsid w:val="00736096"/>
    <w:rsid w:val="00766B56"/>
    <w:rsid w:val="007B3D2A"/>
    <w:rsid w:val="007B7035"/>
    <w:rsid w:val="007B7117"/>
    <w:rsid w:val="007E1F36"/>
    <w:rsid w:val="007F7FC3"/>
    <w:rsid w:val="00835427"/>
    <w:rsid w:val="00846C0D"/>
    <w:rsid w:val="00851963"/>
    <w:rsid w:val="00892EF9"/>
    <w:rsid w:val="008B3D68"/>
    <w:rsid w:val="008E64D0"/>
    <w:rsid w:val="00906C88"/>
    <w:rsid w:val="0096415D"/>
    <w:rsid w:val="00965328"/>
    <w:rsid w:val="00976200"/>
    <w:rsid w:val="00976A56"/>
    <w:rsid w:val="00976A5D"/>
    <w:rsid w:val="00993D49"/>
    <w:rsid w:val="009D5465"/>
    <w:rsid w:val="009E48E6"/>
    <w:rsid w:val="00A02E25"/>
    <w:rsid w:val="00A21D66"/>
    <w:rsid w:val="00A41EE7"/>
    <w:rsid w:val="00AC25CE"/>
    <w:rsid w:val="00AF2146"/>
    <w:rsid w:val="00B06CA9"/>
    <w:rsid w:val="00B16C43"/>
    <w:rsid w:val="00B57CC8"/>
    <w:rsid w:val="00B63B7D"/>
    <w:rsid w:val="00B74B42"/>
    <w:rsid w:val="00B80E07"/>
    <w:rsid w:val="00BC05D4"/>
    <w:rsid w:val="00BC57E8"/>
    <w:rsid w:val="00BD366D"/>
    <w:rsid w:val="00BD6AEC"/>
    <w:rsid w:val="00BE36F4"/>
    <w:rsid w:val="00C166CE"/>
    <w:rsid w:val="00C32620"/>
    <w:rsid w:val="00CA0C68"/>
    <w:rsid w:val="00CC1A8D"/>
    <w:rsid w:val="00CD00B3"/>
    <w:rsid w:val="00CD3903"/>
    <w:rsid w:val="00CF1506"/>
    <w:rsid w:val="00CF1D85"/>
    <w:rsid w:val="00D111E8"/>
    <w:rsid w:val="00D2670A"/>
    <w:rsid w:val="00D5151D"/>
    <w:rsid w:val="00DB332A"/>
    <w:rsid w:val="00E3370C"/>
    <w:rsid w:val="00E4373D"/>
    <w:rsid w:val="00EB2A93"/>
    <w:rsid w:val="00EB6FD3"/>
    <w:rsid w:val="00EC08F4"/>
    <w:rsid w:val="00ED5DE5"/>
    <w:rsid w:val="00EF4AE1"/>
    <w:rsid w:val="00F42189"/>
    <w:rsid w:val="00F44664"/>
    <w:rsid w:val="00F94A3C"/>
    <w:rsid w:val="00FA5EC5"/>
    <w:rsid w:val="00FB767C"/>
    <w:rsid w:val="00FC67B2"/>
    <w:rsid w:val="00FD613E"/>
    <w:rsid w:val="00FE75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yellow,#a40900,#931823"/>
    </o:shapedefaults>
    <o:shapelayout v:ext="edit">
      <o:idmap v:ext="edit" data="1"/>
    </o:shapelayout>
  </w:shapeDefaults>
  <w:decimalSymbol w:val="."/>
  <w:listSeparator w:val=","/>
  <w15:docId w15:val="{D901B5FD-E172-43A4-9968-01FF4011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heading 1"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333"/>
    <w:rPr>
      <w:rFonts w:eastAsia="Calibri"/>
      <w:sz w:val="24"/>
      <w:szCs w:val="24"/>
    </w:rPr>
  </w:style>
  <w:style w:type="paragraph" w:styleId="Heading1">
    <w:name w:val="heading 1"/>
    <w:next w:val="Heading2"/>
    <w:uiPriority w:val="2"/>
    <w:qFormat/>
    <w:rsid w:val="00B74B42"/>
    <w:pPr>
      <w:spacing w:after="240"/>
      <w:outlineLvl w:val="0"/>
    </w:pPr>
    <w:rPr>
      <w:rFonts w:ascii="Arial" w:hAnsi="Arial"/>
      <w:color w:val="A6242E"/>
      <w:sz w:val="28"/>
      <w:szCs w:val="40"/>
      <w:lang w:val="en-US" w:eastAsia="en-US"/>
    </w:rPr>
  </w:style>
  <w:style w:type="paragraph" w:styleId="Heading2">
    <w:name w:val="heading 2"/>
    <w:next w:val="HeadingLine"/>
    <w:uiPriority w:val="2"/>
    <w:rsid w:val="004C2BCE"/>
    <w:pPr>
      <w:spacing w:after="240"/>
      <w:outlineLvl w:val="1"/>
    </w:pPr>
    <w:rPr>
      <w:rFonts w:ascii="Arial" w:hAnsi="Arial"/>
      <w:color w:val="A6242E"/>
      <w:sz w:val="28"/>
      <w:szCs w:val="32"/>
      <w:lang w:val="en-US" w:eastAsia="en-US"/>
    </w:rPr>
  </w:style>
  <w:style w:type="paragraph" w:styleId="Heading3">
    <w:name w:val="heading 3"/>
    <w:next w:val="BlockText"/>
    <w:uiPriority w:val="2"/>
    <w:qFormat/>
    <w:rsid w:val="003006A8"/>
    <w:pPr>
      <w:spacing w:before="480" w:after="60"/>
      <w:outlineLvl w:val="2"/>
    </w:pPr>
    <w:rPr>
      <w:rFonts w:ascii="Arial" w:hAnsi="Arial"/>
      <w:b/>
      <w:sz w:val="22"/>
      <w:szCs w:val="32"/>
      <w:lang w:val="en-US" w:eastAsia="en-US"/>
    </w:rPr>
  </w:style>
  <w:style w:type="paragraph" w:styleId="Heading4">
    <w:name w:val="heading 4"/>
    <w:aliases w:val="Map Title"/>
    <w:next w:val="MemoLine"/>
    <w:rsid w:val="008A0BC9"/>
    <w:pPr>
      <w:spacing w:after="240"/>
      <w:outlineLvl w:val="3"/>
    </w:pPr>
    <w:rPr>
      <w:rFonts w:ascii="Arial" w:hAnsi="Arial"/>
      <w:b/>
      <w:sz w:val="32"/>
      <w:lang w:val="en-US" w:eastAsia="en-US"/>
    </w:rPr>
  </w:style>
  <w:style w:type="paragraph" w:styleId="Heading5">
    <w:name w:val="heading 5"/>
    <w:aliases w:val="Block Heading"/>
    <w:next w:val="BlockText"/>
    <w:rsid w:val="00892EF9"/>
    <w:pPr>
      <w:spacing w:after="60"/>
      <w:outlineLvl w:val="4"/>
    </w:pPr>
    <w:rPr>
      <w:rFonts w:asciiTheme="minorHAnsi" w:hAnsiTheme="minorHAns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ine">
    <w:name w:val="Heading Line"/>
    <w:next w:val="Heading5"/>
    <w:uiPriority w:val="2"/>
    <w:qFormat/>
    <w:rsid w:val="00A41EE7"/>
    <w:pPr>
      <w:pBdr>
        <w:top w:val="single" w:sz="6" w:space="1" w:color="C0C0C0"/>
        <w:between w:val="single" w:sz="6" w:space="1" w:color="auto"/>
      </w:pBdr>
      <w:spacing w:before="240" w:after="240"/>
      <w:jc w:val="right"/>
    </w:pPr>
    <w:rPr>
      <w:rFonts w:ascii="Arial" w:hAnsi="Arial"/>
      <w:i/>
      <w:color w:val="808080"/>
      <w:sz w:val="18"/>
      <w:lang w:val="en-US" w:eastAsia="en-US"/>
    </w:rPr>
  </w:style>
  <w:style w:type="paragraph" w:styleId="BlockText">
    <w:name w:val="Block Text"/>
    <w:link w:val="BlockTextChar"/>
    <w:qFormat/>
    <w:rsid w:val="00B74B42"/>
    <w:pPr>
      <w:spacing w:before="60" w:after="120"/>
      <w:ind w:left="1100"/>
    </w:pPr>
    <w:rPr>
      <w:rFonts w:ascii="Arial" w:hAnsi="Arial"/>
      <w:lang w:val="en-US" w:eastAsia="en-US"/>
    </w:rPr>
  </w:style>
  <w:style w:type="paragraph" w:styleId="Header">
    <w:name w:val="header"/>
    <w:link w:val="HeaderChar"/>
    <w:rsid w:val="000765CD"/>
    <w:pPr>
      <w:tabs>
        <w:tab w:val="center" w:pos="4320"/>
        <w:tab w:val="right" w:pos="8640"/>
      </w:tabs>
      <w:jc w:val="right"/>
    </w:pPr>
    <w:rPr>
      <w:rFonts w:ascii="Arial" w:hAnsi="Arial"/>
      <w:i/>
      <w:sz w:val="18"/>
      <w:lang w:val="en-US" w:eastAsia="en-US"/>
    </w:rPr>
  </w:style>
  <w:style w:type="paragraph" w:customStyle="1" w:styleId="Bullet1">
    <w:name w:val="Bullet 1"/>
    <w:qFormat/>
    <w:rsid w:val="00B74B42"/>
    <w:pPr>
      <w:numPr>
        <w:numId w:val="1"/>
      </w:numPr>
      <w:spacing w:after="60"/>
      <w:ind w:left="1531" w:hanging="397"/>
    </w:pPr>
    <w:rPr>
      <w:rFonts w:ascii="Arial" w:hAnsi="Arial"/>
      <w:lang w:val="en-US" w:eastAsia="en-US"/>
    </w:rPr>
  </w:style>
  <w:style w:type="paragraph" w:customStyle="1" w:styleId="Bullet2">
    <w:name w:val="Bullet 2"/>
    <w:qFormat/>
    <w:rsid w:val="00B74B42"/>
    <w:pPr>
      <w:numPr>
        <w:numId w:val="2"/>
      </w:numPr>
      <w:tabs>
        <w:tab w:val="left" w:pos="550"/>
        <w:tab w:val="left" w:pos="663"/>
        <w:tab w:val="left" w:pos="1418"/>
      </w:tabs>
      <w:ind w:left="1888" w:hanging="357"/>
    </w:pPr>
    <w:rPr>
      <w:rFonts w:ascii="Arial" w:hAnsi="Arial"/>
      <w:lang w:val="en-US" w:eastAsia="en-US"/>
    </w:rPr>
  </w:style>
  <w:style w:type="paragraph" w:customStyle="1" w:styleId="MapTitleContinued">
    <w:name w:val="Map Title. Continued"/>
    <w:basedOn w:val="Normal"/>
    <w:rsid w:val="000765CD"/>
    <w:pPr>
      <w:spacing w:after="240"/>
    </w:pPr>
    <w:rPr>
      <w:rFonts w:ascii="Calibri" w:hAnsi="Calibri"/>
      <w:b/>
      <w:sz w:val="32"/>
    </w:rPr>
  </w:style>
  <w:style w:type="paragraph" w:customStyle="1" w:styleId="MemoLine">
    <w:name w:val="Memo Line"/>
    <w:next w:val="Heading5"/>
    <w:rsid w:val="00D74CB9"/>
    <w:pPr>
      <w:pBdr>
        <w:top w:val="threeDEngrave" w:sz="24" w:space="1" w:color="C0C0C0"/>
      </w:pBdr>
    </w:pPr>
    <w:rPr>
      <w:rFonts w:ascii="Arial" w:hAnsi="Arial"/>
      <w:i/>
      <w:color w:val="808080"/>
      <w:sz w:val="18"/>
      <w:lang w:val="en-US" w:eastAsia="en-US"/>
    </w:rPr>
  </w:style>
  <w:style w:type="paragraph" w:styleId="Footer">
    <w:name w:val="footer"/>
    <w:rsid w:val="000765CD"/>
    <w:pPr>
      <w:spacing w:before="120"/>
    </w:pPr>
    <w:rPr>
      <w:rFonts w:ascii="Arial" w:hAnsi="Arial"/>
      <w:sz w:val="18"/>
      <w:lang w:val="en-US" w:eastAsia="en-US"/>
    </w:rPr>
  </w:style>
  <w:style w:type="character" w:styleId="PageNumber">
    <w:name w:val="page number"/>
    <w:basedOn w:val="DefaultParagraphFont"/>
    <w:rsid w:val="006249E6"/>
    <w:rPr>
      <w:rFonts w:ascii="Arial" w:hAnsi="Arial"/>
      <w:sz w:val="18"/>
      <w:szCs w:val="18"/>
    </w:rPr>
  </w:style>
  <w:style w:type="paragraph" w:customStyle="1" w:styleId="TableText">
    <w:name w:val="Table Text"/>
    <w:uiPriority w:val="1"/>
    <w:qFormat/>
    <w:rsid w:val="00B74B42"/>
    <w:rPr>
      <w:rFonts w:ascii="Arial" w:hAnsi="Arial"/>
      <w:lang w:val="en-AU" w:eastAsia="en-US"/>
    </w:rPr>
  </w:style>
  <w:style w:type="paragraph" w:customStyle="1" w:styleId="NoteText">
    <w:name w:val="Note Text"/>
    <w:basedOn w:val="BlockText"/>
    <w:rsid w:val="000765CD"/>
  </w:style>
  <w:style w:type="paragraph" w:customStyle="1" w:styleId="TableHdg">
    <w:name w:val="Table Hdg"/>
    <w:uiPriority w:val="1"/>
    <w:qFormat/>
    <w:rsid w:val="00B74B42"/>
    <w:pPr>
      <w:spacing w:before="60" w:after="60"/>
    </w:pPr>
    <w:rPr>
      <w:rFonts w:ascii="Arial" w:hAnsi="Arial"/>
      <w:b/>
      <w:color w:val="FFFFFF"/>
      <w:sz w:val="22"/>
      <w:lang w:val="en-AU" w:eastAsia="en-US"/>
    </w:rPr>
  </w:style>
  <w:style w:type="paragraph" w:customStyle="1" w:styleId="DocumentTitle">
    <w:name w:val="Document Title"/>
    <w:basedOn w:val="BlockText"/>
    <w:rsid w:val="00B74B42"/>
    <w:pPr>
      <w:spacing w:after="280"/>
      <w:ind w:left="0"/>
    </w:pPr>
    <w:rPr>
      <w:b/>
      <w:color w:val="FFFFFF" w:themeColor="background1"/>
      <w:sz w:val="4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autoRedefine/>
    <w:uiPriority w:val="39"/>
    <w:rsid w:val="00B63B7D"/>
    <w:pPr>
      <w:tabs>
        <w:tab w:val="right" w:leader="dot" w:pos="9629"/>
      </w:tabs>
      <w:spacing w:before="120" w:after="120"/>
    </w:pPr>
    <w:rPr>
      <w:rFonts w:ascii="Arial Bold" w:eastAsia="Calibri" w:hAnsi="Arial Bold" w:cstheme="minorHAnsi"/>
      <w:b/>
      <w:bCs/>
      <w:caps/>
      <w:noProof/>
      <w:sz w:val="24"/>
      <w:szCs w:val="24"/>
    </w:rPr>
  </w:style>
  <w:style w:type="paragraph" w:styleId="TOC2">
    <w:name w:val="toc 2"/>
    <w:autoRedefine/>
    <w:uiPriority w:val="39"/>
    <w:rsid w:val="00B63B7D"/>
    <w:pPr>
      <w:tabs>
        <w:tab w:val="right" w:leader="dot" w:pos="9629"/>
      </w:tabs>
      <w:ind w:left="238"/>
    </w:pPr>
    <w:rPr>
      <w:rFonts w:ascii="Arial" w:eastAsia="Calibri" w:hAnsi="Arial"/>
      <w:smallCaps/>
      <w:sz w:val="22"/>
      <w:szCs w:val="24"/>
    </w:rPr>
  </w:style>
  <w:style w:type="paragraph" w:customStyle="1" w:styleId="TableB1">
    <w:name w:val="Table B1"/>
    <w:uiPriority w:val="1"/>
    <w:qFormat/>
    <w:rsid w:val="00B63B7D"/>
    <w:pPr>
      <w:numPr>
        <w:numId w:val="3"/>
      </w:numPr>
      <w:tabs>
        <w:tab w:val="clear" w:pos="1851"/>
      </w:tabs>
      <w:ind w:left="357" w:hanging="357"/>
    </w:pPr>
    <w:rPr>
      <w:rFonts w:ascii="Arial" w:hAnsi="Arial"/>
      <w:lang w:val="en-US" w:eastAsia="en-US"/>
    </w:rPr>
  </w:style>
  <w:style w:type="paragraph" w:styleId="TOC3">
    <w:name w:val="toc 3"/>
    <w:autoRedefine/>
    <w:uiPriority w:val="39"/>
    <w:rsid w:val="00B63B7D"/>
    <w:pPr>
      <w:spacing w:before="120" w:after="120"/>
      <w:ind w:left="238"/>
    </w:pPr>
    <w:rPr>
      <w:rFonts w:ascii="Arial" w:eastAsia="Calibri" w:hAnsi="Arial"/>
      <w:iCs/>
      <w:smallCaps/>
      <w:sz w:val="22"/>
      <w:szCs w:val="24"/>
    </w:rPr>
  </w:style>
  <w:style w:type="paragraph" w:styleId="TOC4">
    <w:name w:val="toc 4"/>
    <w:basedOn w:val="Normal"/>
    <w:next w:val="Normal"/>
    <w:autoRedefine/>
    <w:semiHidden/>
    <w:rsid w:val="008C268E"/>
    <w:pPr>
      <w:ind w:left="720"/>
    </w:pPr>
    <w:rPr>
      <w:rFonts w:ascii="Arial" w:hAnsi="Arial"/>
      <w:sz w:val="22"/>
      <w:szCs w:val="18"/>
    </w:rPr>
  </w:style>
  <w:style w:type="character" w:styleId="Hyperlink">
    <w:name w:val="Hyperlink"/>
    <w:basedOn w:val="DefaultParagraphFont"/>
    <w:uiPriority w:val="99"/>
    <w:rsid w:val="00993D49"/>
    <w:rPr>
      <w:rFonts w:asciiTheme="minorHAnsi" w:hAnsiTheme="minorHAnsi"/>
      <w:color w:val="0000FF"/>
      <w:u w:val="single"/>
    </w:rPr>
  </w:style>
  <w:style w:type="paragraph" w:customStyle="1" w:styleId="ContinuedBlockLine">
    <w:name w:val="Continued Block Line"/>
    <w:basedOn w:val="HeadingLine"/>
    <w:rsid w:val="006249E6"/>
  </w:style>
  <w:style w:type="paragraph" w:customStyle="1" w:styleId="DocumentTitleText">
    <w:name w:val="Document Title Text"/>
    <w:next w:val="BlockText"/>
    <w:rsid w:val="006249E6"/>
    <w:pPr>
      <w:spacing w:before="360"/>
      <w:jc w:val="right"/>
    </w:pPr>
    <w:rPr>
      <w:rFonts w:ascii="Arial" w:hAnsi="Arial"/>
      <w:b/>
      <w:bCs/>
      <w:color w:val="FF6600"/>
      <w:sz w:val="44"/>
      <w:lang w:val="en-US"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er4">
    <w:name w:val="Header 4"/>
    <w:basedOn w:val="Heading4"/>
    <w:next w:val="MemoLine"/>
    <w:rsid w:val="00BD7F96"/>
  </w:style>
  <w:style w:type="table" w:styleId="TableGrid">
    <w:name w:val="Table Grid"/>
    <w:basedOn w:val="TableNormal"/>
    <w:rsid w:val="00FF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2">
    <w:name w:val="Table Bullet 2"/>
    <w:rsid w:val="009238AC"/>
    <w:pPr>
      <w:numPr>
        <w:numId w:val="6"/>
      </w:numPr>
    </w:pPr>
    <w:rPr>
      <w:rFonts w:ascii="Arial" w:hAnsi="Arial"/>
      <w:lang w:val="en-US" w:eastAsia="en-US"/>
    </w:rPr>
  </w:style>
  <w:style w:type="paragraph" w:customStyle="1" w:styleId="TableNote">
    <w:name w:val="Table Note"/>
    <w:rsid w:val="003D6B84"/>
    <w:pPr>
      <w:spacing w:before="120"/>
    </w:pPr>
    <w:rPr>
      <w:rFonts w:ascii="Arial" w:hAnsi="Arial"/>
      <w:lang w:val="en-AU" w:eastAsia="en-US"/>
    </w:rPr>
  </w:style>
  <w:style w:type="paragraph" w:styleId="DocumentMap">
    <w:name w:val="Document Map"/>
    <w:basedOn w:val="Normal"/>
    <w:semiHidden/>
    <w:rsid w:val="00A30165"/>
    <w:pPr>
      <w:shd w:val="clear" w:color="auto" w:fill="000080"/>
    </w:pPr>
    <w:rPr>
      <w:rFonts w:ascii="Tahoma" w:hAnsi="Tahoma" w:cs="Tahoma"/>
      <w:sz w:val="20"/>
    </w:rPr>
  </w:style>
  <w:style w:type="paragraph" w:customStyle="1" w:styleId="NumberText1">
    <w:name w:val="Number Text 1"/>
    <w:basedOn w:val="Normal"/>
    <w:rsid w:val="00A30165"/>
    <w:pPr>
      <w:numPr>
        <w:numId w:val="25"/>
      </w:numPr>
    </w:pPr>
  </w:style>
  <w:style w:type="character" w:customStyle="1" w:styleId="HeaderChar">
    <w:name w:val="Header Char"/>
    <w:basedOn w:val="DefaultParagraphFont"/>
    <w:link w:val="Header"/>
    <w:locked/>
    <w:rPr>
      <w:rFonts w:ascii="Arial" w:hAnsi="Arial"/>
      <w:i/>
      <w:sz w:val="18"/>
      <w:lang w:val="en-US" w:eastAsia="en-US" w:bidi="ar-SA"/>
    </w:rPr>
  </w:style>
  <w:style w:type="character" w:customStyle="1" w:styleId="BlockTextChar">
    <w:name w:val="Block Text Char"/>
    <w:basedOn w:val="DefaultParagraphFont"/>
    <w:link w:val="BlockText"/>
    <w:rsid w:val="00B74B42"/>
    <w:rPr>
      <w:rFonts w:ascii="Arial" w:hAnsi="Arial"/>
      <w:lang w:val="en-US" w:eastAsia="en-US"/>
    </w:rPr>
  </w:style>
  <w:style w:type="paragraph" w:styleId="BalloonText">
    <w:name w:val="Balloon Text"/>
    <w:basedOn w:val="Normal"/>
    <w:link w:val="BalloonTextChar"/>
    <w:rsid w:val="003A4787"/>
    <w:rPr>
      <w:rFonts w:ascii="Tahoma" w:hAnsi="Tahoma" w:cs="Tahoma"/>
      <w:sz w:val="16"/>
      <w:szCs w:val="16"/>
    </w:rPr>
  </w:style>
  <w:style w:type="character" w:customStyle="1" w:styleId="BalloonTextChar">
    <w:name w:val="Balloon Text Char"/>
    <w:basedOn w:val="DefaultParagraphFont"/>
    <w:link w:val="BalloonText"/>
    <w:rsid w:val="003A4787"/>
    <w:rPr>
      <w:rFonts w:ascii="Tahoma" w:eastAsia="Calibri" w:hAnsi="Tahoma" w:cs="Tahoma"/>
      <w:sz w:val="16"/>
      <w:szCs w:val="16"/>
    </w:rPr>
  </w:style>
  <w:style w:type="paragraph" w:customStyle="1" w:styleId="Style1">
    <w:name w:val="Style1"/>
    <w:basedOn w:val="Normal"/>
    <w:rsid w:val="00C44A04"/>
    <w:rPr>
      <w:rFonts w:ascii="Arial" w:hAnsi="Arial"/>
      <w:color w:val="A6242E"/>
      <w:sz w:val="28"/>
    </w:rPr>
  </w:style>
  <w:style w:type="paragraph" w:customStyle="1" w:styleId="Style2">
    <w:name w:val="Style2"/>
    <w:basedOn w:val="Heading5"/>
    <w:rsid w:val="007E1553"/>
    <w:rPr>
      <w:rFonts w:ascii="Arial Bold" w:hAnsi="Arial Bold"/>
      <w:b w:val="0"/>
    </w:rPr>
  </w:style>
  <w:style w:type="paragraph" w:styleId="TOC9">
    <w:name w:val="toc 9"/>
    <w:basedOn w:val="Normal"/>
    <w:next w:val="Normal"/>
    <w:autoRedefine/>
    <w:uiPriority w:val="39"/>
    <w:rsid w:val="00AF2146"/>
    <w:pPr>
      <w:ind w:left="1920"/>
    </w:pPr>
  </w:style>
  <w:style w:type="character" w:styleId="Strong">
    <w:name w:val="Strong"/>
    <w:basedOn w:val="DefaultParagraphFont"/>
    <w:rsid w:val="0096415D"/>
    <w:rPr>
      <w:b/>
      <w:bCs/>
    </w:rPr>
  </w:style>
  <w:style w:type="paragraph" w:styleId="TOC5">
    <w:name w:val="toc 5"/>
    <w:basedOn w:val="Normal"/>
    <w:next w:val="Normal"/>
    <w:autoRedefine/>
    <w:uiPriority w:val="39"/>
    <w:rsid w:val="00B63B7D"/>
    <w:pPr>
      <w:spacing w:before="120" w:after="120"/>
      <w:ind w:left="238"/>
    </w:pPr>
    <w:rPr>
      <w:rFonts w:ascii="Arial" w:hAnsi="Arial"/>
      <w:sz w:val="22"/>
    </w:rPr>
  </w:style>
  <w:style w:type="character" w:styleId="PlaceholderText">
    <w:name w:val="Placeholder Text"/>
    <w:basedOn w:val="DefaultParagraphFont"/>
    <w:uiPriority w:val="99"/>
    <w:semiHidden/>
    <w:rsid w:val="0028594D"/>
    <w:rPr>
      <w:color w:val="808080"/>
    </w:rPr>
  </w:style>
  <w:style w:type="paragraph" w:styleId="ListParagraph">
    <w:name w:val="List Paragraph"/>
    <w:basedOn w:val="Normal"/>
    <w:uiPriority w:val="34"/>
    <w:qFormat/>
    <w:rsid w:val="00CD00B3"/>
    <w:pPr>
      <w:ind w:left="720"/>
      <w:contextualSpacing/>
    </w:pPr>
    <w:rPr>
      <w:rFonts w:eastAsia="Times New Roman"/>
    </w:rPr>
  </w:style>
  <w:style w:type="paragraph" w:styleId="BodyText">
    <w:name w:val="Body Text"/>
    <w:basedOn w:val="Normal"/>
    <w:link w:val="BodyTextChar"/>
    <w:uiPriority w:val="99"/>
    <w:unhideWhenUsed/>
    <w:rsid w:val="00CD00B3"/>
    <w:pPr>
      <w:spacing w:after="120"/>
    </w:pPr>
    <w:rPr>
      <w:rFonts w:ascii="Calibri" w:eastAsiaTheme="minorHAnsi" w:hAnsi="Calibri"/>
      <w:sz w:val="22"/>
      <w:szCs w:val="22"/>
    </w:rPr>
  </w:style>
  <w:style w:type="character" w:customStyle="1" w:styleId="BodyTextChar">
    <w:name w:val="Body Text Char"/>
    <w:basedOn w:val="DefaultParagraphFont"/>
    <w:link w:val="BodyText"/>
    <w:uiPriority w:val="99"/>
    <w:rsid w:val="00CD00B3"/>
    <w:rPr>
      <w:rFonts w:ascii="Calibri" w:eastAsiaTheme="minorHAnsi" w:hAnsi="Calibri"/>
      <w:sz w:val="22"/>
      <w:szCs w:val="22"/>
    </w:rPr>
  </w:style>
  <w:style w:type="paragraph" w:customStyle="1" w:styleId="Default">
    <w:name w:val="Default"/>
    <w:rsid w:val="00CD00B3"/>
    <w:pPr>
      <w:widowControl w:val="0"/>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D5DE5"/>
    <w:pPr>
      <w:spacing w:before="100" w:beforeAutospacing="1" w:after="100" w:afterAutospacing="1"/>
    </w:pPr>
    <w:rPr>
      <w:rFonts w:eastAsiaTheme="minorHAnsi"/>
    </w:rPr>
  </w:style>
  <w:style w:type="character" w:styleId="Emphasis">
    <w:name w:val="Emphasis"/>
    <w:basedOn w:val="DefaultParagraphFont"/>
    <w:uiPriority w:val="20"/>
    <w:qFormat/>
    <w:rsid w:val="00ED5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chives.govt.nz/advice/guidance-and-standards/guidance-subject/digitisation-toolki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es.govt.nz/advice/guidance-and-standards/guidance-subject/digitisation-toolk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s.govt.nz/s5-digital-recordkeeping-stand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chives.govt.nz/s4-access-standar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chives.govt.nz/s2-storage-standard"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E80BCE747D46D281BB8FDE7ADE9EC5"/>
        <w:category>
          <w:name w:val="General"/>
          <w:gallery w:val="placeholder"/>
        </w:category>
        <w:types>
          <w:type w:val="bbPlcHdr"/>
        </w:types>
        <w:behaviors>
          <w:behavior w:val="content"/>
        </w:behaviors>
        <w:guid w:val="{A36872AC-5384-47D6-9441-C1E207BCDCF5}"/>
      </w:docPartPr>
      <w:docPartBody>
        <w:p w:rsidR="00625AE7" w:rsidRDefault="00625AE7">
          <w:pPr>
            <w:pStyle w:val="A5E80BCE747D46D281BB8FDE7ADE9EC5"/>
          </w:pPr>
          <w:r w:rsidRPr="004A3076">
            <w:rPr>
              <w:rStyle w:val="PlaceholderText"/>
            </w:rPr>
            <w:t>Click here to enter text.</w:t>
          </w:r>
        </w:p>
      </w:docPartBody>
    </w:docPart>
    <w:docPart>
      <w:docPartPr>
        <w:name w:val="9BB7E9DF047D4A15B57EB6057B29BF5A"/>
        <w:category>
          <w:name w:val="General"/>
          <w:gallery w:val="placeholder"/>
        </w:category>
        <w:types>
          <w:type w:val="bbPlcHdr"/>
        </w:types>
        <w:behaviors>
          <w:behavior w:val="content"/>
        </w:behaviors>
        <w:guid w:val="{02AF4356-5FCE-4DFB-9201-C0495EF56C16}"/>
      </w:docPartPr>
      <w:docPartBody>
        <w:p w:rsidR="00863E1E" w:rsidRDefault="00A23469" w:rsidP="00A23469">
          <w:pPr>
            <w:pStyle w:val="9BB7E9DF047D4A15B57EB6057B29BF5A"/>
          </w:pPr>
          <w:r w:rsidRPr="004A307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Italic">
    <w:panose1 w:val="020B060402020209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7"/>
    <w:rsid w:val="00625AE7"/>
    <w:rsid w:val="006415BB"/>
    <w:rsid w:val="00863E1E"/>
    <w:rsid w:val="009C53DF"/>
    <w:rsid w:val="00A23469"/>
    <w:rsid w:val="00A71827"/>
    <w:rsid w:val="00A82DAA"/>
    <w:rsid w:val="00FA2D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469"/>
    <w:rPr>
      <w:color w:val="808080"/>
    </w:rPr>
  </w:style>
  <w:style w:type="paragraph" w:customStyle="1" w:styleId="A5E80BCE747D46D281BB8FDE7ADE9EC5">
    <w:name w:val="A5E80BCE747D46D281BB8FDE7ADE9EC5"/>
  </w:style>
  <w:style w:type="paragraph" w:customStyle="1" w:styleId="9BB7E9DF047D4A15B57EB6057B29BF5A">
    <w:name w:val="9BB7E9DF047D4A15B57EB6057B29BF5A"/>
    <w:rsid w:val="00A23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9F3D5-1AD5-4760-913A-1EFBE9365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Manukau Institute of Technology (MIT) Policy Template</vt:lpstr>
    </vt:vector>
  </TitlesOfParts>
  <Company>Manukau Institute of Technology (MIT)</Company>
  <LinksUpToDate>false</LinksUpToDate>
  <CharactersWithSpaces>11604</CharactersWithSpaces>
  <SharedDoc>false</SharedDoc>
  <HLinks>
    <vt:vector size="96" baseType="variant">
      <vt:variant>
        <vt:i4>1835071</vt:i4>
      </vt:variant>
      <vt:variant>
        <vt:i4>92</vt:i4>
      </vt:variant>
      <vt:variant>
        <vt:i4>0</vt:i4>
      </vt:variant>
      <vt:variant>
        <vt:i4>5</vt:i4>
      </vt:variant>
      <vt:variant>
        <vt:lpwstr/>
      </vt:variant>
      <vt:variant>
        <vt:lpwstr>_Toc319579261</vt:lpwstr>
      </vt:variant>
      <vt:variant>
        <vt:i4>1835071</vt:i4>
      </vt:variant>
      <vt:variant>
        <vt:i4>86</vt:i4>
      </vt:variant>
      <vt:variant>
        <vt:i4>0</vt:i4>
      </vt:variant>
      <vt:variant>
        <vt:i4>5</vt:i4>
      </vt:variant>
      <vt:variant>
        <vt:lpwstr/>
      </vt:variant>
      <vt:variant>
        <vt:lpwstr>_Toc319579260</vt:lpwstr>
      </vt:variant>
      <vt:variant>
        <vt:i4>2031679</vt:i4>
      </vt:variant>
      <vt:variant>
        <vt:i4>80</vt:i4>
      </vt:variant>
      <vt:variant>
        <vt:i4>0</vt:i4>
      </vt:variant>
      <vt:variant>
        <vt:i4>5</vt:i4>
      </vt:variant>
      <vt:variant>
        <vt:lpwstr/>
      </vt:variant>
      <vt:variant>
        <vt:lpwstr>_Toc319579259</vt:lpwstr>
      </vt:variant>
      <vt:variant>
        <vt:i4>2031679</vt:i4>
      </vt:variant>
      <vt:variant>
        <vt:i4>74</vt:i4>
      </vt:variant>
      <vt:variant>
        <vt:i4>0</vt:i4>
      </vt:variant>
      <vt:variant>
        <vt:i4>5</vt:i4>
      </vt:variant>
      <vt:variant>
        <vt:lpwstr/>
      </vt:variant>
      <vt:variant>
        <vt:lpwstr>_Toc319579258</vt:lpwstr>
      </vt:variant>
      <vt:variant>
        <vt:i4>2031679</vt:i4>
      </vt:variant>
      <vt:variant>
        <vt:i4>68</vt:i4>
      </vt:variant>
      <vt:variant>
        <vt:i4>0</vt:i4>
      </vt:variant>
      <vt:variant>
        <vt:i4>5</vt:i4>
      </vt:variant>
      <vt:variant>
        <vt:lpwstr/>
      </vt:variant>
      <vt:variant>
        <vt:lpwstr>_Toc319579257</vt:lpwstr>
      </vt:variant>
      <vt:variant>
        <vt:i4>2031679</vt:i4>
      </vt:variant>
      <vt:variant>
        <vt:i4>62</vt:i4>
      </vt:variant>
      <vt:variant>
        <vt:i4>0</vt:i4>
      </vt:variant>
      <vt:variant>
        <vt:i4>5</vt:i4>
      </vt:variant>
      <vt:variant>
        <vt:lpwstr/>
      </vt:variant>
      <vt:variant>
        <vt:lpwstr>_Toc319579256</vt:lpwstr>
      </vt:variant>
      <vt:variant>
        <vt:i4>2031679</vt:i4>
      </vt:variant>
      <vt:variant>
        <vt:i4>56</vt:i4>
      </vt:variant>
      <vt:variant>
        <vt:i4>0</vt:i4>
      </vt:variant>
      <vt:variant>
        <vt:i4>5</vt:i4>
      </vt:variant>
      <vt:variant>
        <vt:lpwstr/>
      </vt:variant>
      <vt:variant>
        <vt:lpwstr>_Toc319579255</vt:lpwstr>
      </vt:variant>
      <vt:variant>
        <vt:i4>2031679</vt:i4>
      </vt:variant>
      <vt:variant>
        <vt:i4>50</vt:i4>
      </vt:variant>
      <vt:variant>
        <vt:i4>0</vt:i4>
      </vt:variant>
      <vt:variant>
        <vt:i4>5</vt:i4>
      </vt:variant>
      <vt:variant>
        <vt:lpwstr/>
      </vt:variant>
      <vt:variant>
        <vt:lpwstr>_Toc319579254</vt:lpwstr>
      </vt:variant>
      <vt:variant>
        <vt:i4>2031679</vt:i4>
      </vt:variant>
      <vt:variant>
        <vt:i4>44</vt:i4>
      </vt:variant>
      <vt:variant>
        <vt:i4>0</vt:i4>
      </vt:variant>
      <vt:variant>
        <vt:i4>5</vt:i4>
      </vt:variant>
      <vt:variant>
        <vt:lpwstr/>
      </vt:variant>
      <vt:variant>
        <vt:lpwstr>_Toc319579253</vt:lpwstr>
      </vt:variant>
      <vt:variant>
        <vt:i4>2031679</vt:i4>
      </vt:variant>
      <vt:variant>
        <vt:i4>38</vt:i4>
      </vt:variant>
      <vt:variant>
        <vt:i4>0</vt:i4>
      </vt:variant>
      <vt:variant>
        <vt:i4>5</vt:i4>
      </vt:variant>
      <vt:variant>
        <vt:lpwstr/>
      </vt:variant>
      <vt:variant>
        <vt:lpwstr>_Toc319579252</vt:lpwstr>
      </vt:variant>
      <vt:variant>
        <vt:i4>2031679</vt:i4>
      </vt:variant>
      <vt:variant>
        <vt:i4>32</vt:i4>
      </vt:variant>
      <vt:variant>
        <vt:i4>0</vt:i4>
      </vt:variant>
      <vt:variant>
        <vt:i4>5</vt:i4>
      </vt:variant>
      <vt:variant>
        <vt:lpwstr/>
      </vt:variant>
      <vt:variant>
        <vt:lpwstr>_Toc319579251</vt:lpwstr>
      </vt:variant>
      <vt:variant>
        <vt:i4>2031679</vt:i4>
      </vt:variant>
      <vt:variant>
        <vt:i4>26</vt:i4>
      </vt:variant>
      <vt:variant>
        <vt:i4>0</vt:i4>
      </vt:variant>
      <vt:variant>
        <vt:i4>5</vt:i4>
      </vt:variant>
      <vt:variant>
        <vt:lpwstr/>
      </vt:variant>
      <vt:variant>
        <vt:lpwstr>_Toc319579250</vt:lpwstr>
      </vt:variant>
      <vt:variant>
        <vt:i4>1966143</vt:i4>
      </vt:variant>
      <vt:variant>
        <vt:i4>20</vt:i4>
      </vt:variant>
      <vt:variant>
        <vt:i4>0</vt:i4>
      </vt:variant>
      <vt:variant>
        <vt:i4>5</vt:i4>
      </vt:variant>
      <vt:variant>
        <vt:lpwstr/>
      </vt:variant>
      <vt:variant>
        <vt:lpwstr>_Toc319579249</vt:lpwstr>
      </vt:variant>
      <vt:variant>
        <vt:i4>1966143</vt:i4>
      </vt:variant>
      <vt:variant>
        <vt:i4>14</vt:i4>
      </vt:variant>
      <vt:variant>
        <vt:i4>0</vt:i4>
      </vt:variant>
      <vt:variant>
        <vt:i4>5</vt:i4>
      </vt:variant>
      <vt:variant>
        <vt:lpwstr/>
      </vt:variant>
      <vt:variant>
        <vt:lpwstr>_Toc319579248</vt:lpwstr>
      </vt:variant>
      <vt:variant>
        <vt:i4>1966143</vt:i4>
      </vt:variant>
      <vt:variant>
        <vt:i4>8</vt:i4>
      </vt:variant>
      <vt:variant>
        <vt:i4>0</vt:i4>
      </vt:variant>
      <vt:variant>
        <vt:i4>5</vt:i4>
      </vt:variant>
      <vt:variant>
        <vt:lpwstr/>
      </vt:variant>
      <vt:variant>
        <vt:lpwstr>_Toc319579247</vt:lpwstr>
      </vt:variant>
      <vt:variant>
        <vt:i4>1966143</vt:i4>
      </vt:variant>
      <vt:variant>
        <vt:i4>2</vt:i4>
      </vt:variant>
      <vt:variant>
        <vt:i4>0</vt:i4>
      </vt:variant>
      <vt:variant>
        <vt:i4>5</vt:i4>
      </vt:variant>
      <vt:variant>
        <vt:lpwstr/>
      </vt:variant>
      <vt:variant>
        <vt:lpwstr>_Toc319579246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Manukau Institute of Technology (MIT) Policy Template</dc:title>
  <dc:creator>Niki Bailey</dc:creator>
  <dc:description>March 2012</dc:description>
  <cp:lastModifiedBy>Chris Mayhew</cp:lastModifiedBy>
  <cp:revision>2</cp:revision>
  <cp:lastPrinted>2013-11-05T18:40:00Z</cp:lastPrinted>
  <dcterms:created xsi:type="dcterms:W3CDTF">2017-08-22T04:44:00Z</dcterms:created>
  <dcterms:modified xsi:type="dcterms:W3CDTF">2017-08-22T04:44:00Z</dcterms:modified>
  <cp:category>Template for 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