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jc w:val="center"/>
      </w:pPr>
      <w:r>
        <w:rPr>
          <w:b/>
          <w:bCs/>
          <w:color w:val="1F3864"/>
          <w:sz w:val="40"/>
          <w:szCs w:val="40"/>
        </w:rPr>
        <w:t xml:space="preserve">COMMERCIAL CREDIT ANALYSIS</w:t>
      </w:r>
    </w:p>
    <w:p>
      <w:pPr>
        <w:spacing w:after="40"/>
        <w:jc w:val="center"/>
      </w:pPr>
      <w:r>
        <w:rPr>
          <w:b/>
          <w:bCs/>
          <w:color w:val="000000"/>
          <w:sz w:val="30"/>
          <w:szCs w:val="30"/>
        </w:rPr>
        <w:t xml:space="preserve">Starbucks Corporation (NASDAQ: SBUX)</w:t>
      </w:r>
    </w:p>
    <w:p>
      <w:pPr>
        <w:spacing w:after="300"/>
        <w:jc w:val="center"/>
      </w:pPr>
      <w:r>
        <w:rPr>
          <w:i/>
          <w:iCs/>
          <w:color w:val="595959"/>
          <w:sz w:val="20"/>
          <w:szCs w:val="20"/>
        </w:rPr>
        <w:t xml:space="preserve">Prepared for: Commercial Banking Internship Application Portfolio</w:t>
      </w:r>
    </w:p>
    <w:p>
      <w:pPr>
        <w:pBdr>
          <w:bottom w:val="single" w:color="1F3864" w:sz="12" w:space="2"/>
        </w:pBdr>
        <w:spacing w:after="200"/>
      </w:pPr>
    </w:p>
    <w:p>
      <w:pPr>
        <w:pStyle w:val="Heading1"/>
        <w:pBdr>
          <w:bottom w:val="single" w:color="1F3864" w:sz="6" w:space="4"/>
        </w:pBdr>
        <w:spacing w:after="160" w:before="320"/>
      </w:pPr>
      <w:r>
        <w:rPr>
          <w:b/>
          <w:bCs/>
          <w:color w:val="1F3864"/>
          <w:sz w:val="28"/>
          <w:szCs w:val="28"/>
        </w:rPr>
        <w:t xml:space="preserve">1. Company Overview</w:t>
      </w:r>
    </w:p>
    <w:p>
      <w:pPr>
        <w:spacing w:after="160" w:line="276"/>
      </w:pPr>
      <w:r>
        <w:rPr>
          <w:sz w:val="21"/>
          <w:szCs w:val="21"/>
        </w:rPr>
        <w:t xml:space="preserve">Starbucks Corporation is the world's largest specialty coffee roaster and retailer, operating 40,990 stores globally as of fiscal year-end September 28, 2025 (“FY2025”), including 16,864 stores in the United States and 8,011 in China. The company operates through three reportable segments – North America, International, and Channel Development – plus a Corporate and Other cost center, and its stock trades on the Nasdaq under the ticker SBUX.</w:t>
      </w:r>
    </w:p>
    <w:p>
      <w:pPr>
        <w:spacing w:after="160" w:line="276"/>
      </w:pPr>
      <w:r>
        <w:rPr>
          <w:sz w:val="21"/>
          <w:szCs w:val="21"/>
        </w:rPr>
        <w:t xml:space="preserve">In fiscal 2025, Starbucks was one year into its “Back to Starbucks” turnaround strategy under Chairman and CEO Brian Niccol, aimed at reversing several years of declining comparable store sales. As part of this plan, the company announced a restructuring program in September 2025 involving the closure of underperforming coffeehouses (627 stores closed in Q4 alone) and a simplification of its corporate support organization. Q4 FY2025 marked the first quarter of positive global comparable store sales growth in seven quarters, an early signal that the turnaround may be gaining traction.</w:t>
      </w:r>
    </w:p>
    <w:p>
      <w:pPr>
        <w:spacing w:after="160" w:line="276"/>
      </w:pPr>
      <w:r>
        <w:rPr>
          <w:sz w:val="21"/>
          <w:szCs w:val="21"/>
        </w:rPr>
        <w:t xml:space="preserve">Loan Request (Hypothetical, for analysis purposes): Assume Starbucks has approached the bank requesting a $500 million senior unsecured term loan, five-year maturity, to help fund capital expenditures related to store remodels and the ongoing restructuring initiative, supplementing internally generated cash flow.</w:t>
      </w:r>
    </w:p>
    <w:p>
      <w:pPr>
        <w:pStyle w:val="Heading1"/>
        <w:pBdr>
          <w:bottom w:val="single" w:color="1F3864" w:sz="6" w:space="4"/>
        </w:pBdr>
        <w:spacing w:after="160" w:before="320"/>
      </w:pPr>
      <w:r>
        <w:rPr>
          <w:b/>
          <w:bCs/>
          <w:color w:val="1F3864"/>
          <w:sz w:val="28"/>
          <w:szCs w:val="28"/>
        </w:rPr>
        <w:t xml:space="preserve">2. Financial Statement Analysis</w:t>
      </w:r>
    </w:p>
    <w:p>
      <w:pPr>
        <w:pStyle w:val="Heading2"/>
        <w:spacing w:after="120" w:before="240"/>
      </w:pPr>
      <w:r>
        <w:rPr>
          <w:b/>
          <w:bCs/>
          <w:color w:val="1F3864"/>
          <w:sz w:val="24"/>
          <w:szCs w:val="24"/>
        </w:rPr>
        <w:t xml:space="preserve">2.1 Consolidated Income Statement (Fiscal Year Ended, $ in millions)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400"/>
        <w:gridCol w:w="1900"/>
        <w:gridCol w:w="1900"/>
        <w:gridCol w:w="1400"/>
      </w:tblGrid>
      <w:tr>
        <w:trPr>
          <w:tblHeader/>
        </w:trPr>
        <w:tc>
          <w:tcPr>
            <w:tcW w:type="dxa" w:w="3400"/>
            <w:shd w:fill="1F3864" w:color="auto" w:val="clear"/>
            <w:tcMar>
              <w:top w:type="dxa" w:w="60"/>
              <w:left w:type="dxa" w:w="100"/>
              <w:bottom w:type="dxa" w:w="60"/>
              <w:right w:type="dxa" w:w="100"/>
            </w:tcMar>
            <w:vAlign w:val="center"/>
          </w:tcPr>
          <w:p>
            <w:pPr>
              <w:jc w:val="left"/>
            </w:pPr>
            <w:r>
              <w:rPr>
                <w:b/>
                <w:bCs/>
                <w:color w:val="FFFFFF"/>
                <w:sz w:val="19"/>
                <w:szCs w:val="19"/>
              </w:rPr>
              <w:t xml:space="preserve">Line Item</w:t>
            </w:r>
          </w:p>
        </w:tc>
        <w:tc>
          <w:tcPr>
            <w:tcW w:type="dxa" w:w="1900"/>
            <w:shd w:fill="1F3864" w:color="auto" w:val="clear"/>
            <w:tcMar>
              <w:top w:type="dxa" w:w="60"/>
              <w:left w:type="dxa" w:w="100"/>
              <w:bottom w:type="dxa" w:w="60"/>
              <w:right w:type="dxa" w:w="100"/>
            </w:tcMar>
            <w:vAlign w:val="center"/>
          </w:tcPr>
          <w:p>
            <w:pPr>
              <w:jc w:val="right"/>
            </w:pPr>
            <w:r>
              <w:rPr>
                <w:b/>
                <w:bCs/>
                <w:color w:val="FFFFFF"/>
                <w:sz w:val="19"/>
                <w:szCs w:val="19"/>
              </w:rPr>
              <w:t xml:space="preserve">FY2025</w:t>
            </w:r>
          </w:p>
        </w:tc>
        <w:tc>
          <w:tcPr>
            <w:tcW w:type="dxa" w:w="1900"/>
            <w:shd w:fill="1F3864" w:color="auto" w:val="clear"/>
            <w:tcMar>
              <w:top w:type="dxa" w:w="60"/>
              <w:left w:type="dxa" w:w="100"/>
              <w:bottom w:type="dxa" w:w="60"/>
              <w:right w:type="dxa" w:w="100"/>
            </w:tcMar>
            <w:vAlign w:val="center"/>
          </w:tcPr>
          <w:p>
            <w:pPr>
              <w:jc w:val="right"/>
            </w:pPr>
            <w:r>
              <w:rPr>
                <w:b/>
                <w:bCs/>
                <w:color w:val="FFFFFF"/>
                <w:sz w:val="19"/>
                <w:szCs w:val="19"/>
              </w:rPr>
              <w:t xml:space="preserve">FY2024</w:t>
            </w:r>
          </w:p>
        </w:tc>
        <w:tc>
          <w:tcPr>
            <w:tcW w:type="dxa" w:w="1400"/>
            <w:shd w:fill="1F3864" w:color="auto" w:val="clear"/>
            <w:tcMar>
              <w:top w:type="dxa" w:w="60"/>
              <w:left w:type="dxa" w:w="100"/>
              <w:bottom w:type="dxa" w:w="60"/>
              <w:right w:type="dxa" w:w="100"/>
            </w:tcMar>
            <w:vAlign w:val="center"/>
          </w:tcPr>
          <w:p>
            <w:pPr>
              <w:jc w:val="right"/>
            </w:pPr>
            <w:r>
              <w:rPr>
                <w:b/>
                <w:bCs/>
                <w:color w:val="FFFFFF"/>
                <w:sz w:val="19"/>
                <w:szCs w:val="19"/>
              </w:rPr>
              <w:t xml:space="preserve">% Chg</w:t>
            </w:r>
          </w:p>
        </w:tc>
      </w:tr>
      <w:tr>
        <w:tc>
          <w:tcPr>
            <w:tcW w:type="dxa" w:w="3400"/>
            <w:tcMar>
              <w:top w:type="dxa" w:w="60"/>
              <w:left w:type="dxa" w:w="100"/>
              <w:bottom w:type="dxa" w:w="60"/>
              <w:right w:type="dxa" w:w="100"/>
            </w:tcMar>
            <w:vAlign w:val="center"/>
          </w:tcPr>
          <w:p>
            <w:pPr>
              <w:jc w:val="left"/>
            </w:pPr>
            <w:r>
              <w:rPr>
                <w:b w:val="false"/>
                <w:bCs w:val="false"/>
                <w:color w:val="000000"/>
                <w:sz w:val="19"/>
                <w:szCs w:val="19"/>
              </w:rPr>
              <w:t xml:space="preserve">Total net revenues</w:t>
            </w:r>
          </w:p>
        </w:tc>
        <w:tc>
          <w:tcPr>
            <w:tcW w:type="dxa" w:w="1900"/>
            <w:tcMar>
              <w:top w:type="dxa" w:w="60"/>
              <w:left w:type="dxa" w:w="100"/>
              <w:bottom w:type="dxa" w:w="60"/>
              <w:right w:type="dxa" w:w="100"/>
            </w:tcMar>
            <w:vAlign w:val="center"/>
          </w:tcPr>
          <w:p>
            <w:pPr>
              <w:jc w:val="right"/>
            </w:pPr>
            <w:r>
              <w:rPr>
                <w:b w:val="false"/>
                <w:bCs w:val="false"/>
                <w:color w:val="000000"/>
                <w:sz w:val="19"/>
                <w:szCs w:val="19"/>
              </w:rPr>
              <w:t xml:space="preserve">37,184.4</w:t>
            </w:r>
          </w:p>
        </w:tc>
        <w:tc>
          <w:tcPr>
            <w:tcW w:type="dxa" w:w="1900"/>
            <w:tcMar>
              <w:top w:type="dxa" w:w="60"/>
              <w:left w:type="dxa" w:w="100"/>
              <w:bottom w:type="dxa" w:w="60"/>
              <w:right w:type="dxa" w:w="100"/>
            </w:tcMar>
            <w:vAlign w:val="center"/>
          </w:tcPr>
          <w:p>
            <w:pPr>
              <w:jc w:val="right"/>
            </w:pPr>
            <w:r>
              <w:rPr>
                <w:b w:val="false"/>
                <w:bCs w:val="false"/>
                <w:color w:val="000000"/>
                <w:sz w:val="19"/>
                <w:szCs w:val="19"/>
              </w:rPr>
              <w:t xml:space="preserve">36,176.2</w:t>
            </w:r>
          </w:p>
        </w:tc>
        <w:tc>
          <w:tcPr>
            <w:tcW w:type="dxa" w:w="1400"/>
            <w:tcMar>
              <w:top w:type="dxa" w:w="60"/>
              <w:left w:type="dxa" w:w="100"/>
              <w:bottom w:type="dxa" w:w="60"/>
              <w:right w:type="dxa" w:w="100"/>
            </w:tcMar>
            <w:vAlign w:val="center"/>
          </w:tcPr>
          <w:p>
            <w:pPr>
              <w:jc w:val="right"/>
            </w:pPr>
            <w:r>
              <w:rPr>
                <w:b w:val="false"/>
                <w:bCs w:val="false"/>
                <w:color w:val="000000"/>
                <w:sz w:val="19"/>
                <w:szCs w:val="19"/>
              </w:rPr>
              <w:t xml:space="preserve">+2.8%</w:t>
            </w:r>
          </w:p>
        </w:tc>
      </w:tr>
      <w:tr>
        <w:tc>
          <w:tcPr>
            <w:tcW w:type="dxa" w:w="3400"/>
            <w:shd w:fill="F2F2F2" w:color="auto" w:val="clear"/>
            <w:tcMar>
              <w:top w:type="dxa" w:w="60"/>
              <w:left w:type="dxa" w:w="100"/>
              <w:bottom w:type="dxa" w:w="60"/>
              <w:right w:type="dxa" w:w="100"/>
            </w:tcMar>
            <w:vAlign w:val="center"/>
          </w:tcPr>
          <w:p>
            <w:pPr>
              <w:jc w:val="left"/>
            </w:pPr>
            <w:r>
              <w:rPr>
                <w:b w:val="false"/>
                <w:bCs w:val="false"/>
                <w:color w:val="000000"/>
                <w:sz w:val="19"/>
                <w:szCs w:val="19"/>
              </w:rPr>
              <w:t xml:space="preserve">Product &amp; distribution costs</w:t>
            </w:r>
          </w:p>
        </w:tc>
        <w:tc>
          <w:tcPr>
            <w:tcW w:type="dxa" w:w="1900"/>
            <w:shd w:fill="F2F2F2" w:color="auto" w:val="clear"/>
            <w:tcMar>
              <w:top w:type="dxa" w:w="60"/>
              <w:left w:type="dxa" w:w="100"/>
              <w:bottom w:type="dxa" w:w="60"/>
              <w:right w:type="dxa" w:w="100"/>
            </w:tcMar>
            <w:vAlign w:val="center"/>
          </w:tcPr>
          <w:p>
            <w:pPr>
              <w:jc w:val="right"/>
            </w:pPr>
            <w:r>
              <w:rPr>
                <w:b w:val="false"/>
                <w:bCs w:val="false"/>
                <w:color w:val="000000"/>
                <w:sz w:val="19"/>
                <w:szCs w:val="19"/>
              </w:rPr>
              <w:t xml:space="preserve">11,658.2</w:t>
            </w:r>
          </w:p>
        </w:tc>
        <w:tc>
          <w:tcPr>
            <w:tcW w:type="dxa" w:w="1900"/>
            <w:shd w:fill="F2F2F2" w:color="auto" w:val="clear"/>
            <w:tcMar>
              <w:top w:type="dxa" w:w="60"/>
              <w:left w:type="dxa" w:w="100"/>
              <w:bottom w:type="dxa" w:w="60"/>
              <w:right w:type="dxa" w:w="100"/>
            </w:tcMar>
            <w:vAlign w:val="center"/>
          </w:tcPr>
          <w:p>
            <w:pPr>
              <w:jc w:val="right"/>
            </w:pPr>
            <w:r>
              <w:rPr>
                <w:b w:val="false"/>
                <w:bCs w:val="false"/>
                <w:color w:val="000000"/>
                <w:sz w:val="19"/>
                <w:szCs w:val="19"/>
              </w:rPr>
              <w:t xml:space="preserve">11,180.6</w:t>
            </w:r>
          </w:p>
        </w:tc>
        <w:tc>
          <w:tcPr>
            <w:tcW w:type="dxa" w:w="1400"/>
            <w:shd w:fill="F2F2F2" w:color="auto" w:val="clear"/>
            <w:tcMar>
              <w:top w:type="dxa" w:w="60"/>
              <w:left w:type="dxa" w:w="100"/>
              <w:bottom w:type="dxa" w:w="60"/>
              <w:right w:type="dxa" w:w="100"/>
            </w:tcMar>
            <w:vAlign w:val="center"/>
          </w:tcPr>
          <w:p>
            <w:pPr>
              <w:jc w:val="right"/>
            </w:pPr>
            <w:r>
              <w:rPr>
                <w:b w:val="false"/>
                <w:bCs w:val="false"/>
                <w:color w:val="000000"/>
                <w:sz w:val="19"/>
                <w:szCs w:val="19"/>
              </w:rPr>
              <w:t xml:space="preserve">+4.3%</w:t>
            </w:r>
          </w:p>
        </w:tc>
      </w:tr>
      <w:tr>
        <w:tc>
          <w:tcPr>
            <w:tcW w:type="dxa" w:w="3400"/>
            <w:tcMar>
              <w:top w:type="dxa" w:w="60"/>
              <w:left w:type="dxa" w:w="100"/>
              <w:bottom w:type="dxa" w:w="60"/>
              <w:right w:type="dxa" w:w="100"/>
            </w:tcMar>
            <w:vAlign w:val="center"/>
          </w:tcPr>
          <w:p>
            <w:pPr>
              <w:jc w:val="left"/>
            </w:pPr>
            <w:r>
              <w:rPr>
                <w:b w:val="false"/>
                <w:bCs w:val="false"/>
                <w:color w:val="000000"/>
                <w:sz w:val="19"/>
                <w:szCs w:val="19"/>
              </w:rPr>
              <w:t xml:space="preserve">Store operating expenses</w:t>
            </w:r>
          </w:p>
        </w:tc>
        <w:tc>
          <w:tcPr>
            <w:tcW w:type="dxa" w:w="1900"/>
            <w:tcMar>
              <w:top w:type="dxa" w:w="60"/>
              <w:left w:type="dxa" w:w="100"/>
              <w:bottom w:type="dxa" w:w="60"/>
              <w:right w:type="dxa" w:w="100"/>
            </w:tcMar>
            <w:vAlign w:val="center"/>
          </w:tcPr>
          <w:p>
            <w:pPr>
              <w:jc w:val="right"/>
            </w:pPr>
            <w:r>
              <w:rPr>
                <w:b w:val="false"/>
                <w:bCs w:val="false"/>
                <w:color w:val="000000"/>
                <w:sz w:val="19"/>
                <w:szCs w:val="19"/>
              </w:rPr>
              <w:t xml:space="preserve">17,058.9</w:t>
            </w:r>
          </w:p>
        </w:tc>
        <w:tc>
          <w:tcPr>
            <w:tcW w:type="dxa" w:w="1900"/>
            <w:tcMar>
              <w:top w:type="dxa" w:w="60"/>
              <w:left w:type="dxa" w:w="100"/>
              <w:bottom w:type="dxa" w:w="60"/>
              <w:right w:type="dxa" w:w="100"/>
            </w:tcMar>
            <w:vAlign w:val="center"/>
          </w:tcPr>
          <w:p>
            <w:pPr>
              <w:jc w:val="right"/>
            </w:pPr>
            <w:r>
              <w:rPr>
                <w:b w:val="false"/>
                <w:bCs w:val="false"/>
                <w:color w:val="000000"/>
                <w:sz w:val="19"/>
                <w:szCs w:val="19"/>
              </w:rPr>
              <w:t xml:space="preserve">15,286.5</w:t>
            </w:r>
          </w:p>
        </w:tc>
        <w:tc>
          <w:tcPr>
            <w:tcW w:type="dxa" w:w="1400"/>
            <w:tcMar>
              <w:top w:type="dxa" w:w="60"/>
              <w:left w:type="dxa" w:w="100"/>
              <w:bottom w:type="dxa" w:w="60"/>
              <w:right w:type="dxa" w:w="100"/>
            </w:tcMar>
            <w:vAlign w:val="center"/>
          </w:tcPr>
          <w:p>
            <w:pPr>
              <w:jc w:val="right"/>
            </w:pPr>
            <w:r>
              <w:rPr>
                <w:b w:val="false"/>
                <w:bCs w:val="false"/>
                <w:color w:val="000000"/>
                <w:sz w:val="19"/>
                <w:szCs w:val="19"/>
              </w:rPr>
              <w:t xml:space="preserve">+11.6%</w:t>
            </w:r>
          </w:p>
        </w:tc>
      </w:tr>
      <w:tr>
        <w:tc>
          <w:tcPr>
            <w:tcW w:type="dxa" w:w="3400"/>
            <w:shd w:fill="F2F2F2" w:color="auto" w:val="clear"/>
            <w:tcMar>
              <w:top w:type="dxa" w:w="60"/>
              <w:left w:type="dxa" w:w="100"/>
              <w:bottom w:type="dxa" w:w="60"/>
              <w:right w:type="dxa" w:w="100"/>
            </w:tcMar>
            <w:vAlign w:val="center"/>
          </w:tcPr>
          <w:p>
            <w:pPr>
              <w:jc w:val="left"/>
            </w:pPr>
            <w:r>
              <w:rPr>
                <w:b w:val="false"/>
                <w:bCs w:val="false"/>
                <w:color w:val="000000"/>
                <w:sz w:val="19"/>
                <w:szCs w:val="19"/>
              </w:rPr>
              <w:t xml:space="preserve">Other operating expenses</w:t>
            </w:r>
          </w:p>
        </w:tc>
        <w:tc>
          <w:tcPr>
            <w:tcW w:type="dxa" w:w="1900"/>
            <w:shd w:fill="F2F2F2" w:color="auto" w:val="clear"/>
            <w:tcMar>
              <w:top w:type="dxa" w:w="60"/>
              <w:left w:type="dxa" w:w="100"/>
              <w:bottom w:type="dxa" w:w="60"/>
              <w:right w:type="dxa" w:w="100"/>
            </w:tcMar>
            <w:vAlign w:val="center"/>
          </w:tcPr>
          <w:p>
            <w:pPr>
              <w:jc w:val="right"/>
            </w:pPr>
            <w:r>
              <w:rPr>
                <w:b w:val="false"/>
                <w:bCs w:val="false"/>
                <w:color w:val="000000"/>
                <w:sz w:val="19"/>
                <w:szCs w:val="19"/>
              </w:rPr>
              <w:t xml:space="preserve">584.6</w:t>
            </w:r>
          </w:p>
        </w:tc>
        <w:tc>
          <w:tcPr>
            <w:tcW w:type="dxa" w:w="1900"/>
            <w:shd w:fill="F2F2F2" w:color="auto" w:val="clear"/>
            <w:tcMar>
              <w:top w:type="dxa" w:w="60"/>
              <w:left w:type="dxa" w:w="100"/>
              <w:bottom w:type="dxa" w:w="60"/>
              <w:right w:type="dxa" w:w="100"/>
            </w:tcMar>
            <w:vAlign w:val="center"/>
          </w:tcPr>
          <w:p>
            <w:pPr>
              <w:jc w:val="right"/>
            </w:pPr>
            <w:r>
              <w:rPr>
                <w:b w:val="false"/>
                <w:bCs w:val="false"/>
                <w:color w:val="000000"/>
                <w:sz w:val="19"/>
                <w:szCs w:val="19"/>
              </w:rPr>
              <w:t xml:space="preserve">565.6</w:t>
            </w:r>
          </w:p>
        </w:tc>
        <w:tc>
          <w:tcPr>
            <w:tcW w:type="dxa" w:w="1400"/>
            <w:shd w:fill="F2F2F2" w:color="auto" w:val="clear"/>
            <w:tcMar>
              <w:top w:type="dxa" w:w="60"/>
              <w:left w:type="dxa" w:w="100"/>
              <w:bottom w:type="dxa" w:w="60"/>
              <w:right w:type="dxa" w:w="100"/>
            </w:tcMar>
            <w:vAlign w:val="center"/>
          </w:tcPr>
          <w:p>
            <w:pPr>
              <w:jc w:val="right"/>
            </w:pPr>
            <w:r>
              <w:rPr>
                <w:b w:val="false"/>
                <w:bCs w:val="false"/>
                <w:color w:val="000000"/>
                <w:sz w:val="19"/>
                <w:szCs w:val="19"/>
              </w:rPr>
              <w:t xml:space="preserve">+3.4%</w:t>
            </w:r>
          </w:p>
        </w:tc>
      </w:tr>
      <w:tr>
        <w:tc>
          <w:tcPr>
            <w:tcW w:type="dxa" w:w="3400"/>
            <w:tcMar>
              <w:top w:type="dxa" w:w="60"/>
              <w:left w:type="dxa" w:w="100"/>
              <w:bottom w:type="dxa" w:w="60"/>
              <w:right w:type="dxa" w:w="100"/>
            </w:tcMar>
            <w:vAlign w:val="center"/>
          </w:tcPr>
          <w:p>
            <w:pPr>
              <w:jc w:val="left"/>
            </w:pPr>
            <w:r>
              <w:rPr>
                <w:b w:val="false"/>
                <w:bCs w:val="false"/>
                <w:color w:val="000000"/>
                <w:sz w:val="19"/>
                <w:szCs w:val="19"/>
              </w:rPr>
              <w:t xml:space="preserve">Depreciation &amp; amortization</w:t>
            </w:r>
          </w:p>
        </w:tc>
        <w:tc>
          <w:tcPr>
            <w:tcW w:type="dxa" w:w="1900"/>
            <w:tcMar>
              <w:top w:type="dxa" w:w="60"/>
              <w:left w:type="dxa" w:w="100"/>
              <w:bottom w:type="dxa" w:w="60"/>
              <w:right w:type="dxa" w:w="100"/>
            </w:tcMar>
            <w:vAlign w:val="center"/>
          </w:tcPr>
          <w:p>
            <w:pPr>
              <w:jc w:val="right"/>
            </w:pPr>
            <w:r>
              <w:rPr>
                <w:b w:val="false"/>
                <w:bCs w:val="false"/>
                <w:color w:val="000000"/>
                <w:sz w:val="19"/>
                <w:szCs w:val="19"/>
              </w:rPr>
              <w:t xml:space="preserve">1,684.7</w:t>
            </w:r>
          </w:p>
        </w:tc>
        <w:tc>
          <w:tcPr>
            <w:tcW w:type="dxa" w:w="1900"/>
            <w:tcMar>
              <w:top w:type="dxa" w:w="60"/>
              <w:left w:type="dxa" w:w="100"/>
              <w:bottom w:type="dxa" w:w="60"/>
              <w:right w:type="dxa" w:w="100"/>
            </w:tcMar>
            <w:vAlign w:val="center"/>
          </w:tcPr>
          <w:p>
            <w:pPr>
              <w:jc w:val="right"/>
            </w:pPr>
            <w:r>
              <w:rPr>
                <w:b w:val="false"/>
                <w:bCs w:val="false"/>
                <w:color w:val="000000"/>
                <w:sz w:val="19"/>
                <w:szCs w:val="19"/>
              </w:rPr>
              <w:t xml:space="preserve">1,512.6</w:t>
            </w:r>
          </w:p>
        </w:tc>
        <w:tc>
          <w:tcPr>
            <w:tcW w:type="dxa" w:w="1400"/>
            <w:tcMar>
              <w:top w:type="dxa" w:w="60"/>
              <w:left w:type="dxa" w:w="100"/>
              <w:bottom w:type="dxa" w:w="60"/>
              <w:right w:type="dxa" w:w="100"/>
            </w:tcMar>
            <w:vAlign w:val="center"/>
          </w:tcPr>
          <w:p>
            <w:pPr>
              <w:jc w:val="right"/>
            </w:pPr>
            <w:r>
              <w:rPr>
                <w:b w:val="false"/>
                <w:bCs w:val="false"/>
                <w:color w:val="000000"/>
                <w:sz w:val="19"/>
                <w:szCs w:val="19"/>
              </w:rPr>
              <w:t xml:space="preserve">+11.4%</w:t>
            </w:r>
          </w:p>
        </w:tc>
      </w:tr>
      <w:tr>
        <w:tc>
          <w:tcPr>
            <w:tcW w:type="dxa" w:w="3400"/>
            <w:shd w:fill="F2F2F2" w:color="auto" w:val="clear"/>
            <w:tcMar>
              <w:top w:type="dxa" w:w="60"/>
              <w:left w:type="dxa" w:w="100"/>
              <w:bottom w:type="dxa" w:w="60"/>
              <w:right w:type="dxa" w:w="100"/>
            </w:tcMar>
            <w:vAlign w:val="center"/>
          </w:tcPr>
          <w:p>
            <w:pPr>
              <w:jc w:val="left"/>
            </w:pPr>
            <w:r>
              <w:rPr>
                <w:b w:val="false"/>
                <w:bCs w:val="false"/>
                <w:color w:val="000000"/>
                <w:sz w:val="19"/>
                <w:szCs w:val="19"/>
              </w:rPr>
              <w:t xml:space="preserve">General &amp; administrative expenses</w:t>
            </w:r>
          </w:p>
        </w:tc>
        <w:tc>
          <w:tcPr>
            <w:tcW w:type="dxa" w:w="1900"/>
            <w:shd w:fill="F2F2F2" w:color="auto" w:val="clear"/>
            <w:tcMar>
              <w:top w:type="dxa" w:w="60"/>
              <w:left w:type="dxa" w:w="100"/>
              <w:bottom w:type="dxa" w:w="60"/>
              <w:right w:type="dxa" w:w="100"/>
            </w:tcMar>
            <w:vAlign w:val="center"/>
          </w:tcPr>
          <w:p>
            <w:pPr>
              <w:jc w:val="right"/>
            </w:pPr>
            <w:r>
              <w:rPr>
                <w:b w:val="false"/>
                <w:bCs w:val="false"/>
                <w:color w:val="000000"/>
                <w:sz w:val="19"/>
                <w:szCs w:val="19"/>
              </w:rPr>
              <w:t xml:space="preserve">2,617.2</w:t>
            </w:r>
          </w:p>
        </w:tc>
        <w:tc>
          <w:tcPr>
            <w:tcW w:type="dxa" w:w="1900"/>
            <w:shd w:fill="F2F2F2" w:color="auto" w:val="clear"/>
            <w:tcMar>
              <w:top w:type="dxa" w:w="60"/>
              <w:left w:type="dxa" w:w="100"/>
              <w:bottom w:type="dxa" w:w="60"/>
              <w:right w:type="dxa" w:w="100"/>
            </w:tcMar>
            <w:vAlign w:val="center"/>
          </w:tcPr>
          <w:p>
            <w:pPr>
              <w:jc w:val="right"/>
            </w:pPr>
            <w:r>
              <w:rPr>
                <w:b w:val="false"/>
                <w:bCs w:val="false"/>
                <w:color w:val="000000"/>
                <w:sz w:val="19"/>
                <w:szCs w:val="19"/>
              </w:rPr>
              <w:t xml:space="preserve">2,523.3</w:t>
            </w:r>
          </w:p>
        </w:tc>
        <w:tc>
          <w:tcPr>
            <w:tcW w:type="dxa" w:w="1400"/>
            <w:shd w:fill="F2F2F2" w:color="auto" w:val="clear"/>
            <w:tcMar>
              <w:top w:type="dxa" w:w="60"/>
              <w:left w:type="dxa" w:w="100"/>
              <w:bottom w:type="dxa" w:w="60"/>
              <w:right w:type="dxa" w:w="100"/>
            </w:tcMar>
            <w:vAlign w:val="center"/>
          </w:tcPr>
          <w:p>
            <w:pPr>
              <w:jc w:val="right"/>
            </w:pPr>
            <w:r>
              <w:rPr>
                <w:b w:val="false"/>
                <w:bCs w:val="false"/>
                <w:color w:val="000000"/>
                <w:sz w:val="19"/>
                <w:szCs w:val="19"/>
              </w:rPr>
              <w:t xml:space="preserve">+3.7%</w:t>
            </w:r>
          </w:p>
        </w:tc>
      </w:tr>
      <w:tr>
        <w:tc>
          <w:tcPr>
            <w:tcW w:type="dxa" w:w="3400"/>
            <w:tcMar>
              <w:top w:type="dxa" w:w="60"/>
              <w:left w:type="dxa" w:w="100"/>
              <w:bottom w:type="dxa" w:w="60"/>
              <w:right w:type="dxa" w:w="100"/>
            </w:tcMar>
            <w:vAlign w:val="center"/>
          </w:tcPr>
          <w:p>
            <w:pPr>
              <w:jc w:val="left"/>
            </w:pPr>
            <w:r>
              <w:rPr>
                <w:b w:val="false"/>
                <w:bCs w:val="false"/>
                <w:color w:val="000000"/>
                <w:sz w:val="19"/>
                <w:szCs w:val="19"/>
              </w:rPr>
              <w:t xml:space="preserve">Restructuring &amp; impairments</w:t>
            </w:r>
          </w:p>
        </w:tc>
        <w:tc>
          <w:tcPr>
            <w:tcW w:type="dxa" w:w="1900"/>
            <w:tcMar>
              <w:top w:type="dxa" w:w="60"/>
              <w:left w:type="dxa" w:w="100"/>
              <w:bottom w:type="dxa" w:w="60"/>
              <w:right w:type="dxa" w:w="100"/>
            </w:tcMar>
            <w:vAlign w:val="center"/>
          </w:tcPr>
          <w:p>
            <w:pPr>
              <w:jc w:val="right"/>
            </w:pPr>
            <w:r>
              <w:rPr>
                <w:b w:val="false"/>
                <w:bCs w:val="false"/>
                <w:color w:val="000000"/>
                <w:sz w:val="19"/>
                <w:szCs w:val="19"/>
              </w:rPr>
              <w:t xml:space="preserve">892.0</w:t>
            </w:r>
          </w:p>
        </w:tc>
        <w:tc>
          <w:tcPr>
            <w:tcW w:type="dxa" w:w="1900"/>
            <w:tcMar>
              <w:top w:type="dxa" w:w="60"/>
              <w:left w:type="dxa" w:w="100"/>
              <w:bottom w:type="dxa" w:w="60"/>
              <w:right w:type="dxa" w:w="100"/>
            </w:tcMar>
            <w:vAlign w:val="center"/>
          </w:tcPr>
          <w:p>
            <w:pPr>
              <w:jc w:val="right"/>
            </w:pPr>
            <w:r>
              <w:rPr>
                <w:b w:val="false"/>
                <w:bCs w:val="false"/>
                <w:color w:val="000000"/>
                <w:sz w:val="19"/>
                <w:szCs w:val="19"/>
              </w:rPr>
              <w:t xml:space="preserve">—</w:t>
            </w:r>
          </w:p>
        </w:tc>
        <w:tc>
          <w:tcPr>
            <w:tcW w:type="dxa" w:w="1400"/>
            <w:tcMar>
              <w:top w:type="dxa" w:w="60"/>
              <w:left w:type="dxa" w:w="100"/>
              <w:bottom w:type="dxa" w:w="60"/>
              <w:right w:type="dxa" w:w="100"/>
            </w:tcMar>
            <w:vAlign w:val="center"/>
          </w:tcPr>
          <w:p>
            <w:pPr>
              <w:jc w:val="right"/>
            </w:pPr>
            <w:r>
              <w:rPr>
                <w:b w:val="false"/>
                <w:bCs w:val="false"/>
                <w:color w:val="000000"/>
                <w:sz w:val="19"/>
                <w:szCs w:val="19"/>
              </w:rPr>
              <w:t xml:space="preserve">n/m</w:t>
            </w:r>
          </w:p>
        </w:tc>
      </w:tr>
      <w:tr>
        <w:tc>
          <w:tcPr>
            <w:tcW w:type="dxa" w:w="3400"/>
            <w:shd w:fill="F2F2F2" w:color="auto" w:val="clear"/>
            <w:tcMar>
              <w:top w:type="dxa" w:w="60"/>
              <w:left w:type="dxa" w:w="100"/>
              <w:bottom w:type="dxa" w:w="60"/>
              <w:right w:type="dxa" w:w="100"/>
            </w:tcMar>
            <w:vAlign w:val="center"/>
          </w:tcPr>
          <w:p>
            <w:pPr>
              <w:jc w:val="left"/>
            </w:pPr>
            <w:r>
              <w:rPr>
                <w:b w:val="false"/>
                <w:bCs w:val="false"/>
                <w:color w:val="000000"/>
                <w:sz w:val="19"/>
                <w:szCs w:val="19"/>
              </w:rPr>
              <w:t xml:space="preserve">Total operating expenses</w:t>
            </w:r>
          </w:p>
        </w:tc>
        <w:tc>
          <w:tcPr>
            <w:tcW w:type="dxa" w:w="1900"/>
            <w:shd w:fill="F2F2F2" w:color="auto" w:val="clear"/>
            <w:tcMar>
              <w:top w:type="dxa" w:w="60"/>
              <w:left w:type="dxa" w:w="100"/>
              <w:bottom w:type="dxa" w:w="60"/>
              <w:right w:type="dxa" w:w="100"/>
            </w:tcMar>
            <w:vAlign w:val="center"/>
          </w:tcPr>
          <w:p>
            <w:pPr>
              <w:jc w:val="right"/>
            </w:pPr>
            <w:r>
              <w:rPr>
                <w:b w:val="false"/>
                <w:bCs w:val="false"/>
                <w:color w:val="000000"/>
                <w:sz w:val="19"/>
                <w:szCs w:val="19"/>
              </w:rPr>
              <w:t xml:space="preserve">34,495.6</w:t>
            </w:r>
          </w:p>
        </w:tc>
        <w:tc>
          <w:tcPr>
            <w:tcW w:type="dxa" w:w="1900"/>
            <w:shd w:fill="F2F2F2" w:color="auto" w:val="clear"/>
            <w:tcMar>
              <w:top w:type="dxa" w:w="60"/>
              <w:left w:type="dxa" w:w="100"/>
              <w:bottom w:type="dxa" w:w="60"/>
              <w:right w:type="dxa" w:w="100"/>
            </w:tcMar>
            <w:vAlign w:val="center"/>
          </w:tcPr>
          <w:p>
            <w:pPr>
              <w:jc w:val="right"/>
            </w:pPr>
            <w:r>
              <w:rPr>
                <w:b w:val="false"/>
                <w:bCs w:val="false"/>
                <w:color w:val="000000"/>
                <w:sz w:val="19"/>
                <w:szCs w:val="19"/>
              </w:rPr>
              <w:t xml:space="preserve">31,068.6</w:t>
            </w:r>
          </w:p>
        </w:tc>
        <w:tc>
          <w:tcPr>
            <w:tcW w:type="dxa" w:w="1400"/>
            <w:shd w:fill="F2F2F2" w:color="auto" w:val="clear"/>
            <w:tcMar>
              <w:top w:type="dxa" w:w="60"/>
              <w:left w:type="dxa" w:w="100"/>
              <w:bottom w:type="dxa" w:w="60"/>
              <w:right w:type="dxa" w:w="100"/>
            </w:tcMar>
            <w:vAlign w:val="center"/>
          </w:tcPr>
          <w:p>
            <w:pPr>
              <w:jc w:val="right"/>
            </w:pPr>
            <w:r>
              <w:rPr>
                <w:b w:val="false"/>
                <w:bCs w:val="false"/>
                <w:color w:val="000000"/>
                <w:sz w:val="19"/>
                <w:szCs w:val="19"/>
              </w:rPr>
              <w:t xml:space="preserve">+11.0%</w:t>
            </w:r>
          </w:p>
        </w:tc>
      </w:tr>
      <w:tr>
        <w:tc>
          <w:tcPr>
            <w:tcW w:type="dxa" w:w="3400"/>
            <w:tcMar>
              <w:top w:type="dxa" w:w="60"/>
              <w:left w:type="dxa" w:w="100"/>
              <w:bottom w:type="dxa" w:w="60"/>
              <w:right w:type="dxa" w:w="100"/>
            </w:tcMar>
            <w:vAlign w:val="center"/>
          </w:tcPr>
          <w:p>
            <w:pPr>
              <w:jc w:val="left"/>
            </w:pPr>
            <w:r>
              <w:rPr>
                <w:b w:val="false"/>
                <w:bCs w:val="false"/>
                <w:color w:val="000000"/>
                <w:sz w:val="19"/>
                <w:szCs w:val="19"/>
              </w:rPr>
              <w:t xml:space="preserve">Income from equity investees</w:t>
            </w:r>
          </w:p>
        </w:tc>
        <w:tc>
          <w:tcPr>
            <w:tcW w:type="dxa" w:w="1900"/>
            <w:tcMar>
              <w:top w:type="dxa" w:w="60"/>
              <w:left w:type="dxa" w:w="100"/>
              <w:bottom w:type="dxa" w:w="60"/>
              <w:right w:type="dxa" w:w="100"/>
            </w:tcMar>
            <w:vAlign w:val="center"/>
          </w:tcPr>
          <w:p>
            <w:pPr>
              <w:jc w:val="right"/>
            </w:pPr>
            <w:r>
              <w:rPr>
                <w:b w:val="false"/>
                <w:bCs w:val="false"/>
                <w:color w:val="000000"/>
                <w:sz w:val="19"/>
                <w:szCs w:val="19"/>
              </w:rPr>
              <w:t xml:space="preserve">247.8</w:t>
            </w:r>
          </w:p>
        </w:tc>
        <w:tc>
          <w:tcPr>
            <w:tcW w:type="dxa" w:w="1900"/>
            <w:tcMar>
              <w:top w:type="dxa" w:w="60"/>
              <w:left w:type="dxa" w:w="100"/>
              <w:bottom w:type="dxa" w:w="60"/>
              <w:right w:type="dxa" w:w="100"/>
            </w:tcMar>
            <w:vAlign w:val="center"/>
          </w:tcPr>
          <w:p>
            <w:pPr>
              <w:jc w:val="right"/>
            </w:pPr>
            <w:r>
              <w:rPr>
                <w:b w:val="false"/>
                <w:bCs w:val="false"/>
                <w:color w:val="000000"/>
                <w:sz w:val="19"/>
                <w:szCs w:val="19"/>
              </w:rPr>
              <w:t xml:space="preserve">301.2</w:t>
            </w:r>
          </w:p>
        </w:tc>
        <w:tc>
          <w:tcPr>
            <w:tcW w:type="dxa" w:w="1400"/>
            <w:tcMar>
              <w:top w:type="dxa" w:w="60"/>
              <w:left w:type="dxa" w:w="100"/>
              <w:bottom w:type="dxa" w:w="60"/>
              <w:right w:type="dxa" w:w="100"/>
            </w:tcMar>
            <w:vAlign w:val="center"/>
          </w:tcPr>
          <w:p>
            <w:pPr>
              <w:jc w:val="right"/>
            </w:pPr>
            <w:r>
              <w:rPr>
                <w:b w:val="false"/>
                <w:bCs w:val="false"/>
                <w:color w:val="000000"/>
                <w:sz w:val="19"/>
                <w:szCs w:val="19"/>
              </w:rPr>
              <w:t xml:space="preserve">-17.7%</w:t>
            </w:r>
          </w:p>
        </w:tc>
      </w:tr>
      <w:tr>
        <w:tc>
          <w:tcPr>
            <w:tcW w:type="dxa" w:w="3400"/>
            <w:shd w:fill="F2F2F2" w:color="auto" w:val="clear"/>
            <w:tcMar>
              <w:top w:type="dxa" w:w="60"/>
              <w:left w:type="dxa" w:w="100"/>
              <w:bottom w:type="dxa" w:w="60"/>
              <w:right w:type="dxa" w:w="100"/>
            </w:tcMar>
            <w:vAlign w:val="center"/>
          </w:tcPr>
          <w:p>
            <w:pPr>
              <w:jc w:val="left"/>
            </w:pPr>
            <w:r>
              <w:rPr>
                <w:b/>
                <w:bCs/>
                <w:color w:val="000000"/>
                <w:sz w:val="19"/>
                <w:szCs w:val="19"/>
              </w:rPr>
              <w:t xml:space="preserve">Operating income</w:t>
            </w:r>
          </w:p>
        </w:tc>
        <w:tc>
          <w:tcPr>
            <w:tcW w:type="dxa" w:w="1900"/>
            <w:shd w:fill="F2F2F2" w:color="auto" w:val="clear"/>
            <w:tcMar>
              <w:top w:type="dxa" w:w="60"/>
              <w:left w:type="dxa" w:w="100"/>
              <w:bottom w:type="dxa" w:w="60"/>
              <w:right w:type="dxa" w:w="100"/>
            </w:tcMar>
            <w:vAlign w:val="center"/>
          </w:tcPr>
          <w:p>
            <w:pPr>
              <w:jc w:val="right"/>
            </w:pPr>
            <w:r>
              <w:rPr>
                <w:b/>
                <w:bCs/>
                <w:color w:val="000000"/>
                <w:sz w:val="19"/>
                <w:szCs w:val="19"/>
              </w:rPr>
              <w:t xml:space="preserve">2,936.6</w:t>
            </w:r>
          </w:p>
        </w:tc>
        <w:tc>
          <w:tcPr>
            <w:tcW w:type="dxa" w:w="1900"/>
            <w:shd w:fill="F2F2F2" w:color="auto" w:val="clear"/>
            <w:tcMar>
              <w:top w:type="dxa" w:w="60"/>
              <w:left w:type="dxa" w:w="100"/>
              <w:bottom w:type="dxa" w:w="60"/>
              <w:right w:type="dxa" w:w="100"/>
            </w:tcMar>
            <w:vAlign w:val="center"/>
          </w:tcPr>
          <w:p>
            <w:pPr>
              <w:jc w:val="right"/>
            </w:pPr>
            <w:r>
              <w:rPr>
                <w:b/>
                <w:bCs/>
                <w:color w:val="000000"/>
                <w:sz w:val="19"/>
                <w:szCs w:val="19"/>
              </w:rPr>
              <w:t xml:space="preserve">5,408.8</w:t>
            </w:r>
          </w:p>
        </w:tc>
        <w:tc>
          <w:tcPr>
            <w:tcW w:type="dxa" w:w="1400"/>
            <w:shd w:fill="F2F2F2" w:color="auto" w:val="clear"/>
            <w:tcMar>
              <w:top w:type="dxa" w:w="60"/>
              <w:left w:type="dxa" w:w="100"/>
              <w:bottom w:type="dxa" w:w="60"/>
              <w:right w:type="dxa" w:w="100"/>
            </w:tcMar>
            <w:vAlign w:val="center"/>
          </w:tcPr>
          <w:p>
            <w:pPr>
              <w:jc w:val="right"/>
            </w:pPr>
            <w:r>
              <w:rPr>
                <w:b/>
                <w:bCs/>
                <w:color w:val="000000"/>
                <w:sz w:val="19"/>
                <w:szCs w:val="19"/>
              </w:rPr>
              <w:t xml:space="preserve">-45.7%</w:t>
            </w:r>
          </w:p>
        </w:tc>
      </w:tr>
      <w:tr>
        <w:tc>
          <w:tcPr>
            <w:tcW w:type="dxa" w:w="3400"/>
            <w:tcMar>
              <w:top w:type="dxa" w:w="60"/>
              <w:left w:type="dxa" w:w="100"/>
              <w:bottom w:type="dxa" w:w="60"/>
              <w:right w:type="dxa" w:w="100"/>
            </w:tcMar>
            <w:vAlign w:val="center"/>
          </w:tcPr>
          <w:p>
            <w:pPr>
              <w:jc w:val="left"/>
            </w:pPr>
            <w:r>
              <w:rPr>
                <w:b w:val="false"/>
                <w:bCs w:val="false"/>
                <w:color w:val="000000"/>
                <w:sz w:val="19"/>
                <w:szCs w:val="19"/>
              </w:rPr>
              <w:t xml:space="preserve">Interest expense, net</w:t>
            </w:r>
          </w:p>
        </w:tc>
        <w:tc>
          <w:tcPr>
            <w:tcW w:type="dxa" w:w="1900"/>
            <w:tcMar>
              <w:top w:type="dxa" w:w="60"/>
              <w:left w:type="dxa" w:w="100"/>
              <w:bottom w:type="dxa" w:w="60"/>
              <w:right w:type="dxa" w:w="100"/>
            </w:tcMar>
            <w:vAlign w:val="center"/>
          </w:tcPr>
          <w:p>
            <w:pPr>
              <w:jc w:val="right"/>
            </w:pPr>
            <w:r>
              <w:rPr>
                <w:b w:val="false"/>
                <w:bCs w:val="false"/>
                <w:color w:val="000000"/>
                <w:sz w:val="19"/>
                <w:szCs w:val="19"/>
              </w:rPr>
              <w:t xml:space="preserve">(429.3)</w:t>
            </w:r>
          </w:p>
        </w:tc>
        <w:tc>
          <w:tcPr>
            <w:tcW w:type="dxa" w:w="1900"/>
            <w:tcMar>
              <w:top w:type="dxa" w:w="60"/>
              <w:left w:type="dxa" w:w="100"/>
              <w:bottom w:type="dxa" w:w="60"/>
              <w:right w:type="dxa" w:w="100"/>
            </w:tcMar>
            <w:vAlign w:val="center"/>
          </w:tcPr>
          <w:p>
            <w:pPr>
              <w:jc w:val="right"/>
            </w:pPr>
            <w:r>
              <w:rPr>
                <w:b w:val="false"/>
                <w:bCs w:val="false"/>
                <w:color w:val="000000"/>
                <w:sz w:val="19"/>
                <w:szCs w:val="19"/>
              </w:rPr>
              <w:t xml:space="preserve">(439.2)</w:t>
            </w:r>
          </w:p>
        </w:tc>
        <w:tc>
          <w:tcPr>
            <w:tcW w:type="dxa" w:w="1400"/>
            <w:tcMar>
              <w:top w:type="dxa" w:w="60"/>
              <w:left w:type="dxa" w:w="100"/>
              <w:bottom w:type="dxa" w:w="60"/>
              <w:right w:type="dxa" w:w="100"/>
            </w:tcMar>
            <w:vAlign w:val="center"/>
          </w:tcPr>
          <w:p>
            <w:pPr>
              <w:jc w:val="right"/>
            </w:pPr>
            <w:r>
              <w:rPr>
                <w:b w:val="false"/>
                <w:bCs w:val="false"/>
                <w:color w:val="000000"/>
                <w:sz w:val="19"/>
                <w:szCs w:val="19"/>
              </w:rPr>
              <w:t xml:space="preserve">-2.3%</w:t>
            </w:r>
          </w:p>
        </w:tc>
      </w:tr>
      <w:tr>
        <w:tc>
          <w:tcPr>
            <w:tcW w:type="dxa" w:w="3400"/>
            <w:shd w:fill="F2F2F2" w:color="auto" w:val="clear"/>
            <w:tcMar>
              <w:top w:type="dxa" w:w="60"/>
              <w:left w:type="dxa" w:w="100"/>
              <w:bottom w:type="dxa" w:w="60"/>
              <w:right w:type="dxa" w:w="100"/>
            </w:tcMar>
            <w:vAlign w:val="center"/>
          </w:tcPr>
          <w:p>
            <w:pPr>
              <w:jc w:val="left"/>
            </w:pPr>
            <w:r>
              <w:rPr>
                <w:b w:val="false"/>
                <w:bCs w:val="false"/>
                <w:color w:val="000000"/>
                <w:sz w:val="19"/>
                <w:szCs w:val="19"/>
              </w:rPr>
              <w:t xml:space="preserve">Earnings before income taxes</w:t>
            </w:r>
          </w:p>
        </w:tc>
        <w:tc>
          <w:tcPr>
            <w:tcW w:type="dxa" w:w="1900"/>
            <w:shd w:fill="F2F2F2" w:color="auto" w:val="clear"/>
            <w:tcMar>
              <w:top w:type="dxa" w:w="60"/>
              <w:left w:type="dxa" w:w="100"/>
              <w:bottom w:type="dxa" w:w="60"/>
              <w:right w:type="dxa" w:w="100"/>
            </w:tcMar>
            <w:vAlign w:val="center"/>
          </w:tcPr>
          <w:p>
            <w:pPr>
              <w:jc w:val="right"/>
            </w:pPr>
            <w:r>
              <w:rPr>
                <w:b w:val="false"/>
                <w:bCs w:val="false"/>
                <w:color w:val="000000"/>
                <w:sz w:val="19"/>
                <w:szCs w:val="19"/>
              </w:rPr>
              <w:t xml:space="preserve">2,507.3</w:t>
            </w:r>
          </w:p>
        </w:tc>
        <w:tc>
          <w:tcPr>
            <w:tcW w:type="dxa" w:w="1900"/>
            <w:shd w:fill="F2F2F2" w:color="auto" w:val="clear"/>
            <w:tcMar>
              <w:top w:type="dxa" w:w="60"/>
              <w:left w:type="dxa" w:w="100"/>
              <w:bottom w:type="dxa" w:w="60"/>
              <w:right w:type="dxa" w:w="100"/>
            </w:tcMar>
            <w:vAlign w:val="center"/>
          </w:tcPr>
          <w:p>
            <w:pPr>
              <w:jc w:val="right"/>
            </w:pPr>
            <w:r>
              <w:rPr>
                <w:b w:val="false"/>
                <w:bCs w:val="false"/>
                <w:color w:val="000000"/>
                <w:sz w:val="19"/>
                <w:szCs w:val="19"/>
              </w:rPr>
              <w:t xml:space="preserve">4,969.6</w:t>
            </w:r>
          </w:p>
        </w:tc>
        <w:tc>
          <w:tcPr>
            <w:tcW w:type="dxa" w:w="1400"/>
            <w:shd w:fill="F2F2F2" w:color="auto" w:val="clear"/>
            <w:tcMar>
              <w:top w:type="dxa" w:w="60"/>
              <w:left w:type="dxa" w:w="100"/>
              <w:bottom w:type="dxa" w:w="60"/>
              <w:right w:type="dxa" w:w="100"/>
            </w:tcMar>
            <w:vAlign w:val="center"/>
          </w:tcPr>
          <w:p>
            <w:pPr>
              <w:jc w:val="right"/>
            </w:pPr>
            <w:r>
              <w:rPr>
                <w:b w:val="false"/>
                <w:bCs w:val="false"/>
                <w:color w:val="000000"/>
                <w:sz w:val="19"/>
                <w:szCs w:val="19"/>
              </w:rPr>
              <w:t xml:space="preserve">-49.5%</w:t>
            </w:r>
          </w:p>
        </w:tc>
      </w:tr>
      <w:tr>
        <w:tc>
          <w:tcPr>
            <w:tcW w:type="dxa" w:w="3400"/>
            <w:tcMar>
              <w:top w:type="dxa" w:w="60"/>
              <w:left w:type="dxa" w:w="100"/>
              <w:bottom w:type="dxa" w:w="60"/>
              <w:right w:type="dxa" w:w="100"/>
            </w:tcMar>
            <w:vAlign w:val="center"/>
          </w:tcPr>
          <w:p>
            <w:pPr>
              <w:jc w:val="left"/>
            </w:pPr>
            <w:r>
              <w:rPr>
                <w:b w:val="false"/>
                <w:bCs w:val="false"/>
                <w:color w:val="000000"/>
                <w:sz w:val="19"/>
                <w:szCs w:val="19"/>
              </w:rPr>
              <w:t xml:space="preserve">Income tax expense</w:t>
            </w:r>
          </w:p>
        </w:tc>
        <w:tc>
          <w:tcPr>
            <w:tcW w:type="dxa" w:w="1900"/>
            <w:tcMar>
              <w:top w:type="dxa" w:w="60"/>
              <w:left w:type="dxa" w:w="100"/>
              <w:bottom w:type="dxa" w:w="60"/>
              <w:right w:type="dxa" w:w="100"/>
            </w:tcMar>
            <w:vAlign w:val="center"/>
          </w:tcPr>
          <w:p>
            <w:pPr>
              <w:jc w:val="right"/>
            </w:pPr>
            <w:r>
              <w:rPr>
                <w:b w:val="false"/>
                <w:bCs w:val="false"/>
                <w:color w:val="000000"/>
                <w:sz w:val="19"/>
                <w:szCs w:val="19"/>
              </w:rPr>
              <w:t xml:space="preserve">650.6</w:t>
            </w:r>
          </w:p>
        </w:tc>
        <w:tc>
          <w:tcPr>
            <w:tcW w:type="dxa" w:w="1900"/>
            <w:tcMar>
              <w:top w:type="dxa" w:w="60"/>
              <w:left w:type="dxa" w:w="100"/>
              <w:bottom w:type="dxa" w:w="60"/>
              <w:right w:type="dxa" w:w="100"/>
            </w:tcMar>
            <w:vAlign w:val="center"/>
          </w:tcPr>
          <w:p>
            <w:pPr>
              <w:jc w:val="right"/>
            </w:pPr>
            <w:r>
              <w:rPr>
                <w:b w:val="false"/>
                <w:bCs w:val="false"/>
                <w:color w:val="000000"/>
                <w:sz w:val="19"/>
                <w:szCs w:val="19"/>
              </w:rPr>
              <w:t xml:space="preserve">1,207.3</w:t>
            </w:r>
          </w:p>
        </w:tc>
        <w:tc>
          <w:tcPr>
            <w:tcW w:type="dxa" w:w="1400"/>
            <w:tcMar>
              <w:top w:type="dxa" w:w="60"/>
              <w:left w:type="dxa" w:w="100"/>
              <w:bottom w:type="dxa" w:w="60"/>
              <w:right w:type="dxa" w:w="100"/>
            </w:tcMar>
            <w:vAlign w:val="center"/>
          </w:tcPr>
          <w:p>
            <w:pPr>
              <w:jc w:val="right"/>
            </w:pPr>
            <w:r>
              <w:rPr>
                <w:b w:val="false"/>
                <w:bCs w:val="false"/>
                <w:color w:val="000000"/>
                <w:sz w:val="19"/>
                <w:szCs w:val="19"/>
              </w:rPr>
              <w:t xml:space="preserve">-46.1%</w:t>
            </w:r>
          </w:p>
        </w:tc>
      </w:tr>
      <w:tr>
        <w:tc>
          <w:tcPr>
            <w:tcW w:type="dxa" w:w="3400"/>
            <w:shd w:fill="F2F2F2" w:color="auto" w:val="clear"/>
            <w:tcMar>
              <w:top w:type="dxa" w:w="60"/>
              <w:left w:type="dxa" w:w="100"/>
              <w:bottom w:type="dxa" w:w="60"/>
              <w:right w:type="dxa" w:w="100"/>
            </w:tcMar>
            <w:vAlign w:val="center"/>
          </w:tcPr>
          <w:p>
            <w:pPr>
              <w:jc w:val="left"/>
            </w:pPr>
            <w:r>
              <w:rPr>
                <w:b/>
                <w:bCs/>
                <w:color w:val="000000"/>
                <w:sz w:val="19"/>
                <w:szCs w:val="19"/>
              </w:rPr>
              <w:t xml:space="preserve">Net earnings attributable to SBUX</w:t>
            </w:r>
          </w:p>
        </w:tc>
        <w:tc>
          <w:tcPr>
            <w:tcW w:type="dxa" w:w="1900"/>
            <w:shd w:fill="F2F2F2" w:color="auto" w:val="clear"/>
            <w:tcMar>
              <w:top w:type="dxa" w:w="60"/>
              <w:left w:type="dxa" w:w="100"/>
              <w:bottom w:type="dxa" w:w="60"/>
              <w:right w:type="dxa" w:w="100"/>
            </w:tcMar>
            <w:vAlign w:val="center"/>
          </w:tcPr>
          <w:p>
            <w:pPr>
              <w:jc w:val="right"/>
            </w:pPr>
            <w:r>
              <w:rPr>
                <w:b/>
                <w:bCs/>
                <w:color w:val="000000"/>
                <w:sz w:val="19"/>
                <w:szCs w:val="19"/>
              </w:rPr>
              <w:t xml:space="preserve">1,856.4</w:t>
            </w:r>
          </w:p>
        </w:tc>
        <w:tc>
          <w:tcPr>
            <w:tcW w:type="dxa" w:w="1900"/>
            <w:shd w:fill="F2F2F2" w:color="auto" w:val="clear"/>
            <w:tcMar>
              <w:top w:type="dxa" w:w="60"/>
              <w:left w:type="dxa" w:w="100"/>
              <w:bottom w:type="dxa" w:w="60"/>
              <w:right w:type="dxa" w:w="100"/>
            </w:tcMar>
            <w:vAlign w:val="center"/>
          </w:tcPr>
          <w:p>
            <w:pPr>
              <w:jc w:val="right"/>
            </w:pPr>
            <w:r>
              <w:rPr>
                <w:b/>
                <w:bCs/>
                <w:color w:val="000000"/>
                <w:sz w:val="19"/>
                <w:szCs w:val="19"/>
              </w:rPr>
              <w:t xml:space="preserve">3,760.9</w:t>
            </w:r>
          </w:p>
        </w:tc>
        <w:tc>
          <w:tcPr>
            <w:tcW w:type="dxa" w:w="1400"/>
            <w:shd w:fill="F2F2F2" w:color="auto" w:val="clear"/>
            <w:tcMar>
              <w:top w:type="dxa" w:w="60"/>
              <w:left w:type="dxa" w:w="100"/>
              <w:bottom w:type="dxa" w:w="60"/>
              <w:right w:type="dxa" w:w="100"/>
            </w:tcMar>
            <w:vAlign w:val="center"/>
          </w:tcPr>
          <w:p>
            <w:pPr>
              <w:jc w:val="right"/>
            </w:pPr>
            <w:r>
              <w:rPr>
                <w:b/>
                <w:bCs/>
                <w:color w:val="000000"/>
                <w:sz w:val="19"/>
                <w:szCs w:val="19"/>
              </w:rPr>
              <w:t xml:space="preserve">-50.6%</w:t>
            </w:r>
          </w:p>
        </w:tc>
      </w:tr>
      <w:tr>
        <w:tc>
          <w:tcPr>
            <w:tcW w:type="dxa" w:w="3400"/>
            <w:tcMar>
              <w:top w:type="dxa" w:w="60"/>
              <w:left w:type="dxa" w:w="100"/>
              <w:bottom w:type="dxa" w:w="60"/>
              <w:right w:type="dxa" w:w="100"/>
            </w:tcMar>
            <w:vAlign w:val="center"/>
          </w:tcPr>
          <w:p>
            <w:pPr>
              <w:jc w:val="left"/>
            </w:pPr>
            <w:r>
              <w:rPr>
                <w:b w:val="false"/>
                <w:bCs w:val="false"/>
                <w:color w:val="000000"/>
                <w:sz w:val="19"/>
                <w:szCs w:val="19"/>
              </w:rPr>
              <w:t xml:space="preserve">Diluted EPS</w:t>
            </w:r>
          </w:p>
        </w:tc>
        <w:tc>
          <w:tcPr>
            <w:tcW w:type="dxa" w:w="1900"/>
            <w:tcMar>
              <w:top w:type="dxa" w:w="60"/>
              <w:left w:type="dxa" w:w="100"/>
              <w:bottom w:type="dxa" w:w="60"/>
              <w:right w:type="dxa" w:w="100"/>
            </w:tcMar>
            <w:vAlign w:val="center"/>
          </w:tcPr>
          <w:p>
            <w:pPr>
              <w:jc w:val="right"/>
            </w:pPr>
            <w:r>
              <w:rPr>
                <w:b w:val="false"/>
                <w:bCs w:val="false"/>
                <w:color w:val="000000"/>
                <w:sz w:val="19"/>
                <w:szCs w:val="19"/>
              </w:rPr>
              <w:t xml:space="preserve">$1.63</w:t>
            </w:r>
          </w:p>
        </w:tc>
        <w:tc>
          <w:tcPr>
            <w:tcW w:type="dxa" w:w="1900"/>
            <w:tcMar>
              <w:top w:type="dxa" w:w="60"/>
              <w:left w:type="dxa" w:w="100"/>
              <w:bottom w:type="dxa" w:w="60"/>
              <w:right w:type="dxa" w:w="100"/>
            </w:tcMar>
            <w:vAlign w:val="center"/>
          </w:tcPr>
          <w:p>
            <w:pPr>
              <w:jc w:val="right"/>
            </w:pPr>
            <w:r>
              <w:rPr>
                <w:b w:val="false"/>
                <w:bCs w:val="false"/>
                <w:color w:val="000000"/>
                <w:sz w:val="19"/>
                <w:szCs w:val="19"/>
              </w:rPr>
              <w:t xml:space="preserve">$3.31</w:t>
            </w:r>
          </w:p>
        </w:tc>
        <w:tc>
          <w:tcPr>
            <w:tcW w:type="dxa" w:w="1400"/>
            <w:tcMar>
              <w:top w:type="dxa" w:w="60"/>
              <w:left w:type="dxa" w:w="100"/>
              <w:bottom w:type="dxa" w:w="60"/>
              <w:right w:type="dxa" w:w="100"/>
            </w:tcMar>
            <w:vAlign w:val="center"/>
          </w:tcPr>
          <w:p>
            <w:pPr>
              <w:jc w:val="right"/>
            </w:pPr>
            <w:r>
              <w:rPr>
                <w:b w:val="false"/>
                <w:bCs w:val="false"/>
                <w:color w:val="000000"/>
                <w:sz w:val="19"/>
                <w:szCs w:val="19"/>
              </w:rPr>
              <w:t xml:space="preserve">-50.8%</w:t>
            </w:r>
          </w:p>
        </w:tc>
      </w:tr>
    </w:tbl>
    <w:p>
      <w:pPr>
        <w:spacing w:after="160" w:line="276"/>
      </w:pPr>
      <w:r>
        <w:rPr>
          <w:i/>
          <w:iCs/>
          <w:sz w:val="21"/>
          <w:szCs w:val="21"/>
        </w:rPr>
        <w:t xml:space="preserve">Takeaway: Revenue grew modestly (+2.8%), but operating income was cut nearly in half, driven by an $892 million restructuring charge and store-level cost deleverage (store operating expenses grew 11.6% — four times faster than revenue). Excluding one-time restructuring and litigation items, management reports non-GAAP operating margin contracted a smaller but still material 510 basis points to 9.9%, indicating the profitability decline is only partly attributable to one-time costs.</w:t>
      </w:r>
    </w:p>
    <w:p>
      <w:pPr>
        <w:pStyle w:val="Heading2"/>
        <w:spacing w:after="120" w:before="240"/>
      </w:pPr>
      <w:r>
        <w:rPr>
          <w:b/>
          <w:bCs/>
          <w:color w:val="1F3864"/>
          <w:sz w:val="24"/>
          <w:szCs w:val="24"/>
        </w:rPr>
        <w:t xml:space="preserve">2.2 Consolidated Balance Sheet ($ in millions)</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3400"/>
        <w:gridCol w:w="2100"/>
        <w:gridCol w:w="2100"/>
      </w:tblGrid>
      <w:tr>
        <w:trPr>
          <w:tblHeader/>
        </w:trPr>
        <w:tc>
          <w:tcPr>
            <w:tcW w:type="dxa" w:w="3400"/>
            <w:shd w:fill="1F3864" w:color="auto" w:val="clear"/>
            <w:tcMar>
              <w:top w:type="dxa" w:w="60"/>
              <w:left w:type="dxa" w:w="100"/>
              <w:bottom w:type="dxa" w:w="60"/>
              <w:right w:type="dxa" w:w="100"/>
            </w:tcMar>
            <w:vAlign w:val="center"/>
          </w:tcPr>
          <w:p>
            <w:pPr>
              <w:jc w:val="left"/>
            </w:pPr>
            <w:r>
              <w:rPr>
                <w:b/>
                <w:bCs/>
                <w:color w:val="FFFFFF"/>
                <w:sz w:val="19"/>
                <w:szCs w:val="19"/>
              </w:rPr>
              <w:t xml:space="preserve">Line Item</w:t>
            </w:r>
          </w:p>
        </w:tc>
        <w:tc>
          <w:tcPr>
            <w:tcW w:type="dxa" w:w="2100"/>
            <w:shd w:fill="1F3864" w:color="auto" w:val="clear"/>
            <w:tcMar>
              <w:top w:type="dxa" w:w="60"/>
              <w:left w:type="dxa" w:w="100"/>
              <w:bottom w:type="dxa" w:w="60"/>
              <w:right w:type="dxa" w:w="100"/>
            </w:tcMar>
            <w:vAlign w:val="center"/>
          </w:tcPr>
          <w:p>
            <w:pPr>
              <w:jc w:val="right"/>
            </w:pPr>
            <w:r>
              <w:rPr>
                <w:b/>
                <w:bCs/>
                <w:color w:val="FFFFFF"/>
                <w:sz w:val="19"/>
                <w:szCs w:val="19"/>
              </w:rPr>
              <w:t xml:space="preserve">FY2025</w:t>
            </w:r>
          </w:p>
        </w:tc>
        <w:tc>
          <w:tcPr>
            <w:tcW w:type="dxa" w:w="2100"/>
            <w:shd w:fill="1F3864" w:color="auto" w:val="clear"/>
            <w:tcMar>
              <w:top w:type="dxa" w:w="60"/>
              <w:left w:type="dxa" w:w="100"/>
              <w:bottom w:type="dxa" w:w="60"/>
              <w:right w:type="dxa" w:w="100"/>
            </w:tcMar>
            <w:vAlign w:val="center"/>
          </w:tcPr>
          <w:p>
            <w:pPr>
              <w:jc w:val="right"/>
            </w:pPr>
            <w:r>
              <w:rPr>
                <w:b/>
                <w:bCs/>
                <w:color w:val="FFFFFF"/>
                <w:sz w:val="19"/>
                <w:szCs w:val="19"/>
              </w:rPr>
              <w:t xml:space="preserve">FY2024</w:t>
            </w:r>
          </w:p>
        </w:tc>
      </w:tr>
      <w:tr>
        <w:tc>
          <w:tcPr>
            <w:tcW w:type="dxa" w:w="3400"/>
            <w:tcMar>
              <w:top w:type="dxa" w:w="60"/>
              <w:left w:type="dxa" w:w="100"/>
              <w:bottom w:type="dxa" w:w="60"/>
              <w:right w:type="dxa" w:w="100"/>
            </w:tcMar>
            <w:vAlign w:val="center"/>
          </w:tcPr>
          <w:p>
            <w:pPr>
              <w:jc w:val="left"/>
            </w:pPr>
            <w:r>
              <w:rPr>
                <w:b w:val="false"/>
                <w:bCs w:val="false"/>
                <w:color w:val="000000"/>
                <w:sz w:val="19"/>
                <w:szCs w:val="19"/>
              </w:rPr>
              <w:t xml:space="preserve">Cash &amp; cash equivalents</w:t>
            </w:r>
          </w:p>
        </w:tc>
        <w:tc>
          <w:tcPr>
            <w:tcW w:type="dxa" w:w="2100"/>
            <w:tcMar>
              <w:top w:type="dxa" w:w="60"/>
              <w:left w:type="dxa" w:w="100"/>
              <w:bottom w:type="dxa" w:w="60"/>
              <w:right w:type="dxa" w:w="100"/>
            </w:tcMar>
            <w:vAlign w:val="center"/>
          </w:tcPr>
          <w:p>
            <w:pPr>
              <w:jc w:val="right"/>
            </w:pPr>
            <w:r>
              <w:rPr>
                <w:b w:val="false"/>
                <w:bCs w:val="false"/>
                <w:color w:val="000000"/>
                <w:sz w:val="19"/>
                <w:szCs w:val="19"/>
              </w:rPr>
              <w:t xml:space="preserve">3,219.8</w:t>
            </w:r>
          </w:p>
        </w:tc>
        <w:tc>
          <w:tcPr>
            <w:tcW w:type="dxa" w:w="2100"/>
            <w:tcMar>
              <w:top w:type="dxa" w:w="60"/>
              <w:left w:type="dxa" w:w="100"/>
              <w:bottom w:type="dxa" w:w="60"/>
              <w:right w:type="dxa" w:w="100"/>
            </w:tcMar>
            <w:vAlign w:val="center"/>
          </w:tcPr>
          <w:p>
            <w:pPr>
              <w:jc w:val="right"/>
            </w:pPr>
            <w:r>
              <w:rPr>
                <w:b w:val="false"/>
                <w:bCs w:val="false"/>
                <w:color w:val="000000"/>
                <w:sz w:val="19"/>
                <w:szCs w:val="19"/>
              </w:rPr>
              <w:t xml:space="preserve">3,286.2</w:t>
            </w:r>
          </w:p>
        </w:tc>
      </w:tr>
      <w:tr>
        <w:tc>
          <w:tcPr>
            <w:tcW w:type="dxa" w:w="3400"/>
            <w:shd w:fill="F2F2F2" w:color="auto" w:val="clear"/>
            <w:tcMar>
              <w:top w:type="dxa" w:w="60"/>
              <w:left w:type="dxa" w:w="100"/>
              <w:bottom w:type="dxa" w:w="60"/>
              <w:right w:type="dxa" w:w="100"/>
            </w:tcMar>
            <w:vAlign w:val="center"/>
          </w:tcPr>
          <w:p>
            <w:pPr>
              <w:jc w:val="left"/>
            </w:pPr>
            <w:r>
              <w:rPr>
                <w:b w:val="false"/>
                <w:bCs w:val="false"/>
                <w:color w:val="000000"/>
                <w:sz w:val="19"/>
                <w:szCs w:val="19"/>
              </w:rPr>
              <w:t xml:space="preserve">Short-term investments</w:t>
            </w:r>
          </w:p>
        </w:tc>
        <w:tc>
          <w:tcPr>
            <w:tcW w:type="dxa" w:w="2100"/>
            <w:shd w:fill="F2F2F2" w:color="auto" w:val="clear"/>
            <w:tcMar>
              <w:top w:type="dxa" w:w="60"/>
              <w:left w:type="dxa" w:w="100"/>
              <w:bottom w:type="dxa" w:w="60"/>
              <w:right w:type="dxa" w:w="100"/>
            </w:tcMar>
            <w:vAlign w:val="center"/>
          </w:tcPr>
          <w:p>
            <w:pPr>
              <w:jc w:val="right"/>
            </w:pPr>
            <w:r>
              <w:rPr>
                <w:b w:val="false"/>
                <w:bCs w:val="false"/>
                <w:color w:val="000000"/>
                <w:sz w:val="19"/>
                <w:szCs w:val="19"/>
              </w:rPr>
              <w:t xml:space="preserve">247.2</w:t>
            </w:r>
          </w:p>
        </w:tc>
        <w:tc>
          <w:tcPr>
            <w:tcW w:type="dxa" w:w="2100"/>
            <w:shd w:fill="F2F2F2" w:color="auto" w:val="clear"/>
            <w:tcMar>
              <w:top w:type="dxa" w:w="60"/>
              <w:left w:type="dxa" w:w="100"/>
              <w:bottom w:type="dxa" w:w="60"/>
              <w:right w:type="dxa" w:w="100"/>
            </w:tcMar>
            <w:vAlign w:val="center"/>
          </w:tcPr>
          <w:p>
            <w:pPr>
              <w:jc w:val="right"/>
            </w:pPr>
            <w:r>
              <w:rPr>
                <w:b w:val="false"/>
                <w:bCs w:val="false"/>
                <w:color w:val="000000"/>
                <w:sz w:val="19"/>
                <w:szCs w:val="19"/>
              </w:rPr>
              <w:t xml:space="preserve">257.0</w:t>
            </w:r>
          </w:p>
        </w:tc>
      </w:tr>
      <w:tr>
        <w:tc>
          <w:tcPr>
            <w:tcW w:type="dxa" w:w="3400"/>
            <w:tcMar>
              <w:top w:type="dxa" w:w="60"/>
              <w:left w:type="dxa" w:w="100"/>
              <w:bottom w:type="dxa" w:w="60"/>
              <w:right w:type="dxa" w:w="100"/>
            </w:tcMar>
            <w:vAlign w:val="center"/>
          </w:tcPr>
          <w:p>
            <w:pPr>
              <w:jc w:val="left"/>
            </w:pPr>
            <w:r>
              <w:rPr>
                <w:b w:val="false"/>
                <w:bCs w:val="false"/>
                <w:color w:val="000000"/>
                <w:sz w:val="19"/>
                <w:szCs w:val="19"/>
              </w:rPr>
              <w:t xml:space="preserve">Accounts receivable, net</w:t>
            </w:r>
          </w:p>
        </w:tc>
        <w:tc>
          <w:tcPr>
            <w:tcW w:type="dxa" w:w="2100"/>
            <w:tcMar>
              <w:top w:type="dxa" w:w="60"/>
              <w:left w:type="dxa" w:w="100"/>
              <w:bottom w:type="dxa" w:w="60"/>
              <w:right w:type="dxa" w:w="100"/>
            </w:tcMar>
            <w:vAlign w:val="center"/>
          </w:tcPr>
          <w:p>
            <w:pPr>
              <w:jc w:val="right"/>
            </w:pPr>
            <w:r>
              <w:rPr>
                <w:b w:val="false"/>
                <w:bCs w:val="false"/>
                <w:color w:val="000000"/>
                <w:sz w:val="19"/>
                <w:szCs w:val="19"/>
              </w:rPr>
              <w:t xml:space="preserve">1,277.5</w:t>
            </w:r>
          </w:p>
        </w:tc>
        <w:tc>
          <w:tcPr>
            <w:tcW w:type="dxa" w:w="2100"/>
            <w:tcMar>
              <w:top w:type="dxa" w:w="60"/>
              <w:left w:type="dxa" w:w="100"/>
              <w:bottom w:type="dxa" w:w="60"/>
              <w:right w:type="dxa" w:w="100"/>
            </w:tcMar>
            <w:vAlign w:val="center"/>
          </w:tcPr>
          <w:p>
            <w:pPr>
              <w:jc w:val="right"/>
            </w:pPr>
            <w:r>
              <w:rPr>
                <w:b w:val="false"/>
                <w:bCs w:val="false"/>
                <w:color w:val="000000"/>
                <w:sz w:val="19"/>
                <w:szCs w:val="19"/>
              </w:rPr>
              <w:t xml:space="preserve">1,213.8</w:t>
            </w:r>
          </w:p>
        </w:tc>
      </w:tr>
      <w:tr>
        <w:tc>
          <w:tcPr>
            <w:tcW w:type="dxa" w:w="3400"/>
            <w:shd w:fill="F2F2F2" w:color="auto" w:val="clear"/>
            <w:tcMar>
              <w:top w:type="dxa" w:w="60"/>
              <w:left w:type="dxa" w:w="100"/>
              <w:bottom w:type="dxa" w:w="60"/>
              <w:right w:type="dxa" w:w="100"/>
            </w:tcMar>
            <w:vAlign w:val="center"/>
          </w:tcPr>
          <w:p>
            <w:pPr>
              <w:jc w:val="left"/>
            </w:pPr>
            <w:r>
              <w:rPr>
                <w:b w:val="false"/>
                <w:bCs w:val="false"/>
                <w:color w:val="000000"/>
                <w:sz w:val="19"/>
                <w:szCs w:val="19"/>
              </w:rPr>
              <w:t xml:space="preserve">Inventories</w:t>
            </w:r>
          </w:p>
        </w:tc>
        <w:tc>
          <w:tcPr>
            <w:tcW w:type="dxa" w:w="2100"/>
            <w:shd w:fill="F2F2F2" w:color="auto" w:val="clear"/>
            <w:tcMar>
              <w:top w:type="dxa" w:w="60"/>
              <w:left w:type="dxa" w:w="100"/>
              <w:bottom w:type="dxa" w:w="60"/>
              <w:right w:type="dxa" w:w="100"/>
            </w:tcMar>
            <w:vAlign w:val="center"/>
          </w:tcPr>
          <w:p>
            <w:pPr>
              <w:jc w:val="right"/>
            </w:pPr>
            <w:r>
              <w:rPr>
                <w:b w:val="false"/>
                <w:bCs w:val="false"/>
                <w:color w:val="000000"/>
                <w:sz w:val="19"/>
                <w:szCs w:val="19"/>
              </w:rPr>
              <w:t xml:space="preserve">2,185.6</w:t>
            </w:r>
          </w:p>
        </w:tc>
        <w:tc>
          <w:tcPr>
            <w:tcW w:type="dxa" w:w="2100"/>
            <w:shd w:fill="F2F2F2" w:color="auto" w:val="clear"/>
            <w:tcMar>
              <w:top w:type="dxa" w:w="60"/>
              <w:left w:type="dxa" w:w="100"/>
              <w:bottom w:type="dxa" w:w="60"/>
              <w:right w:type="dxa" w:w="100"/>
            </w:tcMar>
            <w:vAlign w:val="center"/>
          </w:tcPr>
          <w:p>
            <w:pPr>
              <w:jc w:val="right"/>
            </w:pPr>
            <w:r>
              <w:rPr>
                <w:b w:val="false"/>
                <w:bCs w:val="false"/>
                <w:color w:val="000000"/>
                <w:sz w:val="19"/>
                <w:szCs w:val="19"/>
              </w:rPr>
              <w:t xml:space="preserve">1,777.3</w:t>
            </w:r>
          </w:p>
        </w:tc>
      </w:tr>
      <w:tr>
        <w:tc>
          <w:tcPr>
            <w:tcW w:type="dxa" w:w="3400"/>
            <w:tcMar>
              <w:top w:type="dxa" w:w="60"/>
              <w:left w:type="dxa" w:w="100"/>
              <w:bottom w:type="dxa" w:w="60"/>
              <w:right w:type="dxa" w:w="100"/>
            </w:tcMar>
            <w:vAlign w:val="center"/>
          </w:tcPr>
          <w:p>
            <w:pPr>
              <w:jc w:val="left"/>
            </w:pPr>
            <w:r>
              <w:rPr>
                <w:b w:val="false"/>
                <w:bCs w:val="false"/>
                <w:color w:val="000000"/>
                <w:sz w:val="19"/>
                <w:szCs w:val="19"/>
              </w:rPr>
              <w:t xml:space="preserve">Other current assets</w:t>
            </w:r>
          </w:p>
        </w:tc>
        <w:tc>
          <w:tcPr>
            <w:tcW w:type="dxa" w:w="2100"/>
            <w:tcMar>
              <w:top w:type="dxa" w:w="60"/>
              <w:left w:type="dxa" w:w="100"/>
              <w:bottom w:type="dxa" w:w="60"/>
              <w:right w:type="dxa" w:w="100"/>
            </w:tcMar>
            <w:vAlign w:val="center"/>
          </w:tcPr>
          <w:p>
            <w:pPr>
              <w:jc w:val="right"/>
            </w:pPr>
            <w:r>
              <w:rPr>
                <w:b w:val="false"/>
                <w:bCs w:val="false"/>
                <w:color w:val="000000"/>
                <w:sz w:val="19"/>
                <w:szCs w:val="19"/>
              </w:rPr>
              <w:t xml:space="preserve">452.2</w:t>
            </w:r>
          </w:p>
        </w:tc>
        <w:tc>
          <w:tcPr>
            <w:tcW w:type="dxa" w:w="2100"/>
            <w:tcMar>
              <w:top w:type="dxa" w:w="60"/>
              <w:left w:type="dxa" w:w="100"/>
              <w:bottom w:type="dxa" w:w="60"/>
              <w:right w:type="dxa" w:w="100"/>
            </w:tcMar>
            <w:vAlign w:val="center"/>
          </w:tcPr>
          <w:p>
            <w:pPr>
              <w:jc w:val="right"/>
            </w:pPr>
            <w:r>
              <w:rPr>
                <w:b w:val="false"/>
                <w:bCs w:val="false"/>
                <w:color w:val="000000"/>
                <w:sz w:val="19"/>
                <w:szCs w:val="19"/>
              </w:rPr>
              <w:t xml:space="preserve">313.1</w:t>
            </w:r>
          </w:p>
        </w:tc>
      </w:tr>
      <w:tr>
        <w:tc>
          <w:tcPr>
            <w:tcW w:type="dxa" w:w="3400"/>
            <w:shd w:fill="F2F2F2" w:color="auto" w:val="clear"/>
            <w:tcMar>
              <w:top w:type="dxa" w:w="60"/>
              <w:left w:type="dxa" w:w="100"/>
              <w:bottom w:type="dxa" w:w="60"/>
              <w:right w:type="dxa" w:w="100"/>
            </w:tcMar>
            <w:vAlign w:val="center"/>
          </w:tcPr>
          <w:p>
            <w:pPr>
              <w:jc w:val="left"/>
            </w:pPr>
            <w:r>
              <w:rPr>
                <w:b/>
                <w:bCs/>
                <w:color w:val="000000"/>
                <w:sz w:val="19"/>
                <w:szCs w:val="19"/>
              </w:rPr>
              <w:t xml:space="preserve">Total current assets</w:t>
            </w:r>
          </w:p>
        </w:tc>
        <w:tc>
          <w:tcPr>
            <w:tcW w:type="dxa" w:w="2100"/>
            <w:shd w:fill="F2F2F2" w:color="auto" w:val="clear"/>
            <w:tcMar>
              <w:top w:type="dxa" w:w="60"/>
              <w:left w:type="dxa" w:w="100"/>
              <w:bottom w:type="dxa" w:w="60"/>
              <w:right w:type="dxa" w:w="100"/>
            </w:tcMar>
            <w:vAlign w:val="center"/>
          </w:tcPr>
          <w:p>
            <w:pPr>
              <w:jc w:val="right"/>
            </w:pPr>
            <w:r>
              <w:rPr>
                <w:b/>
                <w:bCs/>
                <w:color w:val="000000"/>
                <w:sz w:val="19"/>
                <w:szCs w:val="19"/>
              </w:rPr>
              <w:t xml:space="preserve">7,382.3</w:t>
            </w:r>
          </w:p>
        </w:tc>
        <w:tc>
          <w:tcPr>
            <w:tcW w:type="dxa" w:w="2100"/>
            <w:shd w:fill="F2F2F2" w:color="auto" w:val="clear"/>
            <w:tcMar>
              <w:top w:type="dxa" w:w="60"/>
              <w:left w:type="dxa" w:w="100"/>
              <w:bottom w:type="dxa" w:w="60"/>
              <w:right w:type="dxa" w:w="100"/>
            </w:tcMar>
            <w:vAlign w:val="center"/>
          </w:tcPr>
          <w:p>
            <w:pPr>
              <w:jc w:val="right"/>
            </w:pPr>
            <w:r>
              <w:rPr>
                <w:b/>
                <w:bCs/>
                <w:color w:val="000000"/>
                <w:sz w:val="19"/>
                <w:szCs w:val="19"/>
              </w:rPr>
              <w:t xml:space="preserve">6,847.4</w:t>
            </w:r>
          </w:p>
        </w:tc>
      </w:tr>
      <w:tr>
        <w:tc>
          <w:tcPr>
            <w:tcW w:type="dxa" w:w="3400"/>
            <w:tcMar>
              <w:top w:type="dxa" w:w="60"/>
              <w:left w:type="dxa" w:w="100"/>
              <w:bottom w:type="dxa" w:w="60"/>
              <w:right w:type="dxa" w:w="100"/>
            </w:tcMar>
            <w:vAlign w:val="center"/>
          </w:tcPr>
          <w:p>
            <w:pPr>
              <w:jc w:val="left"/>
            </w:pPr>
            <w:r>
              <w:rPr>
                <w:b w:val="false"/>
                <w:bCs w:val="false"/>
                <w:color w:val="000000"/>
                <w:sz w:val="19"/>
                <w:szCs w:val="19"/>
              </w:rPr>
              <w:t xml:space="preserve">Property, plant &amp; equipment, net</w:t>
            </w:r>
          </w:p>
        </w:tc>
        <w:tc>
          <w:tcPr>
            <w:tcW w:type="dxa" w:w="2100"/>
            <w:tcMar>
              <w:top w:type="dxa" w:w="60"/>
              <w:left w:type="dxa" w:w="100"/>
              <w:bottom w:type="dxa" w:w="60"/>
              <w:right w:type="dxa" w:w="100"/>
            </w:tcMar>
            <w:vAlign w:val="center"/>
          </w:tcPr>
          <w:p>
            <w:pPr>
              <w:jc w:val="right"/>
            </w:pPr>
            <w:r>
              <w:rPr>
                <w:b w:val="false"/>
                <w:bCs w:val="false"/>
                <w:color w:val="000000"/>
                <w:sz w:val="19"/>
                <w:szCs w:val="19"/>
              </w:rPr>
              <w:t xml:space="preserve">8,493.5</w:t>
            </w:r>
          </w:p>
        </w:tc>
        <w:tc>
          <w:tcPr>
            <w:tcW w:type="dxa" w:w="2100"/>
            <w:tcMar>
              <w:top w:type="dxa" w:w="60"/>
              <w:left w:type="dxa" w:w="100"/>
              <w:bottom w:type="dxa" w:w="60"/>
              <w:right w:type="dxa" w:w="100"/>
            </w:tcMar>
            <w:vAlign w:val="center"/>
          </w:tcPr>
          <w:p>
            <w:pPr>
              <w:jc w:val="right"/>
            </w:pPr>
            <w:r>
              <w:rPr>
                <w:b w:val="false"/>
                <w:bCs w:val="false"/>
                <w:color w:val="000000"/>
                <w:sz w:val="19"/>
                <w:szCs w:val="19"/>
              </w:rPr>
              <w:t xml:space="preserve">8,665.5</w:t>
            </w:r>
          </w:p>
        </w:tc>
      </w:tr>
      <w:tr>
        <w:tc>
          <w:tcPr>
            <w:tcW w:type="dxa" w:w="3400"/>
            <w:shd w:fill="F2F2F2" w:color="auto" w:val="clear"/>
            <w:tcMar>
              <w:top w:type="dxa" w:w="60"/>
              <w:left w:type="dxa" w:w="100"/>
              <w:bottom w:type="dxa" w:w="60"/>
              <w:right w:type="dxa" w:w="100"/>
            </w:tcMar>
            <w:vAlign w:val="center"/>
          </w:tcPr>
          <w:p>
            <w:pPr>
              <w:jc w:val="left"/>
            </w:pPr>
            <w:r>
              <w:rPr>
                <w:b w:val="false"/>
                <w:bCs w:val="false"/>
                <w:color w:val="000000"/>
                <w:sz w:val="19"/>
                <w:szCs w:val="19"/>
              </w:rPr>
              <w:t xml:space="preserve">Operating lease right-of-use asset</w:t>
            </w:r>
          </w:p>
        </w:tc>
        <w:tc>
          <w:tcPr>
            <w:tcW w:type="dxa" w:w="2100"/>
            <w:shd w:fill="F2F2F2" w:color="auto" w:val="clear"/>
            <w:tcMar>
              <w:top w:type="dxa" w:w="60"/>
              <w:left w:type="dxa" w:w="100"/>
              <w:bottom w:type="dxa" w:w="60"/>
              <w:right w:type="dxa" w:w="100"/>
            </w:tcMar>
            <w:vAlign w:val="center"/>
          </w:tcPr>
          <w:p>
            <w:pPr>
              <w:jc w:val="right"/>
            </w:pPr>
            <w:r>
              <w:rPr>
                <w:b w:val="false"/>
                <w:bCs w:val="false"/>
                <w:color w:val="000000"/>
                <w:sz w:val="19"/>
                <w:szCs w:val="19"/>
              </w:rPr>
              <w:t xml:space="preserve">9,315.7</w:t>
            </w:r>
          </w:p>
        </w:tc>
        <w:tc>
          <w:tcPr>
            <w:tcW w:type="dxa" w:w="2100"/>
            <w:shd w:fill="F2F2F2" w:color="auto" w:val="clear"/>
            <w:tcMar>
              <w:top w:type="dxa" w:w="60"/>
              <w:left w:type="dxa" w:w="100"/>
              <w:bottom w:type="dxa" w:w="60"/>
              <w:right w:type="dxa" w:w="100"/>
            </w:tcMar>
            <w:vAlign w:val="center"/>
          </w:tcPr>
          <w:p>
            <w:pPr>
              <w:jc w:val="right"/>
            </w:pPr>
            <w:r>
              <w:rPr>
                <w:b w:val="false"/>
                <w:bCs w:val="false"/>
                <w:color w:val="000000"/>
                <w:sz w:val="19"/>
                <w:szCs w:val="19"/>
              </w:rPr>
              <w:t xml:space="preserve">9,286.2</w:t>
            </w:r>
          </w:p>
        </w:tc>
      </w:tr>
      <w:tr>
        <w:tc>
          <w:tcPr>
            <w:tcW w:type="dxa" w:w="3400"/>
            <w:tcMar>
              <w:top w:type="dxa" w:w="60"/>
              <w:left w:type="dxa" w:w="100"/>
              <w:bottom w:type="dxa" w:w="60"/>
              <w:right w:type="dxa" w:w="100"/>
            </w:tcMar>
            <w:vAlign w:val="center"/>
          </w:tcPr>
          <w:p>
            <w:pPr>
              <w:jc w:val="left"/>
            </w:pPr>
            <w:r>
              <w:rPr>
                <w:b w:val="false"/>
                <w:bCs w:val="false"/>
                <w:color w:val="000000"/>
                <w:sz w:val="19"/>
                <w:szCs w:val="19"/>
              </w:rPr>
              <w:t xml:space="preserve">Goodwill &amp; intangibles</w:t>
            </w:r>
          </w:p>
        </w:tc>
        <w:tc>
          <w:tcPr>
            <w:tcW w:type="dxa" w:w="2100"/>
            <w:tcMar>
              <w:top w:type="dxa" w:w="60"/>
              <w:left w:type="dxa" w:w="100"/>
              <w:bottom w:type="dxa" w:w="60"/>
              <w:right w:type="dxa" w:w="100"/>
            </w:tcMar>
            <w:vAlign w:val="center"/>
          </w:tcPr>
          <w:p>
            <w:pPr>
              <w:jc w:val="right"/>
            </w:pPr>
            <w:r>
              <w:rPr>
                <w:b w:val="false"/>
                <w:bCs w:val="false"/>
                <w:color w:val="000000"/>
                <w:sz w:val="19"/>
                <w:szCs w:val="19"/>
              </w:rPr>
              <w:t xml:space="preserve">3,535.7</w:t>
            </w:r>
          </w:p>
        </w:tc>
        <w:tc>
          <w:tcPr>
            <w:tcW w:type="dxa" w:w="2100"/>
            <w:tcMar>
              <w:top w:type="dxa" w:w="60"/>
              <w:left w:type="dxa" w:w="100"/>
              <w:bottom w:type="dxa" w:w="60"/>
              <w:right w:type="dxa" w:w="100"/>
            </w:tcMar>
            <w:vAlign w:val="center"/>
          </w:tcPr>
          <w:p>
            <w:pPr>
              <w:jc w:val="right"/>
            </w:pPr>
            <w:r>
              <w:rPr>
                <w:b w:val="false"/>
                <w:bCs w:val="false"/>
                <w:color w:val="000000"/>
                <w:sz w:val="19"/>
                <w:szCs w:val="19"/>
              </w:rPr>
              <w:t xml:space="preserve">3,416.6</w:t>
            </w:r>
          </w:p>
        </w:tc>
      </w:tr>
      <w:tr>
        <w:tc>
          <w:tcPr>
            <w:tcW w:type="dxa" w:w="3400"/>
            <w:shd w:fill="F2F2F2" w:color="auto" w:val="clear"/>
            <w:tcMar>
              <w:top w:type="dxa" w:w="60"/>
              <w:left w:type="dxa" w:w="100"/>
              <w:bottom w:type="dxa" w:w="60"/>
              <w:right w:type="dxa" w:w="100"/>
            </w:tcMar>
            <w:vAlign w:val="center"/>
          </w:tcPr>
          <w:p>
            <w:pPr>
              <w:jc w:val="left"/>
            </w:pPr>
            <w:r>
              <w:rPr>
                <w:b w:val="false"/>
                <w:bCs w:val="false"/>
                <w:color w:val="000000"/>
                <w:sz w:val="19"/>
                <w:szCs w:val="19"/>
              </w:rPr>
              <w:t xml:space="preserve">Other long-term assets</w:t>
            </w:r>
          </w:p>
        </w:tc>
        <w:tc>
          <w:tcPr>
            <w:tcW w:type="dxa" w:w="2100"/>
            <w:shd w:fill="F2F2F2" w:color="auto" w:val="clear"/>
            <w:tcMar>
              <w:top w:type="dxa" w:w="60"/>
              <w:left w:type="dxa" w:w="100"/>
              <w:bottom w:type="dxa" w:w="60"/>
              <w:right w:type="dxa" w:w="100"/>
            </w:tcMar>
            <w:vAlign w:val="center"/>
          </w:tcPr>
          <w:p>
            <w:pPr>
              <w:jc w:val="right"/>
            </w:pPr>
            <w:r>
              <w:rPr>
                <w:b w:val="false"/>
                <w:bCs w:val="false"/>
                <w:color w:val="000000"/>
                <w:sz w:val="19"/>
                <w:szCs w:val="19"/>
              </w:rPr>
              <w:t xml:space="preserve">3,292.5</w:t>
            </w:r>
          </w:p>
        </w:tc>
        <w:tc>
          <w:tcPr>
            <w:tcW w:type="dxa" w:w="2100"/>
            <w:shd w:fill="F2F2F2" w:color="auto" w:val="clear"/>
            <w:tcMar>
              <w:top w:type="dxa" w:w="60"/>
              <w:left w:type="dxa" w:w="100"/>
              <w:bottom w:type="dxa" w:w="60"/>
              <w:right w:type="dxa" w:w="100"/>
            </w:tcMar>
            <w:vAlign w:val="center"/>
          </w:tcPr>
          <w:p>
            <w:pPr>
              <w:jc w:val="right"/>
            </w:pPr>
            <w:r>
              <w:rPr>
                <w:b w:val="false"/>
                <w:bCs w:val="false"/>
                <w:color w:val="000000"/>
                <w:sz w:val="19"/>
                <w:szCs w:val="19"/>
              </w:rPr>
              <w:t xml:space="preserve">3,123.6</w:t>
            </w:r>
          </w:p>
        </w:tc>
      </w:tr>
      <w:tr>
        <w:tc>
          <w:tcPr>
            <w:tcW w:type="dxa" w:w="3400"/>
            <w:tcMar>
              <w:top w:type="dxa" w:w="60"/>
              <w:left w:type="dxa" w:w="100"/>
              <w:bottom w:type="dxa" w:w="60"/>
              <w:right w:type="dxa" w:w="100"/>
            </w:tcMar>
            <w:vAlign w:val="center"/>
          </w:tcPr>
          <w:p>
            <w:pPr>
              <w:jc w:val="left"/>
            </w:pPr>
            <w:r>
              <w:rPr>
                <w:b/>
                <w:bCs/>
                <w:color w:val="000000"/>
                <w:sz w:val="19"/>
                <w:szCs w:val="19"/>
              </w:rPr>
              <w:t xml:space="preserve">Total assets</w:t>
            </w:r>
          </w:p>
        </w:tc>
        <w:tc>
          <w:tcPr>
            <w:tcW w:type="dxa" w:w="2100"/>
            <w:tcMar>
              <w:top w:type="dxa" w:w="60"/>
              <w:left w:type="dxa" w:w="100"/>
              <w:bottom w:type="dxa" w:w="60"/>
              <w:right w:type="dxa" w:w="100"/>
            </w:tcMar>
            <w:vAlign w:val="center"/>
          </w:tcPr>
          <w:p>
            <w:pPr>
              <w:jc w:val="right"/>
            </w:pPr>
            <w:r>
              <w:rPr>
                <w:b/>
                <w:bCs/>
                <w:color w:val="000000"/>
                <w:sz w:val="19"/>
                <w:szCs w:val="19"/>
              </w:rPr>
              <w:t xml:space="preserve">32,019.7</w:t>
            </w:r>
          </w:p>
        </w:tc>
        <w:tc>
          <w:tcPr>
            <w:tcW w:type="dxa" w:w="2100"/>
            <w:tcMar>
              <w:top w:type="dxa" w:w="60"/>
              <w:left w:type="dxa" w:w="100"/>
              <w:bottom w:type="dxa" w:w="60"/>
              <w:right w:type="dxa" w:w="100"/>
            </w:tcMar>
            <w:vAlign w:val="center"/>
          </w:tcPr>
          <w:p>
            <w:pPr>
              <w:jc w:val="right"/>
            </w:pPr>
            <w:r>
              <w:rPr>
                <w:b/>
                <w:bCs/>
                <w:color w:val="000000"/>
                <w:sz w:val="19"/>
                <w:szCs w:val="19"/>
              </w:rPr>
              <w:t xml:space="preserve">31,339.3</w:t>
            </w:r>
          </w:p>
        </w:tc>
      </w:tr>
      <w:tr>
        <w:tc>
          <w:tcPr>
            <w:tcW w:type="dxa" w:w="3400"/>
            <w:shd w:fill="F2F2F2" w:color="auto" w:val="clear"/>
            <w:tcMar>
              <w:top w:type="dxa" w:w="60"/>
              <w:left w:type="dxa" w:w="100"/>
              <w:bottom w:type="dxa" w:w="60"/>
              <w:right w:type="dxa" w:w="100"/>
            </w:tcMar>
            <w:vAlign w:val="center"/>
          </w:tcPr>
          <w:p>
            <w:pPr>
              <w:jc w:val="left"/>
            </w:pPr>
            <w:r>
              <w:rPr>
                <w:b w:val="false"/>
                <w:bCs w:val="false"/>
                <w:color w:val="000000"/>
                <w:sz w:val="19"/>
                <w:szCs w:val="19"/>
              </w:rPr>
              <w:t xml:space="preserve">Accounts payable</w:t>
            </w:r>
          </w:p>
        </w:tc>
        <w:tc>
          <w:tcPr>
            <w:tcW w:type="dxa" w:w="2100"/>
            <w:shd w:fill="F2F2F2" w:color="auto" w:val="clear"/>
            <w:tcMar>
              <w:top w:type="dxa" w:w="60"/>
              <w:left w:type="dxa" w:w="100"/>
              <w:bottom w:type="dxa" w:w="60"/>
              <w:right w:type="dxa" w:w="100"/>
            </w:tcMar>
            <w:vAlign w:val="center"/>
          </w:tcPr>
          <w:p>
            <w:pPr>
              <w:jc w:val="right"/>
            </w:pPr>
            <w:r>
              <w:rPr>
                <w:b w:val="false"/>
                <w:bCs w:val="false"/>
                <w:color w:val="000000"/>
                <w:sz w:val="19"/>
                <w:szCs w:val="19"/>
              </w:rPr>
              <w:t xml:space="preserve">1,852.8</w:t>
            </w:r>
          </w:p>
        </w:tc>
        <w:tc>
          <w:tcPr>
            <w:tcW w:type="dxa" w:w="2100"/>
            <w:shd w:fill="F2F2F2" w:color="auto" w:val="clear"/>
            <w:tcMar>
              <w:top w:type="dxa" w:w="60"/>
              <w:left w:type="dxa" w:w="100"/>
              <w:bottom w:type="dxa" w:w="60"/>
              <w:right w:type="dxa" w:w="100"/>
            </w:tcMar>
            <w:vAlign w:val="center"/>
          </w:tcPr>
          <w:p>
            <w:pPr>
              <w:jc w:val="right"/>
            </w:pPr>
            <w:r>
              <w:rPr>
                <w:b w:val="false"/>
                <w:bCs w:val="false"/>
                <w:color w:val="000000"/>
                <w:sz w:val="19"/>
                <w:szCs w:val="19"/>
              </w:rPr>
              <w:t xml:space="preserve">1,595.5</w:t>
            </w:r>
          </w:p>
        </w:tc>
      </w:tr>
      <w:tr>
        <w:tc>
          <w:tcPr>
            <w:tcW w:type="dxa" w:w="3400"/>
            <w:tcMar>
              <w:top w:type="dxa" w:w="60"/>
              <w:left w:type="dxa" w:w="100"/>
              <w:bottom w:type="dxa" w:w="60"/>
              <w:right w:type="dxa" w:w="100"/>
            </w:tcMar>
            <w:vAlign w:val="center"/>
          </w:tcPr>
          <w:p>
            <w:pPr>
              <w:jc w:val="left"/>
            </w:pPr>
            <w:r>
              <w:rPr>
                <w:b w:val="false"/>
                <w:bCs w:val="false"/>
                <w:color w:val="000000"/>
                <w:sz w:val="19"/>
                <w:szCs w:val="19"/>
              </w:rPr>
              <w:t xml:space="preserve">Current portion of long-term debt</w:t>
            </w:r>
          </w:p>
        </w:tc>
        <w:tc>
          <w:tcPr>
            <w:tcW w:type="dxa" w:w="2100"/>
            <w:tcMar>
              <w:top w:type="dxa" w:w="60"/>
              <w:left w:type="dxa" w:w="100"/>
              <w:bottom w:type="dxa" w:w="60"/>
              <w:right w:type="dxa" w:w="100"/>
            </w:tcMar>
            <w:vAlign w:val="center"/>
          </w:tcPr>
          <w:p>
            <w:pPr>
              <w:jc w:val="right"/>
            </w:pPr>
            <w:r>
              <w:rPr>
                <w:b w:val="false"/>
                <w:bCs w:val="false"/>
                <w:color w:val="000000"/>
                <w:sz w:val="19"/>
                <w:szCs w:val="19"/>
              </w:rPr>
              <w:t xml:space="preserve">1,498.9</w:t>
            </w:r>
          </w:p>
        </w:tc>
        <w:tc>
          <w:tcPr>
            <w:tcW w:type="dxa" w:w="2100"/>
            <w:tcMar>
              <w:top w:type="dxa" w:w="60"/>
              <w:left w:type="dxa" w:w="100"/>
              <w:bottom w:type="dxa" w:w="60"/>
              <w:right w:type="dxa" w:w="100"/>
            </w:tcMar>
            <w:vAlign w:val="center"/>
          </w:tcPr>
          <w:p>
            <w:pPr>
              <w:jc w:val="right"/>
            </w:pPr>
            <w:r>
              <w:rPr>
                <w:b w:val="false"/>
                <w:bCs w:val="false"/>
                <w:color w:val="000000"/>
                <w:sz w:val="19"/>
                <w:szCs w:val="19"/>
              </w:rPr>
              <w:t xml:space="preserve">1,248.9</w:t>
            </w:r>
          </w:p>
        </w:tc>
      </w:tr>
      <w:tr>
        <w:tc>
          <w:tcPr>
            <w:tcW w:type="dxa" w:w="3400"/>
            <w:shd w:fill="F2F2F2" w:color="auto" w:val="clear"/>
            <w:tcMar>
              <w:top w:type="dxa" w:w="60"/>
              <w:left w:type="dxa" w:w="100"/>
              <w:bottom w:type="dxa" w:w="60"/>
              <w:right w:type="dxa" w:w="100"/>
            </w:tcMar>
            <w:vAlign w:val="center"/>
          </w:tcPr>
          <w:p>
            <w:pPr>
              <w:jc w:val="left"/>
            </w:pPr>
            <w:r>
              <w:rPr>
                <w:b w:val="false"/>
                <w:bCs w:val="false"/>
                <w:color w:val="000000"/>
                <w:sz w:val="19"/>
                <w:szCs w:val="19"/>
              </w:rPr>
              <w:t xml:space="preserve">Other current liabilities</w:t>
            </w:r>
          </w:p>
        </w:tc>
        <w:tc>
          <w:tcPr>
            <w:tcW w:type="dxa" w:w="2100"/>
            <w:shd w:fill="F2F2F2" w:color="auto" w:val="clear"/>
            <w:tcMar>
              <w:top w:type="dxa" w:w="60"/>
              <w:left w:type="dxa" w:w="100"/>
              <w:bottom w:type="dxa" w:w="60"/>
              <w:right w:type="dxa" w:w="100"/>
            </w:tcMar>
            <w:vAlign w:val="center"/>
          </w:tcPr>
          <w:p>
            <w:pPr>
              <w:jc w:val="right"/>
            </w:pPr>
            <w:r>
              <w:rPr>
                <w:b w:val="false"/>
                <w:bCs w:val="false"/>
                <w:color w:val="000000"/>
                <w:sz w:val="19"/>
                <w:szCs w:val="19"/>
              </w:rPr>
              <w:t xml:space="preserve">6,858.7</w:t>
            </w:r>
          </w:p>
        </w:tc>
        <w:tc>
          <w:tcPr>
            <w:tcW w:type="dxa" w:w="2100"/>
            <w:shd w:fill="F2F2F2" w:color="auto" w:val="clear"/>
            <w:tcMar>
              <w:top w:type="dxa" w:w="60"/>
              <w:left w:type="dxa" w:w="100"/>
              <w:bottom w:type="dxa" w:w="60"/>
              <w:right w:type="dxa" w:w="100"/>
            </w:tcMar>
            <w:vAlign w:val="center"/>
          </w:tcPr>
          <w:p>
            <w:pPr>
              <w:jc w:val="right"/>
            </w:pPr>
            <w:r>
              <w:rPr>
                <w:b w:val="false"/>
                <w:bCs w:val="false"/>
                <w:color w:val="000000"/>
                <w:sz w:val="19"/>
                <w:szCs w:val="19"/>
              </w:rPr>
              <w:t xml:space="preserve">6,225.6</w:t>
            </w:r>
          </w:p>
        </w:tc>
      </w:tr>
      <w:tr>
        <w:tc>
          <w:tcPr>
            <w:tcW w:type="dxa" w:w="3400"/>
            <w:tcMar>
              <w:top w:type="dxa" w:w="60"/>
              <w:left w:type="dxa" w:w="100"/>
              <w:bottom w:type="dxa" w:w="60"/>
              <w:right w:type="dxa" w:w="100"/>
            </w:tcMar>
            <w:vAlign w:val="center"/>
          </w:tcPr>
          <w:p>
            <w:pPr>
              <w:jc w:val="left"/>
            </w:pPr>
            <w:r>
              <w:rPr>
                <w:b/>
                <w:bCs/>
                <w:color w:val="000000"/>
                <w:sz w:val="19"/>
                <w:szCs w:val="19"/>
              </w:rPr>
              <w:t xml:space="preserve">Total current liabilities</w:t>
            </w:r>
          </w:p>
        </w:tc>
        <w:tc>
          <w:tcPr>
            <w:tcW w:type="dxa" w:w="2100"/>
            <w:tcMar>
              <w:top w:type="dxa" w:w="60"/>
              <w:left w:type="dxa" w:w="100"/>
              <w:bottom w:type="dxa" w:w="60"/>
              <w:right w:type="dxa" w:w="100"/>
            </w:tcMar>
            <w:vAlign w:val="center"/>
          </w:tcPr>
          <w:p>
            <w:pPr>
              <w:jc w:val="right"/>
            </w:pPr>
            <w:r>
              <w:rPr>
                <w:b/>
                <w:bCs/>
                <w:color w:val="000000"/>
                <w:sz w:val="19"/>
                <w:szCs w:val="19"/>
              </w:rPr>
              <w:t xml:space="preserve">10,210.4</w:t>
            </w:r>
          </w:p>
        </w:tc>
        <w:tc>
          <w:tcPr>
            <w:tcW w:type="dxa" w:w="2100"/>
            <w:tcMar>
              <w:top w:type="dxa" w:w="60"/>
              <w:left w:type="dxa" w:w="100"/>
              <w:bottom w:type="dxa" w:w="60"/>
              <w:right w:type="dxa" w:w="100"/>
            </w:tcMar>
            <w:vAlign w:val="center"/>
          </w:tcPr>
          <w:p>
            <w:pPr>
              <w:jc w:val="right"/>
            </w:pPr>
            <w:r>
              <w:rPr>
                <w:b/>
                <w:bCs/>
                <w:color w:val="000000"/>
                <w:sz w:val="19"/>
                <w:szCs w:val="19"/>
              </w:rPr>
              <w:t xml:space="preserve">9,070.0</w:t>
            </w:r>
          </w:p>
        </w:tc>
      </w:tr>
      <w:tr>
        <w:tc>
          <w:tcPr>
            <w:tcW w:type="dxa" w:w="3400"/>
            <w:shd w:fill="F2F2F2" w:color="auto" w:val="clear"/>
            <w:tcMar>
              <w:top w:type="dxa" w:w="60"/>
              <w:left w:type="dxa" w:w="100"/>
              <w:bottom w:type="dxa" w:w="60"/>
              <w:right w:type="dxa" w:w="100"/>
            </w:tcMar>
            <w:vAlign w:val="center"/>
          </w:tcPr>
          <w:p>
            <w:pPr>
              <w:jc w:val="left"/>
            </w:pPr>
            <w:r>
              <w:rPr>
                <w:b w:val="false"/>
                <w:bCs w:val="false"/>
                <w:color w:val="000000"/>
                <w:sz w:val="19"/>
                <w:szCs w:val="19"/>
              </w:rPr>
              <w:t xml:space="preserve">Long-term debt</w:t>
            </w:r>
          </w:p>
        </w:tc>
        <w:tc>
          <w:tcPr>
            <w:tcW w:type="dxa" w:w="2100"/>
            <w:shd w:fill="F2F2F2" w:color="auto" w:val="clear"/>
            <w:tcMar>
              <w:top w:type="dxa" w:w="60"/>
              <w:left w:type="dxa" w:w="100"/>
              <w:bottom w:type="dxa" w:w="60"/>
              <w:right w:type="dxa" w:w="100"/>
            </w:tcMar>
            <w:vAlign w:val="center"/>
          </w:tcPr>
          <w:p>
            <w:pPr>
              <w:jc w:val="right"/>
            </w:pPr>
            <w:r>
              <w:rPr>
                <w:b w:val="false"/>
                <w:bCs w:val="false"/>
                <w:color w:val="000000"/>
                <w:sz w:val="19"/>
                <w:szCs w:val="19"/>
              </w:rPr>
              <w:t xml:space="preserve">14,575.9</w:t>
            </w:r>
          </w:p>
        </w:tc>
        <w:tc>
          <w:tcPr>
            <w:tcW w:type="dxa" w:w="2100"/>
            <w:shd w:fill="F2F2F2" w:color="auto" w:val="clear"/>
            <w:tcMar>
              <w:top w:type="dxa" w:w="60"/>
              <w:left w:type="dxa" w:w="100"/>
              <w:bottom w:type="dxa" w:w="60"/>
              <w:right w:type="dxa" w:w="100"/>
            </w:tcMar>
            <w:vAlign w:val="center"/>
          </w:tcPr>
          <w:p>
            <w:pPr>
              <w:jc w:val="right"/>
            </w:pPr>
            <w:r>
              <w:rPr>
                <w:b w:val="false"/>
                <w:bCs w:val="false"/>
                <w:color w:val="000000"/>
                <w:sz w:val="19"/>
                <w:szCs w:val="19"/>
              </w:rPr>
              <w:t xml:space="preserve">14,319.5</w:t>
            </w:r>
          </w:p>
        </w:tc>
      </w:tr>
      <w:tr>
        <w:tc>
          <w:tcPr>
            <w:tcW w:type="dxa" w:w="3400"/>
            <w:tcMar>
              <w:top w:type="dxa" w:w="60"/>
              <w:left w:type="dxa" w:w="100"/>
              <w:bottom w:type="dxa" w:w="60"/>
              <w:right w:type="dxa" w:w="100"/>
            </w:tcMar>
            <w:vAlign w:val="center"/>
          </w:tcPr>
          <w:p>
            <w:pPr>
              <w:jc w:val="left"/>
            </w:pPr>
            <w:r>
              <w:rPr>
                <w:b w:val="false"/>
                <w:bCs w:val="false"/>
                <w:color w:val="000000"/>
                <w:sz w:val="19"/>
                <w:szCs w:val="19"/>
              </w:rPr>
              <w:t xml:space="preserve">Operating lease liability</w:t>
            </w:r>
          </w:p>
        </w:tc>
        <w:tc>
          <w:tcPr>
            <w:tcW w:type="dxa" w:w="2100"/>
            <w:tcMar>
              <w:top w:type="dxa" w:w="60"/>
              <w:left w:type="dxa" w:w="100"/>
              <w:bottom w:type="dxa" w:w="60"/>
              <w:right w:type="dxa" w:w="100"/>
            </w:tcMar>
            <w:vAlign w:val="center"/>
          </w:tcPr>
          <w:p>
            <w:pPr>
              <w:jc w:val="right"/>
            </w:pPr>
            <w:r>
              <w:rPr>
                <w:b w:val="false"/>
                <w:bCs w:val="false"/>
                <w:color w:val="000000"/>
                <w:sz w:val="19"/>
                <w:szCs w:val="19"/>
              </w:rPr>
              <w:t xml:space="preserve">8,972.2</w:t>
            </w:r>
          </w:p>
        </w:tc>
        <w:tc>
          <w:tcPr>
            <w:tcW w:type="dxa" w:w="2100"/>
            <w:tcMar>
              <w:top w:type="dxa" w:w="60"/>
              <w:left w:type="dxa" w:w="100"/>
              <w:bottom w:type="dxa" w:w="60"/>
              <w:right w:type="dxa" w:w="100"/>
            </w:tcMar>
            <w:vAlign w:val="center"/>
          </w:tcPr>
          <w:p>
            <w:pPr>
              <w:jc w:val="right"/>
            </w:pPr>
            <w:r>
              <w:rPr>
                <w:b w:val="false"/>
                <w:bCs w:val="false"/>
                <w:color w:val="000000"/>
                <w:sz w:val="19"/>
                <w:szCs w:val="19"/>
              </w:rPr>
              <w:t xml:space="preserve">8,771.6</w:t>
            </w:r>
          </w:p>
        </w:tc>
      </w:tr>
      <w:tr>
        <w:tc>
          <w:tcPr>
            <w:tcW w:type="dxa" w:w="3400"/>
            <w:shd w:fill="F2F2F2" w:color="auto" w:val="clear"/>
            <w:tcMar>
              <w:top w:type="dxa" w:w="60"/>
              <w:left w:type="dxa" w:w="100"/>
              <w:bottom w:type="dxa" w:w="60"/>
              <w:right w:type="dxa" w:w="100"/>
            </w:tcMar>
            <w:vAlign w:val="center"/>
          </w:tcPr>
          <w:p>
            <w:pPr>
              <w:jc w:val="left"/>
            </w:pPr>
            <w:r>
              <w:rPr>
                <w:b w:val="false"/>
                <w:bCs w:val="false"/>
                <w:color w:val="000000"/>
                <w:sz w:val="19"/>
                <w:szCs w:val="19"/>
              </w:rPr>
              <w:t xml:space="preserve">Other long-term liabilities</w:t>
            </w:r>
          </w:p>
        </w:tc>
        <w:tc>
          <w:tcPr>
            <w:tcW w:type="dxa" w:w="2100"/>
            <w:shd w:fill="F2F2F2" w:color="auto" w:val="clear"/>
            <w:tcMar>
              <w:top w:type="dxa" w:w="60"/>
              <w:left w:type="dxa" w:w="100"/>
              <w:bottom w:type="dxa" w:w="60"/>
              <w:right w:type="dxa" w:w="100"/>
            </w:tcMar>
            <w:vAlign w:val="center"/>
          </w:tcPr>
          <w:p>
            <w:pPr>
              <w:jc w:val="right"/>
            </w:pPr>
            <w:r>
              <w:rPr>
                <w:b w:val="false"/>
                <w:bCs w:val="false"/>
                <w:color w:val="000000"/>
                <w:sz w:val="19"/>
                <w:szCs w:val="19"/>
              </w:rPr>
              <w:t xml:space="preserve">6,350.4</w:t>
            </w:r>
          </w:p>
        </w:tc>
        <w:tc>
          <w:tcPr>
            <w:tcW w:type="dxa" w:w="2100"/>
            <w:shd w:fill="F2F2F2" w:color="auto" w:val="clear"/>
            <w:tcMar>
              <w:top w:type="dxa" w:w="60"/>
              <w:left w:type="dxa" w:w="100"/>
              <w:bottom w:type="dxa" w:w="60"/>
              <w:right w:type="dxa" w:w="100"/>
            </w:tcMar>
            <w:vAlign w:val="center"/>
          </w:tcPr>
          <w:p>
            <w:pPr>
              <w:jc w:val="right"/>
            </w:pPr>
            <w:r>
              <w:rPr>
                <w:b w:val="false"/>
                <w:bCs w:val="false"/>
                <w:color w:val="000000"/>
                <w:sz w:val="19"/>
                <w:szCs w:val="19"/>
              </w:rPr>
              <w:t xml:space="preserve">6,619.8</w:t>
            </w:r>
          </w:p>
        </w:tc>
      </w:tr>
      <w:tr>
        <w:tc>
          <w:tcPr>
            <w:tcW w:type="dxa" w:w="3400"/>
            <w:tcMar>
              <w:top w:type="dxa" w:w="60"/>
              <w:left w:type="dxa" w:w="100"/>
              <w:bottom w:type="dxa" w:w="60"/>
              <w:right w:type="dxa" w:w="100"/>
            </w:tcMar>
            <w:vAlign w:val="center"/>
          </w:tcPr>
          <w:p>
            <w:pPr>
              <w:jc w:val="left"/>
            </w:pPr>
            <w:r>
              <w:rPr>
                <w:b/>
                <w:bCs/>
                <w:color w:val="000000"/>
                <w:sz w:val="19"/>
                <w:szCs w:val="19"/>
              </w:rPr>
              <w:t xml:space="preserve">Total liabilities</w:t>
            </w:r>
          </w:p>
        </w:tc>
        <w:tc>
          <w:tcPr>
            <w:tcW w:type="dxa" w:w="2100"/>
            <w:tcMar>
              <w:top w:type="dxa" w:w="60"/>
              <w:left w:type="dxa" w:w="100"/>
              <w:bottom w:type="dxa" w:w="60"/>
              <w:right w:type="dxa" w:w="100"/>
            </w:tcMar>
            <w:vAlign w:val="center"/>
          </w:tcPr>
          <w:p>
            <w:pPr>
              <w:jc w:val="right"/>
            </w:pPr>
            <w:r>
              <w:rPr>
                <w:b/>
                <w:bCs/>
                <w:color w:val="000000"/>
                <w:sz w:val="19"/>
                <w:szCs w:val="19"/>
              </w:rPr>
              <w:t xml:space="preserve">40,108.9</w:t>
            </w:r>
          </w:p>
        </w:tc>
        <w:tc>
          <w:tcPr>
            <w:tcW w:type="dxa" w:w="2100"/>
            <w:tcMar>
              <w:top w:type="dxa" w:w="60"/>
              <w:left w:type="dxa" w:w="100"/>
              <w:bottom w:type="dxa" w:w="60"/>
              <w:right w:type="dxa" w:w="100"/>
            </w:tcMar>
            <w:vAlign w:val="center"/>
          </w:tcPr>
          <w:p>
            <w:pPr>
              <w:jc w:val="right"/>
            </w:pPr>
            <w:r>
              <w:rPr>
                <w:b/>
                <w:bCs/>
                <w:color w:val="000000"/>
                <w:sz w:val="19"/>
                <w:szCs w:val="19"/>
              </w:rPr>
              <w:t xml:space="preserve">38,780.9</w:t>
            </w:r>
          </w:p>
        </w:tc>
      </w:tr>
      <w:tr>
        <w:tc>
          <w:tcPr>
            <w:tcW w:type="dxa" w:w="3400"/>
            <w:shd w:fill="F2F2F2" w:color="auto" w:val="clear"/>
            <w:tcMar>
              <w:top w:type="dxa" w:w="60"/>
              <w:left w:type="dxa" w:w="100"/>
              <w:bottom w:type="dxa" w:w="60"/>
              <w:right w:type="dxa" w:w="100"/>
            </w:tcMar>
            <w:vAlign w:val="center"/>
          </w:tcPr>
          <w:p>
            <w:pPr>
              <w:jc w:val="left"/>
            </w:pPr>
            <w:r>
              <w:rPr>
                <w:b/>
                <w:bCs/>
                <w:color w:val="000000"/>
                <w:sz w:val="19"/>
                <w:szCs w:val="19"/>
              </w:rPr>
              <w:t xml:space="preserve">Total shareholders' deficit</w:t>
            </w:r>
          </w:p>
        </w:tc>
        <w:tc>
          <w:tcPr>
            <w:tcW w:type="dxa" w:w="2100"/>
            <w:shd w:fill="F2F2F2" w:color="auto" w:val="clear"/>
            <w:tcMar>
              <w:top w:type="dxa" w:w="60"/>
              <w:left w:type="dxa" w:w="100"/>
              <w:bottom w:type="dxa" w:w="60"/>
              <w:right w:type="dxa" w:w="100"/>
            </w:tcMar>
            <w:vAlign w:val="center"/>
          </w:tcPr>
          <w:p>
            <w:pPr>
              <w:jc w:val="right"/>
            </w:pPr>
            <w:r>
              <w:rPr>
                <w:b/>
                <w:bCs/>
                <w:color w:val="000000"/>
                <w:sz w:val="19"/>
                <w:szCs w:val="19"/>
              </w:rPr>
              <w:t xml:space="preserve">(8,096.6)</w:t>
            </w:r>
          </w:p>
        </w:tc>
        <w:tc>
          <w:tcPr>
            <w:tcW w:type="dxa" w:w="2100"/>
            <w:shd w:fill="F2F2F2" w:color="auto" w:val="clear"/>
            <w:tcMar>
              <w:top w:type="dxa" w:w="60"/>
              <w:left w:type="dxa" w:w="100"/>
              <w:bottom w:type="dxa" w:w="60"/>
              <w:right w:type="dxa" w:w="100"/>
            </w:tcMar>
            <w:vAlign w:val="center"/>
          </w:tcPr>
          <w:p>
            <w:pPr>
              <w:jc w:val="right"/>
            </w:pPr>
            <w:r>
              <w:rPr>
                <w:b/>
                <w:bCs/>
                <w:color w:val="000000"/>
                <w:sz w:val="19"/>
                <w:szCs w:val="19"/>
              </w:rPr>
              <w:t xml:space="preserve">(7,448.9)</w:t>
            </w:r>
          </w:p>
        </w:tc>
      </w:tr>
    </w:tbl>
    <w:p>
      <w:pPr>
        <w:spacing w:after="160" w:line="276"/>
      </w:pPr>
      <w:r>
        <w:rPr>
          <w:i/>
          <w:iCs/>
          <w:sz w:val="21"/>
          <w:szCs w:val="21"/>
        </w:rPr>
        <w:t xml:space="preserve">Takeaway: Starbucks carries negative book equity of roughly –$8.1 billion, the cumulative result of many years of share buybacks and dividends exceeding retained earnings. This is common among mature, shareholder-return-focused large-cap companies and is not automatically a red flag, but it does mean traditional debt-to-equity ratios are not meaningful here — credit analysis must instead lean on cash-flow-based leverage metrics (see Section 3).</w:t>
      </w:r>
    </w:p>
    <w:p>
      <w:pPr>
        <w:pStyle w:val="Heading2"/>
        <w:spacing w:after="120" w:before="240"/>
      </w:pPr>
      <w:r>
        <w:rPr>
          <w:b/>
          <w:bCs/>
          <w:color w:val="1F3864"/>
          <w:sz w:val="24"/>
          <w:szCs w:val="24"/>
        </w:rPr>
        <w:t xml:space="preserve">2.3 Cash Flow Summary ($ in millions)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400"/>
        <w:gridCol w:w="2100"/>
        <w:gridCol w:w="2100"/>
        <w:gridCol w:w="1700"/>
      </w:tblGrid>
      <w:tr>
        <w:trPr>
          <w:tblHeader/>
        </w:trPr>
        <w:tc>
          <w:tcPr>
            <w:tcW w:type="dxa" w:w="3400"/>
            <w:shd w:fill="1F3864" w:color="auto" w:val="clear"/>
            <w:tcMar>
              <w:top w:type="dxa" w:w="60"/>
              <w:left w:type="dxa" w:w="100"/>
              <w:bottom w:type="dxa" w:w="60"/>
              <w:right w:type="dxa" w:w="100"/>
            </w:tcMar>
            <w:vAlign w:val="center"/>
          </w:tcPr>
          <w:p>
            <w:pPr>
              <w:jc w:val="left"/>
            </w:pPr>
            <w:r>
              <w:rPr>
                <w:b/>
                <w:bCs/>
                <w:color w:val="FFFFFF"/>
                <w:sz w:val="19"/>
                <w:szCs w:val="19"/>
              </w:rPr>
              <w:t xml:space="preserve">Line Item</w:t>
            </w:r>
          </w:p>
        </w:tc>
        <w:tc>
          <w:tcPr>
            <w:tcW w:type="dxa" w:w="2100"/>
            <w:shd w:fill="1F3864" w:color="auto" w:val="clear"/>
            <w:tcMar>
              <w:top w:type="dxa" w:w="60"/>
              <w:left w:type="dxa" w:w="100"/>
              <w:bottom w:type="dxa" w:w="60"/>
              <w:right w:type="dxa" w:w="100"/>
            </w:tcMar>
            <w:vAlign w:val="center"/>
          </w:tcPr>
          <w:p>
            <w:pPr>
              <w:jc w:val="right"/>
            </w:pPr>
            <w:r>
              <w:rPr>
                <w:b/>
                <w:bCs/>
                <w:color w:val="FFFFFF"/>
                <w:sz w:val="19"/>
                <w:szCs w:val="19"/>
              </w:rPr>
              <w:t xml:space="preserve">FY2025</w:t>
            </w:r>
          </w:p>
        </w:tc>
        <w:tc>
          <w:tcPr>
            <w:tcW w:type="dxa" w:w="2100"/>
            <w:shd w:fill="1F3864" w:color="auto" w:val="clear"/>
            <w:tcMar>
              <w:top w:type="dxa" w:w="60"/>
              <w:left w:type="dxa" w:w="100"/>
              <w:bottom w:type="dxa" w:w="60"/>
              <w:right w:type="dxa" w:w="100"/>
            </w:tcMar>
            <w:vAlign w:val="center"/>
          </w:tcPr>
          <w:p>
            <w:pPr>
              <w:jc w:val="right"/>
            </w:pPr>
            <w:r>
              <w:rPr>
                <w:b/>
                <w:bCs/>
                <w:color w:val="FFFFFF"/>
                <w:sz w:val="19"/>
                <w:szCs w:val="19"/>
              </w:rPr>
              <w:t xml:space="preserve">FY2024</w:t>
            </w:r>
          </w:p>
        </w:tc>
        <w:tc>
          <w:tcPr>
            <w:tcW w:type="dxa" w:w="1700"/>
            <w:shd w:fill="1F3864" w:color="auto" w:val="clear"/>
            <w:tcMar>
              <w:top w:type="dxa" w:w="60"/>
              <w:left w:type="dxa" w:w="100"/>
              <w:bottom w:type="dxa" w:w="60"/>
              <w:right w:type="dxa" w:w="100"/>
            </w:tcMar>
            <w:vAlign w:val="center"/>
          </w:tcPr>
          <w:p>
            <w:pPr>
              <w:jc w:val="right"/>
            </w:pPr>
            <w:r>
              <w:rPr>
                <w:b/>
                <w:bCs/>
                <w:color w:val="FFFFFF"/>
                <w:sz w:val="19"/>
                <w:szCs w:val="19"/>
              </w:rPr>
              <w:t xml:space="preserve">FY2023</w:t>
            </w:r>
          </w:p>
        </w:tc>
      </w:tr>
      <w:tr>
        <w:tc>
          <w:tcPr>
            <w:tcW w:type="dxa" w:w="3400"/>
            <w:tcMar>
              <w:top w:type="dxa" w:w="60"/>
              <w:left w:type="dxa" w:w="100"/>
              <w:bottom w:type="dxa" w:w="60"/>
              <w:right w:type="dxa" w:w="100"/>
            </w:tcMar>
            <w:vAlign w:val="center"/>
          </w:tcPr>
          <w:p>
            <w:pPr>
              <w:jc w:val="left"/>
            </w:pPr>
            <w:r>
              <w:rPr>
                <w:b w:val="false"/>
                <w:bCs w:val="false"/>
                <w:color w:val="000000"/>
                <w:sz w:val="19"/>
                <w:szCs w:val="19"/>
              </w:rPr>
              <w:t xml:space="preserve">Net cash provided by operating activities</w:t>
            </w:r>
          </w:p>
        </w:tc>
        <w:tc>
          <w:tcPr>
            <w:tcW w:type="dxa" w:w="2100"/>
            <w:tcMar>
              <w:top w:type="dxa" w:w="60"/>
              <w:left w:type="dxa" w:w="100"/>
              <w:bottom w:type="dxa" w:w="60"/>
              <w:right w:type="dxa" w:w="100"/>
            </w:tcMar>
            <w:vAlign w:val="center"/>
          </w:tcPr>
          <w:p>
            <w:pPr>
              <w:jc w:val="right"/>
            </w:pPr>
            <w:r>
              <w:rPr>
                <w:b w:val="false"/>
                <w:bCs w:val="false"/>
                <w:color w:val="000000"/>
                <w:sz w:val="19"/>
                <w:szCs w:val="19"/>
              </w:rPr>
              <w:t xml:space="preserve">4,747.5</w:t>
            </w:r>
          </w:p>
        </w:tc>
        <w:tc>
          <w:tcPr>
            <w:tcW w:type="dxa" w:w="2100"/>
            <w:tcMar>
              <w:top w:type="dxa" w:w="60"/>
              <w:left w:type="dxa" w:w="100"/>
              <w:bottom w:type="dxa" w:w="60"/>
              <w:right w:type="dxa" w:w="100"/>
            </w:tcMar>
            <w:vAlign w:val="center"/>
          </w:tcPr>
          <w:p>
            <w:pPr>
              <w:jc w:val="right"/>
            </w:pPr>
            <w:r>
              <w:rPr>
                <w:b w:val="false"/>
                <w:bCs w:val="false"/>
                <w:color w:val="000000"/>
                <w:sz w:val="19"/>
                <w:szCs w:val="19"/>
              </w:rPr>
              <w:t xml:space="preserve">6,095.6</w:t>
            </w:r>
          </w:p>
        </w:tc>
        <w:tc>
          <w:tcPr>
            <w:tcW w:type="dxa" w:w="1700"/>
            <w:tcMar>
              <w:top w:type="dxa" w:w="60"/>
              <w:left w:type="dxa" w:w="100"/>
              <w:bottom w:type="dxa" w:w="60"/>
              <w:right w:type="dxa" w:w="100"/>
            </w:tcMar>
            <w:vAlign w:val="center"/>
          </w:tcPr>
          <w:p>
            <w:pPr>
              <w:jc w:val="right"/>
            </w:pPr>
            <w:r>
              <w:rPr>
                <w:b w:val="false"/>
                <w:bCs w:val="false"/>
                <w:color w:val="000000"/>
                <w:sz w:val="19"/>
                <w:szCs w:val="19"/>
              </w:rPr>
              <w:t xml:space="preserve">6,008.7</w:t>
            </w:r>
          </w:p>
        </w:tc>
      </w:tr>
      <w:tr>
        <w:tc>
          <w:tcPr>
            <w:tcW w:type="dxa" w:w="3400"/>
            <w:shd w:fill="F2F2F2" w:color="auto" w:val="clear"/>
            <w:tcMar>
              <w:top w:type="dxa" w:w="60"/>
              <w:left w:type="dxa" w:w="100"/>
              <w:bottom w:type="dxa" w:w="60"/>
              <w:right w:type="dxa" w:w="100"/>
            </w:tcMar>
            <w:vAlign w:val="center"/>
          </w:tcPr>
          <w:p>
            <w:pPr>
              <w:jc w:val="left"/>
            </w:pPr>
            <w:r>
              <w:rPr>
                <w:b w:val="false"/>
                <w:bCs w:val="false"/>
                <w:color w:val="000000"/>
                <w:sz w:val="19"/>
                <w:szCs w:val="19"/>
              </w:rPr>
              <w:t xml:space="preserve">Capital expenditures</w:t>
            </w:r>
          </w:p>
        </w:tc>
        <w:tc>
          <w:tcPr>
            <w:tcW w:type="dxa" w:w="2100"/>
            <w:shd w:fill="F2F2F2" w:color="auto" w:val="clear"/>
            <w:tcMar>
              <w:top w:type="dxa" w:w="60"/>
              <w:left w:type="dxa" w:w="100"/>
              <w:bottom w:type="dxa" w:w="60"/>
              <w:right w:type="dxa" w:w="100"/>
            </w:tcMar>
            <w:vAlign w:val="center"/>
          </w:tcPr>
          <w:p>
            <w:pPr>
              <w:jc w:val="right"/>
            </w:pPr>
            <w:r>
              <w:rPr>
                <w:b w:val="false"/>
                <w:bCs w:val="false"/>
                <w:color w:val="000000"/>
                <w:sz w:val="19"/>
                <w:szCs w:val="19"/>
              </w:rPr>
              <w:t xml:space="preserve">(2,305.5)</w:t>
            </w:r>
          </w:p>
        </w:tc>
        <w:tc>
          <w:tcPr>
            <w:tcW w:type="dxa" w:w="2100"/>
            <w:shd w:fill="F2F2F2" w:color="auto" w:val="clear"/>
            <w:tcMar>
              <w:top w:type="dxa" w:w="60"/>
              <w:left w:type="dxa" w:w="100"/>
              <w:bottom w:type="dxa" w:w="60"/>
              <w:right w:type="dxa" w:w="100"/>
            </w:tcMar>
            <w:vAlign w:val="center"/>
          </w:tcPr>
          <w:p>
            <w:pPr>
              <w:jc w:val="right"/>
            </w:pPr>
            <w:r>
              <w:rPr>
                <w:b w:val="false"/>
                <w:bCs w:val="false"/>
                <w:color w:val="000000"/>
                <w:sz w:val="19"/>
                <w:szCs w:val="19"/>
              </w:rPr>
              <w:t xml:space="preserve">(2,777.5)</w:t>
            </w:r>
          </w:p>
        </w:tc>
        <w:tc>
          <w:tcPr>
            <w:tcW w:type="dxa" w:w="1700"/>
            <w:shd w:fill="F2F2F2" w:color="auto" w:val="clear"/>
            <w:tcMar>
              <w:top w:type="dxa" w:w="60"/>
              <w:left w:type="dxa" w:w="100"/>
              <w:bottom w:type="dxa" w:w="60"/>
              <w:right w:type="dxa" w:w="100"/>
            </w:tcMar>
            <w:vAlign w:val="center"/>
          </w:tcPr>
          <w:p>
            <w:pPr>
              <w:jc w:val="right"/>
            </w:pPr>
            <w:r>
              <w:rPr>
                <w:b w:val="false"/>
                <w:bCs w:val="false"/>
                <w:color w:val="000000"/>
                <w:sz w:val="19"/>
                <w:szCs w:val="19"/>
              </w:rPr>
              <w:t xml:space="preserve">(2,333.6)</w:t>
            </w:r>
          </w:p>
        </w:tc>
      </w:tr>
      <w:tr>
        <w:tc>
          <w:tcPr>
            <w:tcW w:type="dxa" w:w="3400"/>
            <w:tcMar>
              <w:top w:type="dxa" w:w="60"/>
              <w:left w:type="dxa" w:w="100"/>
              <w:bottom w:type="dxa" w:w="60"/>
              <w:right w:type="dxa" w:w="100"/>
            </w:tcMar>
            <w:vAlign w:val="center"/>
          </w:tcPr>
          <w:p>
            <w:pPr>
              <w:jc w:val="left"/>
            </w:pPr>
            <w:r>
              <w:rPr>
                <w:b/>
                <w:bCs/>
                <w:color w:val="000000"/>
                <w:sz w:val="19"/>
                <w:szCs w:val="19"/>
              </w:rPr>
              <w:t xml:space="preserve">Free cash flow (OCF – CapEx)</w:t>
            </w:r>
          </w:p>
        </w:tc>
        <w:tc>
          <w:tcPr>
            <w:tcW w:type="dxa" w:w="2100"/>
            <w:tcMar>
              <w:top w:type="dxa" w:w="60"/>
              <w:left w:type="dxa" w:w="100"/>
              <w:bottom w:type="dxa" w:w="60"/>
              <w:right w:type="dxa" w:w="100"/>
            </w:tcMar>
            <w:vAlign w:val="center"/>
          </w:tcPr>
          <w:p>
            <w:pPr>
              <w:jc w:val="right"/>
            </w:pPr>
            <w:r>
              <w:rPr>
                <w:b/>
                <w:bCs/>
                <w:color w:val="000000"/>
                <w:sz w:val="19"/>
                <w:szCs w:val="19"/>
              </w:rPr>
              <w:t xml:space="preserve">2,442.0</w:t>
            </w:r>
          </w:p>
        </w:tc>
        <w:tc>
          <w:tcPr>
            <w:tcW w:type="dxa" w:w="2100"/>
            <w:tcMar>
              <w:top w:type="dxa" w:w="60"/>
              <w:left w:type="dxa" w:w="100"/>
              <w:bottom w:type="dxa" w:w="60"/>
              <w:right w:type="dxa" w:w="100"/>
            </w:tcMar>
            <w:vAlign w:val="center"/>
          </w:tcPr>
          <w:p>
            <w:pPr>
              <w:jc w:val="right"/>
            </w:pPr>
            <w:r>
              <w:rPr>
                <w:b/>
                <w:bCs/>
                <w:color w:val="000000"/>
                <w:sz w:val="19"/>
                <w:szCs w:val="19"/>
              </w:rPr>
              <w:t xml:space="preserve">3,318.1</w:t>
            </w:r>
          </w:p>
        </w:tc>
        <w:tc>
          <w:tcPr>
            <w:tcW w:type="dxa" w:w="1700"/>
            <w:tcMar>
              <w:top w:type="dxa" w:w="60"/>
              <w:left w:type="dxa" w:w="100"/>
              <w:bottom w:type="dxa" w:w="60"/>
              <w:right w:type="dxa" w:w="100"/>
            </w:tcMar>
            <w:vAlign w:val="center"/>
          </w:tcPr>
          <w:p>
            <w:pPr>
              <w:jc w:val="right"/>
            </w:pPr>
            <w:r>
              <w:rPr>
                <w:b/>
                <w:bCs/>
                <w:color w:val="000000"/>
                <w:sz w:val="19"/>
                <w:szCs w:val="19"/>
              </w:rPr>
              <w:t xml:space="preserve">3,675.1</w:t>
            </w:r>
          </w:p>
        </w:tc>
      </w:tr>
      <w:tr>
        <w:tc>
          <w:tcPr>
            <w:tcW w:type="dxa" w:w="3400"/>
            <w:shd w:fill="F2F2F2" w:color="auto" w:val="clear"/>
            <w:tcMar>
              <w:top w:type="dxa" w:w="60"/>
              <w:left w:type="dxa" w:w="100"/>
              <w:bottom w:type="dxa" w:w="60"/>
              <w:right w:type="dxa" w:w="100"/>
            </w:tcMar>
            <w:vAlign w:val="center"/>
          </w:tcPr>
          <w:p>
            <w:pPr>
              <w:jc w:val="left"/>
            </w:pPr>
            <w:r>
              <w:rPr>
                <w:b w:val="false"/>
                <w:bCs w:val="false"/>
                <w:color w:val="000000"/>
                <w:sz w:val="19"/>
                <w:szCs w:val="19"/>
              </w:rPr>
              <w:t xml:space="preserve">Cash dividends paid</w:t>
            </w:r>
          </w:p>
        </w:tc>
        <w:tc>
          <w:tcPr>
            <w:tcW w:type="dxa" w:w="2100"/>
            <w:shd w:fill="F2F2F2" w:color="auto" w:val="clear"/>
            <w:tcMar>
              <w:top w:type="dxa" w:w="60"/>
              <w:left w:type="dxa" w:w="100"/>
              <w:bottom w:type="dxa" w:w="60"/>
              <w:right w:type="dxa" w:w="100"/>
            </w:tcMar>
            <w:vAlign w:val="center"/>
          </w:tcPr>
          <w:p>
            <w:pPr>
              <w:jc w:val="right"/>
            </w:pPr>
            <w:r>
              <w:rPr>
                <w:b w:val="false"/>
                <w:bCs w:val="false"/>
                <w:color w:val="000000"/>
                <w:sz w:val="19"/>
                <w:szCs w:val="19"/>
              </w:rPr>
              <w:t xml:space="preserve">(2,771.4)</w:t>
            </w:r>
          </w:p>
        </w:tc>
        <w:tc>
          <w:tcPr>
            <w:tcW w:type="dxa" w:w="2100"/>
            <w:shd w:fill="F2F2F2" w:color="auto" w:val="clear"/>
            <w:tcMar>
              <w:top w:type="dxa" w:w="60"/>
              <w:left w:type="dxa" w:w="100"/>
              <w:bottom w:type="dxa" w:w="60"/>
              <w:right w:type="dxa" w:w="100"/>
            </w:tcMar>
            <w:vAlign w:val="center"/>
          </w:tcPr>
          <w:p>
            <w:pPr>
              <w:jc w:val="right"/>
            </w:pPr>
            <w:r>
              <w:rPr>
                <w:b w:val="false"/>
                <w:bCs w:val="false"/>
                <w:color w:val="000000"/>
                <w:sz w:val="19"/>
                <w:szCs w:val="19"/>
              </w:rPr>
              <w:t xml:space="preserve">(2,585.0)</w:t>
            </w:r>
          </w:p>
        </w:tc>
        <w:tc>
          <w:tcPr>
            <w:tcW w:type="dxa" w:w="1700"/>
            <w:shd w:fill="F2F2F2" w:color="auto" w:val="clear"/>
            <w:tcMar>
              <w:top w:type="dxa" w:w="60"/>
              <w:left w:type="dxa" w:w="100"/>
              <w:bottom w:type="dxa" w:w="60"/>
              <w:right w:type="dxa" w:w="100"/>
            </w:tcMar>
            <w:vAlign w:val="center"/>
          </w:tcPr>
          <w:p>
            <w:pPr>
              <w:jc w:val="right"/>
            </w:pPr>
            <w:r>
              <w:rPr>
                <w:b w:val="false"/>
                <w:bCs w:val="false"/>
                <w:color w:val="000000"/>
                <w:sz w:val="19"/>
                <w:szCs w:val="19"/>
              </w:rPr>
              <w:t xml:space="preserve">(2,431.8)</w:t>
            </w:r>
          </w:p>
        </w:tc>
      </w:tr>
      <w:tr>
        <w:tc>
          <w:tcPr>
            <w:tcW w:type="dxa" w:w="3400"/>
            <w:tcMar>
              <w:top w:type="dxa" w:w="60"/>
              <w:left w:type="dxa" w:w="100"/>
              <w:bottom w:type="dxa" w:w="60"/>
              <w:right w:type="dxa" w:w="100"/>
            </w:tcMar>
            <w:vAlign w:val="center"/>
          </w:tcPr>
          <w:p>
            <w:pPr>
              <w:jc w:val="left"/>
            </w:pPr>
            <w:r>
              <w:rPr>
                <w:b w:val="false"/>
                <w:bCs w:val="false"/>
                <w:color w:val="000000"/>
                <w:sz w:val="19"/>
                <w:szCs w:val="19"/>
              </w:rPr>
              <w:t xml:space="preserve">Share repurchases</w:t>
            </w:r>
          </w:p>
        </w:tc>
        <w:tc>
          <w:tcPr>
            <w:tcW w:type="dxa" w:w="2100"/>
            <w:tcMar>
              <w:top w:type="dxa" w:w="60"/>
              <w:left w:type="dxa" w:w="100"/>
              <w:bottom w:type="dxa" w:w="60"/>
              <w:right w:type="dxa" w:w="100"/>
            </w:tcMar>
            <w:vAlign w:val="center"/>
          </w:tcPr>
          <w:p>
            <w:pPr>
              <w:jc w:val="right"/>
            </w:pPr>
            <w:r>
              <w:rPr>
                <w:b w:val="false"/>
                <w:bCs w:val="false"/>
                <w:color w:val="000000"/>
                <w:sz w:val="19"/>
                <w:szCs w:val="19"/>
              </w:rPr>
              <w:t xml:space="preserve">—</w:t>
            </w:r>
          </w:p>
        </w:tc>
        <w:tc>
          <w:tcPr>
            <w:tcW w:type="dxa" w:w="2100"/>
            <w:tcMar>
              <w:top w:type="dxa" w:w="60"/>
              <w:left w:type="dxa" w:w="100"/>
              <w:bottom w:type="dxa" w:w="60"/>
              <w:right w:type="dxa" w:w="100"/>
            </w:tcMar>
            <w:vAlign w:val="center"/>
          </w:tcPr>
          <w:p>
            <w:pPr>
              <w:jc w:val="right"/>
            </w:pPr>
            <w:r>
              <w:rPr>
                <w:b w:val="false"/>
                <w:bCs w:val="false"/>
                <w:color w:val="000000"/>
                <w:sz w:val="19"/>
                <w:szCs w:val="19"/>
              </w:rPr>
              <w:t xml:space="preserve">(1,266.7)</w:t>
            </w:r>
          </w:p>
        </w:tc>
        <w:tc>
          <w:tcPr>
            <w:tcW w:type="dxa" w:w="1700"/>
            <w:tcMar>
              <w:top w:type="dxa" w:w="60"/>
              <w:left w:type="dxa" w:w="100"/>
              <w:bottom w:type="dxa" w:w="60"/>
              <w:right w:type="dxa" w:w="100"/>
            </w:tcMar>
            <w:vAlign w:val="center"/>
          </w:tcPr>
          <w:p>
            <w:pPr>
              <w:jc w:val="right"/>
            </w:pPr>
            <w:r>
              <w:rPr>
                <w:b w:val="false"/>
                <w:bCs w:val="false"/>
                <w:color w:val="000000"/>
                <w:sz w:val="19"/>
                <w:szCs w:val="19"/>
              </w:rPr>
              <w:t xml:space="preserve">(984.4)</w:t>
            </w:r>
          </w:p>
        </w:tc>
      </w:tr>
      <w:tr>
        <w:tc>
          <w:tcPr>
            <w:tcW w:type="dxa" w:w="3400"/>
            <w:shd w:fill="F2F2F2" w:color="auto" w:val="clear"/>
            <w:tcMar>
              <w:top w:type="dxa" w:w="60"/>
              <w:left w:type="dxa" w:w="100"/>
              <w:bottom w:type="dxa" w:w="60"/>
              <w:right w:type="dxa" w:w="100"/>
            </w:tcMar>
            <w:vAlign w:val="center"/>
          </w:tcPr>
          <w:p>
            <w:pPr>
              <w:jc w:val="left"/>
            </w:pPr>
            <w:r>
              <w:rPr>
                <w:b w:val="false"/>
                <w:bCs w:val="false"/>
                <w:color w:val="000000"/>
                <w:sz w:val="19"/>
                <w:szCs w:val="19"/>
              </w:rPr>
              <w:t xml:space="preserve">Net cash used in financing activities</w:t>
            </w:r>
          </w:p>
        </w:tc>
        <w:tc>
          <w:tcPr>
            <w:tcW w:type="dxa" w:w="2100"/>
            <w:shd w:fill="F2F2F2" w:color="auto" w:val="clear"/>
            <w:tcMar>
              <w:top w:type="dxa" w:w="60"/>
              <w:left w:type="dxa" w:w="100"/>
              <w:bottom w:type="dxa" w:w="60"/>
              <w:right w:type="dxa" w:w="100"/>
            </w:tcMar>
            <w:vAlign w:val="center"/>
          </w:tcPr>
          <w:p>
            <w:pPr>
              <w:jc w:val="right"/>
            </w:pPr>
            <w:r>
              <w:rPr>
                <w:b w:val="false"/>
                <w:bCs w:val="false"/>
                <w:color w:val="000000"/>
                <w:sz w:val="19"/>
                <w:szCs w:val="19"/>
              </w:rPr>
              <w:t xml:space="preserve">(2,298.0)</w:t>
            </w:r>
          </w:p>
        </w:tc>
        <w:tc>
          <w:tcPr>
            <w:tcW w:type="dxa" w:w="2100"/>
            <w:shd w:fill="F2F2F2" w:color="auto" w:val="clear"/>
            <w:tcMar>
              <w:top w:type="dxa" w:w="60"/>
              <w:left w:type="dxa" w:w="100"/>
              <w:bottom w:type="dxa" w:w="60"/>
              <w:right w:type="dxa" w:w="100"/>
            </w:tcMar>
            <w:vAlign w:val="center"/>
          </w:tcPr>
          <w:p>
            <w:pPr>
              <w:jc w:val="right"/>
            </w:pPr>
            <w:r>
              <w:rPr>
                <w:b w:val="false"/>
                <w:bCs w:val="false"/>
                <w:color w:val="000000"/>
                <w:sz w:val="19"/>
                <w:szCs w:val="19"/>
              </w:rPr>
              <w:t xml:space="preserve">(3,718.2)</w:t>
            </w:r>
          </w:p>
        </w:tc>
        <w:tc>
          <w:tcPr>
            <w:tcW w:type="dxa" w:w="1700"/>
            <w:shd w:fill="F2F2F2" w:color="auto" w:val="clear"/>
            <w:tcMar>
              <w:top w:type="dxa" w:w="60"/>
              <w:left w:type="dxa" w:w="100"/>
              <w:bottom w:type="dxa" w:w="60"/>
              <w:right w:type="dxa" w:w="100"/>
            </w:tcMar>
            <w:vAlign w:val="center"/>
          </w:tcPr>
          <w:p>
            <w:pPr>
              <w:jc w:val="right"/>
            </w:pPr>
            <w:r>
              <w:rPr>
                <w:b w:val="false"/>
                <w:bCs w:val="false"/>
                <w:color w:val="000000"/>
                <w:sz w:val="19"/>
                <w:szCs w:val="19"/>
              </w:rPr>
              <w:t xml:space="preserve">(2,990.6)</w:t>
            </w:r>
          </w:p>
        </w:tc>
      </w:tr>
    </w:tbl>
    <w:p>
      <w:pPr>
        <w:spacing w:after="160" w:line="276"/>
      </w:pPr>
      <w:r>
        <w:rPr>
          <w:i/>
          <w:iCs/>
          <w:color w:val="C00000"/>
          <w:sz w:val="21"/>
          <w:szCs w:val="21"/>
        </w:rPr>
        <w:t xml:space="preserve">Takeaway: This is the most important flag in the file. In FY2025, free cash flow of $2.44 billion did not cover the $2.77 billion in dividends paid — a roughly $330 million shortfall that had to be funded from cash balances or additional borrowing. Operating cash flow itself declined 22% year-over-year. A lender should probe whether Starbucks intends to keep its dividend fully intact while capital spending on remodels (part of the loan's stated purpose) continues.</w:t>
      </w:r>
    </w:p>
    <w:p>
      <w:pPr>
        <w:pStyle w:val="Heading1"/>
        <w:pBdr>
          <w:bottom w:val="single" w:color="1F3864" w:sz="6" w:space="4"/>
        </w:pBdr>
        <w:spacing w:after="160" w:before="320"/>
      </w:pPr>
      <w:r>
        <w:rPr>
          <w:b/>
          <w:bCs/>
          <w:color w:val="1F3864"/>
          <w:sz w:val="28"/>
          <w:szCs w:val="28"/>
        </w:rPr>
        <w:t xml:space="preserve">3. Key Financial Ratios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2100"/>
        <w:gridCol w:w="1900"/>
      </w:tblGrid>
      <w:tr>
        <w:trPr>
          <w:tblHeader/>
        </w:trPr>
        <w:tc>
          <w:tcPr>
            <w:tcW w:type="dxa" w:w="3600"/>
            <w:shd w:fill="1F3864" w:color="auto" w:val="clear"/>
            <w:tcMar>
              <w:top w:type="dxa" w:w="60"/>
              <w:left w:type="dxa" w:w="100"/>
              <w:bottom w:type="dxa" w:w="60"/>
              <w:right w:type="dxa" w:w="100"/>
            </w:tcMar>
            <w:vAlign w:val="center"/>
          </w:tcPr>
          <w:p>
            <w:pPr>
              <w:jc w:val="left"/>
            </w:pPr>
            <w:r>
              <w:rPr>
                <w:b/>
                <w:bCs/>
                <w:color w:val="FFFFFF"/>
                <w:sz w:val="19"/>
                <w:szCs w:val="19"/>
              </w:rPr>
              <w:t xml:space="preserve">Ratio</w:t>
            </w:r>
          </w:p>
        </w:tc>
        <w:tc>
          <w:tcPr>
            <w:tcW w:type="dxa" w:w="1800"/>
            <w:shd w:fill="1F3864" w:color="auto" w:val="clear"/>
            <w:tcMar>
              <w:top w:type="dxa" w:w="60"/>
              <w:left w:type="dxa" w:w="100"/>
              <w:bottom w:type="dxa" w:w="60"/>
              <w:right w:type="dxa" w:w="100"/>
            </w:tcMar>
            <w:vAlign w:val="center"/>
          </w:tcPr>
          <w:p>
            <w:pPr>
              <w:jc w:val="right"/>
            </w:pPr>
            <w:r>
              <w:rPr>
                <w:b/>
                <w:bCs/>
                <w:color w:val="FFFFFF"/>
                <w:sz w:val="19"/>
                <w:szCs w:val="19"/>
              </w:rPr>
              <w:t xml:space="preserve">FY2025</w:t>
            </w:r>
          </w:p>
        </w:tc>
        <w:tc>
          <w:tcPr>
            <w:tcW w:type="dxa" w:w="2100"/>
            <w:shd w:fill="1F3864" w:color="auto" w:val="clear"/>
            <w:tcMar>
              <w:top w:type="dxa" w:w="60"/>
              <w:left w:type="dxa" w:w="100"/>
              <w:bottom w:type="dxa" w:w="60"/>
              <w:right w:type="dxa" w:w="100"/>
            </w:tcMar>
            <w:vAlign w:val="center"/>
          </w:tcPr>
          <w:p>
            <w:pPr>
              <w:jc w:val="right"/>
            </w:pPr>
            <w:r>
              <w:rPr>
                <w:b/>
                <w:bCs/>
                <w:color w:val="FFFFFF"/>
                <w:sz w:val="19"/>
                <w:szCs w:val="19"/>
              </w:rPr>
              <w:t xml:space="preserve">FY2024</w:t>
            </w:r>
          </w:p>
        </w:tc>
        <w:tc>
          <w:tcPr>
            <w:tcW w:type="dxa" w:w="1900"/>
            <w:shd w:fill="1F3864" w:color="auto" w:val="clear"/>
            <w:tcMar>
              <w:top w:type="dxa" w:w="60"/>
              <w:left w:type="dxa" w:w="100"/>
              <w:bottom w:type="dxa" w:w="60"/>
              <w:right w:type="dxa" w:w="100"/>
            </w:tcMar>
            <w:vAlign w:val="center"/>
          </w:tcPr>
          <w:p>
            <w:pPr>
              <w:jc w:val="right"/>
            </w:pPr>
            <w:r>
              <w:rPr>
                <w:b/>
                <w:bCs/>
                <w:color w:val="FFFFFF"/>
                <w:sz w:val="19"/>
                <w:szCs w:val="19"/>
              </w:rPr>
              <w:t xml:space="preserve">Trend</w:t>
            </w:r>
          </w:p>
        </w:tc>
      </w:tr>
      <w:tr>
        <w:tc>
          <w:tcPr>
            <w:tcW w:type="dxa" w:w="3600"/>
            <w:tcMar>
              <w:top w:type="dxa" w:w="60"/>
              <w:left w:type="dxa" w:w="100"/>
              <w:bottom w:type="dxa" w:w="60"/>
              <w:right w:type="dxa" w:w="100"/>
            </w:tcMar>
            <w:vAlign w:val="center"/>
          </w:tcPr>
          <w:p>
            <w:pPr>
              <w:jc w:val="left"/>
            </w:pPr>
            <w:r>
              <w:rPr>
                <w:b w:val="false"/>
                <w:bCs w:val="false"/>
                <w:color w:val="000000"/>
                <w:sz w:val="19"/>
                <w:szCs w:val="19"/>
              </w:rPr>
              <w:t xml:space="preserve">Current ratio</w:t>
            </w:r>
          </w:p>
        </w:tc>
        <w:tc>
          <w:tcPr>
            <w:tcW w:type="dxa" w:w="1800"/>
            <w:tcMar>
              <w:top w:type="dxa" w:w="60"/>
              <w:left w:type="dxa" w:w="100"/>
              <w:bottom w:type="dxa" w:w="60"/>
              <w:right w:type="dxa" w:w="100"/>
            </w:tcMar>
            <w:vAlign w:val="center"/>
          </w:tcPr>
          <w:p>
            <w:pPr>
              <w:jc w:val="right"/>
            </w:pPr>
            <w:r>
              <w:rPr>
                <w:b w:val="false"/>
                <w:bCs w:val="false"/>
                <w:color w:val="000000"/>
                <w:sz w:val="19"/>
                <w:szCs w:val="19"/>
              </w:rPr>
              <w:t xml:space="preserve">0.72x</w:t>
            </w:r>
          </w:p>
        </w:tc>
        <w:tc>
          <w:tcPr>
            <w:tcW w:type="dxa" w:w="2100"/>
            <w:tcMar>
              <w:top w:type="dxa" w:w="60"/>
              <w:left w:type="dxa" w:w="100"/>
              <w:bottom w:type="dxa" w:w="60"/>
              <w:right w:type="dxa" w:w="100"/>
            </w:tcMar>
            <w:vAlign w:val="center"/>
          </w:tcPr>
          <w:p>
            <w:pPr>
              <w:jc w:val="right"/>
            </w:pPr>
            <w:r>
              <w:rPr>
                <w:b w:val="false"/>
                <w:bCs w:val="false"/>
                <w:color w:val="000000"/>
                <w:sz w:val="19"/>
                <w:szCs w:val="19"/>
              </w:rPr>
              <w:t xml:space="preserve">0.75x</w:t>
            </w:r>
          </w:p>
        </w:tc>
        <w:tc>
          <w:tcPr>
            <w:tcW w:type="dxa" w:w="1900"/>
            <w:tcMar>
              <w:top w:type="dxa" w:w="60"/>
              <w:left w:type="dxa" w:w="100"/>
              <w:bottom w:type="dxa" w:w="60"/>
              <w:right w:type="dxa" w:w="100"/>
            </w:tcMar>
            <w:vAlign w:val="center"/>
          </w:tcPr>
          <w:p>
            <w:pPr>
              <w:jc w:val="right"/>
            </w:pPr>
            <w:r>
              <w:rPr>
                <w:b w:val="false"/>
                <w:bCs w:val="false"/>
                <w:color w:val="000000"/>
                <w:sz w:val="19"/>
                <w:szCs w:val="19"/>
              </w:rPr>
              <w:t xml:space="preserve">▼ Slightly weaker</w:t>
            </w:r>
          </w:p>
        </w:tc>
      </w:tr>
      <w:tr>
        <w:tc>
          <w:tcPr>
            <w:tcW w:type="dxa" w:w="3600"/>
            <w:shd w:fill="F2F2F2" w:color="auto" w:val="clear"/>
            <w:tcMar>
              <w:top w:type="dxa" w:w="60"/>
              <w:left w:type="dxa" w:w="100"/>
              <w:bottom w:type="dxa" w:w="60"/>
              <w:right w:type="dxa" w:w="100"/>
            </w:tcMar>
            <w:vAlign w:val="center"/>
          </w:tcPr>
          <w:p>
            <w:pPr>
              <w:jc w:val="left"/>
            </w:pPr>
            <w:r>
              <w:rPr>
                <w:b w:val="false"/>
                <w:bCs w:val="false"/>
                <w:color w:val="000000"/>
                <w:sz w:val="19"/>
                <w:szCs w:val="19"/>
              </w:rPr>
              <w:t xml:space="preserve">Quick ratio (excl. inventory)</w:t>
            </w:r>
          </w:p>
        </w:tc>
        <w:tc>
          <w:tcPr>
            <w:tcW w:type="dxa" w:w="1800"/>
            <w:shd w:fill="F2F2F2" w:color="auto" w:val="clear"/>
            <w:tcMar>
              <w:top w:type="dxa" w:w="60"/>
              <w:left w:type="dxa" w:w="100"/>
              <w:bottom w:type="dxa" w:w="60"/>
              <w:right w:type="dxa" w:w="100"/>
            </w:tcMar>
            <w:vAlign w:val="center"/>
          </w:tcPr>
          <w:p>
            <w:pPr>
              <w:jc w:val="right"/>
            </w:pPr>
            <w:r>
              <w:rPr>
                <w:b w:val="false"/>
                <w:bCs w:val="false"/>
                <w:color w:val="000000"/>
                <w:sz w:val="19"/>
                <w:szCs w:val="19"/>
              </w:rPr>
              <w:t xml:space="preserve">0.51x</w:t>
            </w:r>
          </w:p>
        </w:tc>
        <w:tc>
          <w:tcPr>
            <w:tcW w:type="dxa" w:w="2100"/>
            <w:shd w:fill="F2F2F2" w:color="auto" w:val="clear"/>
            <w:tcMar>
              <w:top w:type="dxa" w:w="60"/>
              <w:left w:type="dxa" w:w="100"/>
              <w:bottom w:type="dxa" w:w="60"/>
              <w:right w:type="dxa" w:w="100"/>
            </w:tcMar>
            <w:vAlign w:val="center"/>
          </w:tcPr>
          <w:p>
            <w:pPr>
              <w:jc w:val="right"/>
            </w:pPr>
            <w:r>
              <w:rPr>
                <w:b w:val="false"/>
                <w:bCs w:val="false"/>
                <w:color w:val="000000"/>
                <w:sz w:val="19"/>
                <w:szCs w:val="19"/>
              </w:rPr>
              <w:t xml:space="preserve">0.56x</w:t>
            </w:r>
          </w:p>
        </w:tc>
        <w:tc>
          <w:tcPr>
            <w:tcW w:type="dxa" w:w="1900"/>
            <w:shd w:fill="F2F2F2" w:color="auto" w:val="clear"/>
            <w:tcMar>
              <w:top w:type="dxa" w:w="60"/>
              <w:left w:type="dxa" w:w="100"/>
              <w:bottom w:type="dxa" w:w="60"/>
              <w:right w:type="dxa" w:w="100"/>
            </w:tcMar>
            <w:vAlign w:val="center"/>
          </w:tcPr>
          <w:p>
            <w:pPr>
              <w:jc w:val="right"/>
            </w:pPr>
            <w:r>
              <w:rPr>
                <w:b w:val="false"/>
                <w:bCs w:val="false"/>
                <w:color w:val="000000"/>
                <w:sz w:val="19"/>
                <w:szCs w:val="19"/>
              </w:rPr>
              <w:t xml:space="preserve">▼ Slightly weaker</w:t>
            </w:r>
          </w:p>
        </w:tc>
      </w:tr>
      <w:tr>
        <w:tc>
          <w:tcPr>
            <w:tcW w:type="dxa" w:w="3600"/>
            <w:tcMar>
              <w:top w:type="dxa" w:w="60"/>
              <w:left w:type="dxa" w:w="100"/>
              <w:bottom w:type="dxa" w:w="60"/>
              <w:right w:type="dxa" w:w="100"/>
            </w:tcMar>
            <w:vAlign w:val="center"/>
          </w:tcPr>
          <w:p>
            <w:pPr>
              <w:jc w:val="left"/>
            </w:pPr>
            <w:r>
              <w:rPr>
                <w:b w:val="false"/>
                <w:bCs w:val="false"/>
                <w:color w:val="000000"/>
                <w:sz w:val="19"/>
                <w:szCs w:val="19"/>
              </w:rPr>
              <w:t xml:space="preserve">Operating margin</w:t>
            </w:r>
          </w:p>
        </w:tc>
        <w:tc>
          <w:tcPr>
            <w:tcW w:type="dxa" w:w="1800"/>
            <w:tcMar>
              <w:top w:type="dxa" w:w="60"/>
              <w:left w:type="dxa" w:w="100"/>
              <w:bottom w:type="dxa" w:w="60"/>
              <w:right w:type="dxa" w:w="100"/>
            </w:tcMar>
            <w:vAlign w:val="center"/>
          </w:tcPr>
          <w:p>
            <w:pPr>
              <w:jc w:val="right"/>
            </w:pPr>
            <w:r>
              <w:rPr>
                <w:b w:val="false"/>
                <w:bCs w:val="false"/>
                <w:color w:val="000000"/>
                <w:sz w:val="19"/>
                <w:szCs w:val="19"/>
              </w:rPr>
              <w:t xml:space="preserve">7.9%</w:t>
            </w:r>
          </w:p>
        </w:tc>
        <w:tc>
          <w:tcPr>
            <w:tcW w:type="dxa" w:w="2100"/>
            <w:tcMar>
              <w:top w:type="dxa" w:w="60"/>
              <w:left w:type="dxa" w:w="100"/>
              <w:bottom w:type="dxa" w:w="60"/>
              <w:right w:type="dxa" w:w="100"/>
            </w:tcMar>
            <w:vAlign w:val="center"/>
          </w:tcPr>
          <w:p>
            <w:pPr>
              <w:jc w:val="right"/>
            </w:pPr>
            <w:r>
              <w:rPr>
                <w:b w:val="false"/>
                <w:bCs w:val="false"/>
                <w:color w:val="000000"/>
                <w:sz w:val="19"/>
                <w:szCs w:val="19"/>
              </w:rPr>
              <w:t xml:space="preserve">15.0%</w:t>
            </w:r>
          </w:p>
        </w:tc>
        <w:tc>
          <w:tcPr>
            <w:tcW w:type="dxa" w:w="1900"/>
            <w:tcMar>
              <w:top w:type="dxa" w:w="60"/>
              <w:left w:type="dxa" w:w="100"/>
              <w:bottom w:type="dxa" w:w="60"/>
              <w:right w:type="dxa" w:w="100"/>
            </w:tcMar>
            <w:vAlign w:val="center"/>
          </w:tcPr>
          <w:p>
            <w:pPr>
              <w:jc w:val="right"/>
            </w:pPr>
            <w:r>
              <w:rPr>
                <w:b w:val="false"/>
                <w:bCs w:val="false"/>
                <w:color w:val="000000"/>
                <w:sz w:val="19"/>
                <w:szCs w:val="19"/>
              </w:rPr>
              <w:t xml:space="preserve">▼ Down 710 bps</w:t>
            </w:r>
          </w:p>
        </w:tc>
      </w:tr>
      <w:tr>
        <w:tc>
          <w:tcPr>
            <w:tcW w:type="dxa" w:w="3600"/>
            <w:shd w:fill="F2F2F2" w:color="auto" w:val="clear"/>
            <w:tcMar>
              <w:top w:type="dxa" w:w="60"/>
              <w:left w:type="dxa" w:w="100"/>
              <w:bottom w:type="dxa" w:w="60"/>
              <w:right w:type="dxa" w:w="100"/>
            </w:tcMar>
            <w:vAlign w:val="center"/>
          </w:tcPr>
          <w:p>
            <w:pPr>
              <w:jc w:val="left"/>
            </w:pPr>
            <w:r>
              <w:rPr>
                <w:b w:val="false"/>
                <w:bCs w:val="false"/>
                <w:color w:val="000000"/>
                <w:sz w:val="19"/>
                <w:szCs w:val="19"/>
              </w:rPr>
              <w:t xml:space="preserve">Net profit margin</w:t>
            </w:r>
          </w:p>
        </w:tc>
        <w:tc>
          <w:tcPr>
            <w:tcW w:type="dxa" w:w="1800"/>
            <w:shd w:fill="F2F2F2" w:color="auto" w:val="clear"/>
            <w:tcMar>
              <w:top w:type="dxa" w:w="60"/>
              <w:left w:type="dxa" w:w="100"/>
              <w:bottom w:type="dxa" w:w="60"/>
              <w:right w:type="dxa" w:w="100"/>
            </w:tcMar>
            <w:vAlign w:val="center"/>
          </w:tcPr>
          <w:p>
            <w:pPr>
              <w:jc w:val="right"/>
            </w:pPr>
            <w:r>
              <w:rPr>
                <w:b w:val="false"/>
                <w:bCs w:val="false"/>
                <w:color w:val="000000"/>
                <w:sz w:val="19"/>
                <w:szCs w:val="19"/>
              </w:rPr>
              <w:t xml:space="preserve">5.0%</w:t>
            </w:r>
          </w:p>
        </w:tc>
        <w:tc>
          <w:tcPr>
            <w:tcW w:type="dxa" w:w="2100"/>
            <w:shd w:fill="F2F2F2" w:color="auto" w:val="clear"/>
            <w:tcMar>
              <w:top w:type="dxa" w:w="60"/>
              <w:left w:type="dxa" w:w="100"/>
              <w:bottom w:type="dxa" w:w="60"/>
              <w:right w:type="dxa" w:w="100"/>
            </w:tcMar>
            <w:vAlign w:val="center"/>
          </w:tcPr>
          <w:p>
            <w:pPr>
              <w:jc w:val="right"/>
            </w:pPr>
            <w:r>
              <w:rPr>
                <w:b w:val="false"/>
                <w:bCs w:val="false"/>
                <w:color w:val="000000"/>
                <w:sz w:val="19"/>
                <w:szCs w:val="19"/>
              </w:rPr>
              <w:t xml:space="preserve">10.4%</w:t>
            </w:r>
          </w:p>
        </w:tc>
        <w:tc>
          <w:tcPr>
            <w:tcW w:type="dxa" w:w="1900"/>
            <w:shd w:fill="F2F2F2" w:color="auto" w:val="clear"/>
            <w:tcMar>
              <w:top w:type="dxa" w:w="60"/>
              <w:left w:type="dxa" w:w="100"/>
              <w:bottom w:type="dxa" w:w="60"/>
              <w:right w:type="dxa" w:w="100"/>
            </w:tcMar>
            <w:vAlign w:val="center"/>
          </w:tcPr>
          <w:p>
            <w:pPr>
              <w:jc w:val="right"/>
            </w:pPr>
            <w:r>
              <w:rPr>
                <w:b w:val="false"/>
                <w:bCs w:val="false"/>
                <w:color w:val="000000"/>
                <w:sz w:val="19"/>
                <w:szCs w:val="19"/>
              </w:rPr>
              <w:t xml:space="preserve">▼ Down 540 bps</w:t>
            </w:r>
          </w:p>
        </w:tc>
      </w:tr>
      <w:tr>
        <w:tc>
          <w:tcPr>
            <w:tcW w:type="dxa" w:w="3600"/>
            <w:tcMar>
              <w:top w:type="dxa" w:w="60"/>
              <w:left w:type="dxa" w:w="100"/>
              <w:bottom w:type="dxa" w:w="60"/>
              <w:right w:type="dxa" w:w="100"/>
            </w:tcMar>
            <w:vAlign w:val="center"/>
          </w:tcPr>
          <w:p>
            <w:pPr>
              <w:jc w:val="left"/>
            </w:pPr>
            <w:r>
              <w:rPr>
                <w:b w:val="false"/>
                <w:bCs w:val="false"/>
                <w:color w:val="000000"/>
                <w:sz w:val="19"/>
                <w:szCs w:val="19"/>
              </w:rPr>
              <w:t xml:space="preserve">Return on assets</w:t>
            </w:r>
          </w:p>
        </w:tc>
        <w:tc>
          <w:tcPr>
            <w:tcW w:type="dxa" w:w="1800"/>
            <w:tcMar>
              <w:top w:type="dxa" w:w="60"/>
              <w:left w:type="dxa" w:w="100"/>
              <w:bottom w:type="dxa" w:w="60"/>
              <w:right w:type="dxa" w:w="100"/>
            </w:tcMar>
            <w:vAlign w:val="center"/>
          </w:tcPr>
          <w:p>
            <w:pPr>
              <w:jc w:val="right"/>
            </w:pPr>
            <w:r>
              <w:rPr>
                <w:b w:val="false"/>
                <w:bCs w:val="false"/>
                <w:color w:val="000000"/>
                <w:sz w:val="19"/>
                <w:szCs w:val="19"/>
              </w:rPr>
              <w:t xml:space="preserve">5.8%</w:t>
            </w:r>
          </w:p>
        </w:tc>
        <w:tc>
          <w:tcPr>
            <w:tcW w:type="dxa" w:w="2100"/>
            <w:tcMar>
              <w:top w:type="dxa" w:w="60"/>
              <w:left w:type="dxa" w:w="100"/>
              <w:bottom w:type="dxa" w:w="60"/>
              <w:right w:type="dxa" w:w="100"/>
            </w:tcMar>
            <w:vAlign w:val="center"/>
          </w:tcPr>
          <w:p>
            <w:pPr>
              <w:jc w:val="right"/>
            </w:pPr>
            <w:r>
              <w:rPr>
                <w:b w:val="false"/>
                <w:bCs w:val="false"/>
                <w:color w:val="000000"/>
                <w:sz w:val="19"/>
                <w:szCs w:val="19"/>
              </w:rPr>
              <w:t xml:space="preserve">12.0%</w:t>
            </w:r>
          </w:p>
        </w:tc>
        <w:tc>
          <w:tcPr>
            <w:tcW w:type="dxa" w:w="1900"/>
            <w:tcMar>
              <w:top w:type="dxa" w:w="60"/>
              <w:left w:type="dxa" w:w="100"/>
              <w:bottom w:type="dxa" w:w="60"/>
              <w:right w:type="dxa" w:w="100"/>
            </w:tcMar>
            <w:vAlign w:val="center"/>
          </w:tcPr>
          <w:p>
            <w:pPr>
              <w:jc w:val="right"/>
            </w:pPr>
            <w:r>
              <w:rPr>
                <w:b w:val="false"/>
                <w:bCs w:val="false"/>
                <w:color w:val="000000"/>
                <w:sz w:val="19"/>
                <w:szCs w:val="19"/>
              </w:rPr>
              <w:t xml:space="preserve">▼ Nearly halved</w:t>
            </w:r>
          </w:p>
        </w:tc>
      </w:tr>
      <w:tr>
        <w:tc>
          <w:tcPr>
            <w:tcW w:type="dxa" w:w="3600"/>
            <w:shd w:fill="F2F2F2" w:color="auto" w:val="clear"/>
            <w:tcMar>
              <w:top w:type="dxa" w:w="60"/>
              <w:left w:type="dxa" w:w="100"/>
              <w:bottom w:type="dxa" w:w="60"/>
              <w:right w:type="dxa" w:w="100"/>
            </w:tcMar>
            <w:vAlign w:val="center"/>
          </w:tcPr>
          <w:p>
            <w:pPr>
              <w:jc w:val="left"/>
            </w:pPr>
            <w:r>
              <w:rPr>
                <w:b w:val="false"/>
                <w:bCs w:val="false"/>
                <w:color w:val="000000"/>
                <w:sz w:val="19"/>
                <w:szCs w:val="19"/>
              </w:rPr>
              <w:t xml:space="preserve">Total debt / EBITDA</w:t>
            </w:r>
          </w:p>
        </w:tc>
        <w:tc>
          <w:tcPr>
            <w:tcW w:type="dxa" w:w="1800"/>
            <w:shd w:fill="F2F2F2" w:color="auto" w:val="clear"/>
            <w:tcMar>
              <w:top w:type="dxa" w:w="60"/>
              <w:left w:type="dxa" w:w="100"/>
              <w:bottom w:type="dxa" w:w="60"/>
              <w:right w:type="dxa" w:w="100"/>
            </w:tcMar>
            <w:vAlign w:val="center"/>
          </w:tcPr>
          <w:p>
            <w:pPr>
              <w:jc w:val="right"/>
            </w:pPr>
            <w:r>
              <w:rPr>
                <w:b w:val="false"/>
                <w:bCs w:val="false"/>
                <w:color w:val="000000"/>
                <w:sz w:val="19"/>
                <w:szCs w:val="19"/>
              </w:rPr>
              <w:t xml:space="preserve">3.48x</w:t>
            </w:r>
          </w:p>
        </w:tc>
        <w:tc>
          <w:tcPr>
            <w:tcW w:type="dxa" w:w="2100"/>
            <w:shd w:fill="F2F2F2" w:color="auto" w:val="clear"/>
            <w:tcMar>
              <w:top w:type="dxa" w:w="60"/>
              <w:left w:type="dxa" w:w="100"/>
              <w:bottom w:type="dxa" w:w="60"/>
              <w:right w:type="dxa" w:w="100"/>
            </w:tcMar>
            <w:vAlign w:val="center"/>
          </w:tcPr>
          <w:p>
            <w:pPr>
              <w:jc w:val="right"/>
            </w:pPr>
            <w:r>
              <w:rPr>
                <w:b w:val="false"/>
                <w:bCs w:val="false"/>
                <w:color w:val="000000"/>
                <w:sz w:val="19"/>
                <w:szCs w:val="19"/>
              </w:rPr>
              <w:t xml:space="preserve">2.25x</w:t>
            </w:r>
          </w:p>
        </w:tc>
        <w:tc>
          <w:tcPr>
            <w:tcW w:type="dxa" w:w="1900"/>
            <w:shd w:fill="F2F2F2" w:color="auto" w:val="clear"/>
            <w:tcMar>
              <w:top w:type="dxa" w:w="60"/>
              <w:left w:type="dxa" w:w="100"/>
              <w:bottom w:type="dxa" w:w="60"/>
              <w:right w:type="dxa" w:w="100"/>
            </w:tcMar>
            <w:vAlign w:val="center"/>
          </w:tcPr>
          <w:p>
            <w:pPr>
              <w:jc w:val="right"/>
            </w:pPr>
            <w:r>
              <w:rPr>
                <w:b w:val="false"/>
                <w:bCs w:val="false"/>
                <w:color w:val="000000"/>
                <w:sz w:val="19"/>
                <w:szCs w:val="19"/>
              </w:rPr>
              <w:t xml:space="preserve">▲ Leverage rising</w:t>
            </w:r>
          </w:p>
        </w:tc>
      </w:tr>
      <w:tr>
        <w:tc>
          <w:tcPr>
            <w:tcW w:type="dxa" w:w="3600"/>
            <w:tcMar>
              <w:top w:type="dxa" w:w="60"/>
              <w:left w:type="dxa" w:w="100"/>
              <w:bottom w:type="dxa" w:w="60"/>
              <w:right w:type="dxa" w:w="100"/>
            </w:tcMar>
            <w:vAlign w:val="center"/>
          </w:tcPr>
          <w:p>
            <w:pPr>
              <w:jc w:val="left"/>
            </w:pPr>
            <w:r>
              <w:rPr>
                <w:b w:val="false"/>
                <w:bCs w:val="false"/>
                <w:color w:val="000000"/>
                <w:sz w:val="19"/>
                <w:szCs w:val="19"/>
              </w:rPr>
              <w:t xml:space="preserve">EBIT / interest expense (coverage)</w:t>
            </w:r>
          </w:p>
        </w:tc>
        <w:tc>
          <w:tcPr>
            <w:tcW w:type="dxa" w:w="1800"/>
            <w:tcMar>
              <w:top w:type="dxa" w:w="60"/>
              <w:left w:type="dxa" w:w="100"/>
              <w:bottom w:type="dxa" w:w="60"/>
              <w:right w:type="dxa" w:w="100"/>
            </w:tcMar>
            <w:vAlign w:val="center"/>
          </w:tcPr>
          <w:p>
            <w:pPr>
              <w:jc w:val="right"/>
            </w:pPr>
            <w:r>
              <w:rPr>
                <w:b w:val="false"/>
                <w:bCs w:val="false"/>
                <w:color w:val="000000"/>
                <w:sz w:val="19"/>
                <w:szCs w:val="19"/>
              </w:rPr>
              <w:t xml:space="preserve">5.4x</w:t>
            </w:r>
          </w:p>
        </w:tc>
        <w:tc>
          <w:tcPr>
            <w:tcW w:type="dxa" w:w="2100"/>
            <w:tcMar>
              <w:top w:type="dxa" w:w="60"/>
              <w:left w:type="dxa" w:w="100"/>
              <w:bottom w:type="dxa" w:w="60"/>
              <w:right w:type="dxa" w:w="100"/>
            </w:tcMar>
            <w:vAlign w:val="center"/>
          </w:tcPr>
          <w:p>
            <w:pPr>
              <w:jc w:val="right"/>
            </w:pPr>
            <w:r>
              <w:rPr>
                <w:b w:val="false"/>
                <w:bCs w:val="false"/>
                <w:color w:val="000000"/>
                <w:sz w:val="19"/>
                <w:szCs w:val="19"/>
              </w:rPr>
              <w:t xml:space="preserve">9.6x</w:t>
            </w:r>
          </w:p>
        </w:tc>
        <w:tc>
          <w:tcPr>
            <w:tcW w:type="dxa" w:w="1900"/>
            <w:tcMar>
              <w:top w:type="dxa" w:w="60"/>
              <w:left w:type="dxa" w:w="100"/>
              <w:bottom w:type="dxa" w:w="60"/>
              <w:right w:type="dxa" w:w="100"/>
            </w:tcMar>
            <w:vAlign w:val="center"/>
          </w:tcPr>
          <w:p>
            <w:pPr>
              <w:jc w:val="right"/>
            </w:pPr>
            <w:r>
              <w:rPr>
                <w:b w:val="false"/>
                <w:bCs w:val="false"/>
                <w:color w:val="000000"/>
                <w:sz w:val="19"/>
                <w:szCs w:val="19"/>
              </w:rPr>
              <w:t xml:space="preserve">▼ Coverage weakening</w:t>
            </w:r>
          </w:p>
        </w:tc>
      </w:tr>
      <w:tr>
        <w:tc>
          <w:tcPr>
            <w:tcW w:type="dxa" w:w="3600"/>
            <w:shd w:fill="F2F2F2" w:color="auto" w:val="clear"/>
            <w:tcMar>
              <w:top w:type="dxa" w:w="60"/>
              <w:left w:type="dxa" w:w="100"/>
              <w:bottom w:type="dxa" w:w="60"/>
              <w:right w:type="dxa" w:w="100"/>
            </w:tcMar>
            <w:vAlign w:val="center"/>
          </w:tcPr>
          <w:p>
            <w:pPr>
              <w:jc w:val="left"/>
            </w:pPr>
            <w:r>
              <w:rPr>
                <w:b w:val="false"/>
                <w:bCs w:val="false"/>
                <w:color w:val="000000"/>
                <w:sz w:val="19"/>
                <w:szCs w:val="19"/>
              </w:rPr>
              <w:t xml:space="preserve">Operating cash flow / total debt</w:t>
            </w:r>
          </w:p>
        </w:tc>
        <w:tc>
          <w:tcPr>
            <w:tcW w:type="dxa" w:w="1800"/>
            <w:shd w:fill="F2F2F2" w:color="auto" w:val="clear"/>
            <w:tcMar>
              <w:top w:type="dxa" w:w="60"/>
              <w:left w:type="dxa" w:w="100"/>
              <w:bottom w:type="dxa" w:w="60"/>
              <w:right w:type="dxa" w:w="100"/>
            </w:tcMar>
            <w:vAlign w:val="center"/>
          </w:tcPr>
          <w:p>
            <w:pPr>
              <w:jc w:val="right"/>
            </w:pPr>
            <w:r>
              <w:rPr>
                <w:b w:val="false"/>
                <w:bCs w:val="false"/>
                <w:color w:val="000000"/>
                <w:sz w:val="19"/>
                <w:szCs w:val="19"/>
              </w:rPr>
              <w:t xml:space="preserve">29.5%</w:t>
            </w:r>
          </w:p>
        </w:tc>
        <w:tc>
          <w:tcPr>
            <w:tcW w:type="dxa" w:w="2100"/>
            <w:shd w:fill="F2F2F2" w:color="auto" w:val="clear"/>
            <w:tcMar>
              <w:top w:type="dxa" w:w="60"/>
              <w:left w:type="dxa" w:w="100"/>
              <w:bottom w:type="dxa" w:w="60"/>
              <w:right w:type="dxa" w:w="100"/>
            </w:tcMar>
            <w:vAlign w:val="center"/>
          </w:tcPr>
          <w:p>
            <w:pPr>
              <w:jc w:val="right"/>
            </w:pPr>
            <w:r>
              <w:rPr>
                <w:b w:val="false"/>
                <w:bCs w:val="false"/>
                <w:color w:val="000000"/>
                <w:sz w:val="19"/>
                <w:szCs w:val="19"/>
              </w:rPr>
              <w:t xml:space="preserve">39.2%</w:t>
            </w:r>
          </w:p>
        </w:tc>
        <w:tc>
          <w:tcPr>
            <w:tcW w:type="dxa" w:w="1900"/>
            <w:shd w:fill="F2F2F2" w:color="auto" w:val="clear"/>
            <w:tcMar>
              <w:top w:type="dxa" w:w="60"/>
              <w:left w:type="dxa" w:w="100"/>
              <w:bottom w:type="dxa" w:w="60"/>
              <w:right w:type="dxa" w:w="100"/>
            </w:tcMar>
            <w:vAlign w:val="center"/>
          </w:tcPr>
          <w:p>
            <w:pPr>
              <w:jc w:val="right"/>
            </w:pPr>
            <w:r>
              <w:rPr>
                <w:b w:val="false"/>
                <w:bCs w:val="false"/>
                <w:color w:val="000000"/>
                <w:sz w:val="19"/>
                <w:szCs w:val="19"/>
              </w:rPr>
              <w:t xml:space="preserve">▼ Weaker</w:t>
            </w:r>
          </w:p>
        </w:tc>
      </w:tr>
      <w:tr>
        <w:tc>
          <w:tcPr>
            <w:tcW w:type="dxa" w:w="3600"/>
            <w:tcMar>
              <w:top w:type="dxa" w:w="60"/>
              <w:left w:type="dxa" w:w="100"/>
              <w:bottom w:type="dxa" w:w="60"/>
              <w:right w:type="dxa" w:w="100"/>
            </w:tcMar>
            <w:vAlign w:val="center"/>
          </w:tcPr>
          <w:p>
            <w:pPr>
              <w:jc w:val="left"/>
            </w:pPr>
            <w:r>
              <w:rPr>
                <w:b w:val="false"/>
                <w:bCs w:val="false"/>
                <w:color w:val="000000"/>
                <w:sz w:val="19"/>
                <w:szCs w:val="19"/>
              </w:rPr>
              <w:t xml:space="preserve">Free cash flow less dividends</w:t>
            </w:r>
          </w:p>
        </w:tc>
        <w:tc>
          <w:tcPr>
            <w:tcW w:type="dxa" w:w="1800"/>
            <w:tcMar>
              <w:top w:type="dxa" w:w="60"/>
              <w:left w:type="dxa" w:w="100"/>
              <w:bottom w:type="dxa" w:w="60"/>
              <w:right w:type="dxa" w:w="100"/>
            </w:tcMar>
            <w:vAlign w:val="center"/>
          </w:tcPr>
          <w:p>
            <w:pPr>
              <w:jc w:val="right"/>
            </w:pPr>
            <w:r>
              <w:rPr>
                <w:b w:val="false"/>
                <w:bCs w:val="false"/>
                <w:color w:val="000000"/>
                <w:sz w:val="19"/>
                <w:szCs w:val="19"/>
              </w:rPr>
              <w:t xml:space="preserve">–$329M</w:t>
            </w:r>
          </w:p>
        </w:tc>
        <w:tc>
          <w:tcPr>
            <w:tcW w:type="dxa" w:w="2100"/>
            <w:tcMar>
              <w:top w:type="dxa" w:w="60"/>
              <w:left w:type="dxa" w:w="100"/>
              <w:bottom w:type="dxa" w:w="60"/>
              <w:right w:type="dxa" w:w="100"/>
            </w:tcMar>
            <w:vAlign w:val="center"/>
          </w:tcPr>
          <w:p>
            <w:pPr>
              <w:jc w:val="right"/>
            </w:pPr>
            <w:r>
              <w:rPr>
                <w:b w:val="false"/>
                <w:bCs w:val="false"/>
                <w:color w:val="000000"/>
                <w:sz w:val="19"/>
                <w:szCs w:val="19"/>
              </w:rPr>
              <w:t xml:space="preserve">+$733M</w:t>
            </w:r>
          </w:p>
        </w:tc>
        <w:tc>
          <w:tcPr>
            <w:tcW w:type="dxa" w:w="1900"/>
            <w:tcMar>
              <w:top w:type="dxa" w:w="60"/>
              <w:left w:type="dxa" w:w="100"/>
              <w:bottom w:type="dxa" w:w="60"/>
              <w:right w:type="dxa" w:w="100"/>
            </w:tcMar>
            <w:vAlign w:val="center"/>
          </w:tcPr>
          <w:p>
            <w:pPr>
              <w:jc w:val="right"/>
            </w:pPr>
            <w:r>
              <w:rPr>
                <w:b w:val="false"/>
                <w:bCs w:val="false"/>
                <w:color w:val="000000"/>
                <w:sz w:val="19"/>
                <w:szCs w:val="19"/>
              </w:rPr>
              <w:t xml:space="preserve">▼ Turned negative</w:t>
            </w:r>
          </w:p>
        </w:tc>
      </w:tr>
      <w:tr>
        <w:tc>
          <w:tcPr>
            <w:tcW w:type="dxa" w:w="3600"/>
            <w:shd w:fill="F2F2F2" w:color="auto" w:val="clear"/>
            <w:tcMar>
              <w:top w:type="dxa" w:w="60"/>
              <w:left w:type="dxa" w:w="100"/>
              <w:bottom w:type="dxa" w:w="60"/>
              <w:right w:type="dxa" w:w="100"/>
            </w:tcMar>
            <w:vAlign w:val="center"/>
          </w:tcPr>
          <w:p>
            <w:pPr>
              <w:jc w:val="left"/>
            </w:pPr>
            <w:r>
              <w:rPr>
                <w:b w:val="false"/>
                <w:bCs w:val="false"/>
                <w:color w:val="000000"/>
                <w:sz w:val="19"/>
                <w:szCs w:val="19"/>
              </w:rPr>
              <w:t xml:space="preserve">Revenue growth (YoY)</w:t>
            </w:r>
          </w:p>
        </w:tc>
        <w:tc>
          <w:tcPr>
            <w:tcW w:type="dxa" w:w="1800"/>
            <w:shd w:fill="F2F2F2" w:color="auto" w:val="clear"/>
            <w:tcMar>
              <w:top w:type="dxa" w:w="60"/>
              <w:left w:type="dxa" w:w="100"/>
              <w:bottom w:type="dxa" w:w="60"/>
              <w:right w:type="dxa" w:w="100"/>
            </w:tcMar>
            <w:vAlign w:val="center"/>
          </w:tcPr>
          <w:p>
            <w:pPr>
              <w:jc w:val="right"/>
            </w:pPr>
            <w:r>
              <w:rPr>
                <w:b w:val="false"/>
                <w:bCs w:val="false"/>
                <w:color w:val="000000"/>
                <w:sz w:val="19"/>
                <w:szCs w:val="19"/>
              </w:rPr>
              <w:t xml:space="preserve">+2.8%</w:t>
            </w:r>
          </w:p>
        </w:tc>
        <w:tc>
          <w:tcPr>
            <w:tcW w:type="dxa" w:w="2100"/>
            <w:shd w:fill="F2F2F2" w:color="auto" w:val="clear"/>
            <w:tcMar>
              <w:top w:type="dxa" w:w="60"/>
              <w:left w:type="dxa" w:w="100"/>
              <w:bottom w:type="dxa" w:w="60"/>
              <w:right w:type="dxa" w:w="100"/>
            </w:tcMar>
            <w:vAlign w:val="center"/>
          </w:tcPr>
          <w:p>
            <w:pPr>
              <w:jc w:val="right"/>
            </w:pPr>
            <w:r>
              <w:rPr>
                <w:b w:val="false"/>
                <w:bCs w:val="false"/>
                <w:color w:val="000000"/>
                <w:sz w:val="19"/>
                <w:szCs w:val="19"/>
              </w:rPr>
              <w:t xml:space="preserve">+3.3% (FY24 vs FY23)</w:t>
            </w:r>
          </w:p>
        </w:tc>
        <w:tc>
          <w:tcPr>
            <w:tcW w:type="dxa" w:w="1900"/>
            <w:shd w:fill="F2F2F2" w:color="auto" w:val="clear"/>
            <w:tcMar>
              <w:top w:type="dxa" w:w="60"/>
              <w:left w:type="dxa" w:w="100"/>
              <w:bottom w:type="dxa" w:w="60"/>
              <w:right w:type="dxa" w:w="100"/>
            </w:tcMar>
            <w:vAlign w:val="center"/>
          </w:tcPr>
          <w:p>
            <w:pPr>
              <w:jc w:val="right"/>
            </w:pPr>
            <w:r>
              <w:rPr>
                <w:b w:val="false"/>
                <w:bCs w:val="false"/>
                <w:color w:val="000000"/>
                <w:sz w:val="19"/>
                <w:szCs w:val="19"/>
              </w:rPr>
              <w:t xml:space="preserve">▶ Roughly stable</w:t>
            </w:r>
          </w:p>
        </w:tc>
      </w:tr>
    </w:tbl>
    <w:p>
      <w:pPr>
        <w:spacing w:before="120"/>
      </w:pPr>
    </w:p>
    <w:p>
      <w:pPr>
        <w:spacing w:after="160" w:line="276"/>
      </w:pPr>
      <w:r>
        <w:rPr>
          <w:sz w:val="21"/>
          <w:szCs w:val="21"/>
        </w:rPr>
        <w:t xml:space="preserve">Note on debt-to-equity: because Starbucks' book equity is negative, a conventional debt-to-equity ratio would be mathematically negative and misleading, so it is deliberately omitted here in favor of leverage measures anchored to cash flow (debt/EBITDA and interest coverage), which are the metrics banks typically rely on for a company with this capital structure.</w:t>
      </w:r>
    </w:p>
    <w:p>
      <w:pPr>
        <w:pStyle w:val="Heading1"/>
        <w:pBdr>
          <w:bottom w:val="single" w:color="1F3864" w:sz="6" w:space="4"/>
        </w:pBdr>
        <w:spacing w:after="160" w:before="320"/>
      </w:pPr>
      <w:r>
        <w:rPr>
          <w:b/>
          <w:bCs/>
          <w:color w:val="1F3864"/>
          <w:sz w:val="28"/>
          <w:szCs w:val="28"/>
        </w:rPr>
        <w:t xml:space="preserve">4. Credit Strengths and Risks</w:t>
      </w:r>
    </w:p>
    <w:p>
      <w:pPr>
        <w:pStyle w:val="Heading2"/>
        <w:spacing w:after="120" w:before="240"/>
      </w:pPr>
      <w:r>
        <w:rPr>
          <w:b/>
          <w:bCs/>
          <w:color w:val="1F3864"/>
          <w:sz w:val="24"/>
          <w:szCs w:val="24"/>
        </w:rPr>
        <w:t xml:space="preserve">4.1 Credit Strengths</w:t>
      </w:r>
    </w:p>
    <w:p>
      <w:pPr>
        <w:pStyle w:val="ListParagraph"/>
        <w:numPr>
          <w:ilvl w:val="0"/>
          <w:numId w:val="1"/>
        </w:numPr>
        <w:spacing w:after="80"/>
      </w:pPr>
      <w:r>
        <w:rPr>
          <w:sz w:val="21"/>
          <w:szCs w:val="21"/>
        </w:rPr>
        <w:t xml:space="preserve">Scale and brand: 40,990 stores across roughly 80 markets and one of the most recognized consumer brands globally, giving significant revenue diversification by geography.</w:t>
      </w:r>
    </w:p>
    <w:p>
      <w:pPr>
        <w:pStyle w:val="ListParagraph"/>
        <w:numPr>
          <w:ilvl w:val="0"/>
          <w:numId w:val="1"/>
        </w:numPr>
        <w:spacing w:after="80"/>
      </w:pPr>
      <w:r>
        <w:rPr>
          <w:sz w:val="21"/>
          <w:szCs w:val="21"/>
        </w:rPr>
        <w:t xml:space="preserve">Consistent, growing dividend track record: 62 consecutive quarters of dividend payments with an 18% historical CAGR, reflecting a long-standing commitment to shareholder returns and financial discipline through prior cycles.</w:t>
      </w:r>
    </w:p>
    <w:p>
      <w:pPr>
        <w:pStyle w:val="ListParagraph"/>
        <w:numPr>
          <w:ilvl w:val="0"/>
          <w:numId w:val="1"/>
        </w:numPr>
        <w:spacing w:after="80"/>
      </w:pPr>
      <w:r>
        <w:rPr>
          <w:sz w:val="21"/>
          <w:szCs w:val="21"/>
        </w:rPr>
        <w:t xml:space="preserve">Still solidly cash-generative: even in a difficult year, Starbucks produced $4.7 billion of operating cash flow and remained free-cash-flow positive before dividends.</w:t>
      </w:r>
    </w:p>
    <w:p>
      <w:pPr>
        <w:pStyle w:val="ListParagraph"/>
        <w:numPr>
          <w:ilvl w:val="0"/>
          <w:numId w:val="1"/>
        </w:numPr>
        <w:spacing w:after="80"/>
      </w:pPr>
      <w:r>
        <w:rPr>
          <w:sz w:val="21"/>
          <w:szCs w:val="21"/>
        </w:rPr>
        <w:t xml:space="preserve">Early signs of operational turnaround: Q4 FY2025 delivered the company's first quarter of positive global comparable store sales in seven quarters, with U.S. comps turning flat and September trends turning positive — evidence the “Back to Starbucks” plan may be working.</w:t>
      </w:r>
    </w:p>
    <w:p>
      <w:pPr>
        <w:pStyle w:val="ListParagraph"/>
        <w:numPr>
          <w:ilvl w:val="0"/>
          <w:numId w:val="1"/>
        </w:numPr>
        <w:spacing w:after="80"/>
      </w:pPr>
      <w:r>
        <w:rPr>
          <w:sz w:val="21"/>
          <w:szCs w:val="21"/>
        </w:rPr>
        <w:t xml:space="preserve">Investment-grade scale borrower with proven access to debt capital markets, evidenced by $1.75 billion of new long-term debt issued in FY2025 alone.</w:t>
      </w:r>
    </w:p>
    <w:p>
      <w:pPr>
        <w:pStyle w:val="Heading2"/>
        <w:spacing w:after="120" w:before="240"/>
      </w:pPr>
      <w:r>
        <w:rPr>
          <w:b/>
          <w:bCs/>
          <w:color w:val="1F3864"/>
          <w:sz w:val="24"/>
          <w:szCs w:val="24"/>
        </w:rPr>
        <w:t xml:space="preserve">4.2 Credit Risks</w:t>
      </w:r>
    </w:p>
    <w:p>
      <w:pPr>
        <w:pStyle w:val="ListParagraph"/>
        <w:numPr>
          <w:ilvl w:val="0"/>
          <w:numId w:val="1"/>
        </w:numPr>
        <w:spacing w:after="80"/>
      </w:pPr>
      <w:r>
        <w:rPr>
          <w:sz w:val="21"/>
          <w:szCs w:val="21"/>
        </w:rPr>
        <w:t xml:space="preserve">Leverage is rising: total debt/EBITDA increased from 2.25x to 3.48x year-over-year, and interest coverage fell from 9.6x to 5.4x — a meaningful deterioration in one year, even if still at a manageable absolute level.</w:t>
      </w:r>
    </w:p>
    <w:p>
      <w:pPr>
        <w:pStyle w:val="ListParagraph"/>
        <w:numPr>
          <w:ilvl w:val="0"/>
          <w:numId w:val="1"/>
        </w:numPr>
        <w:spacing w:after="80"/>
      </w:pPr>
      <w:r>
        <w:rPr>
          <w:sz w:val="21"/>
          <w:szCs w:val="21"/>
        </w:rPr>
        <w:t xml:space="preserve">Negative and worsening free cash flow coverage of dividends: FY2025 free cash flow fell short of dividends paid by roughly $330 million, a reversal from a $733 million surplus in FY2024. If sustained, this would require continued reliance on cash balances or new debt to maintain the dividend.</w:t>
      </w:r>
    </w:p>
    <w:p>
      <w:pPr>
        <w:pStyle w:val="ListParagraph"/>
        <w:numPr>
          <w:ilvl w:val="0"/>
          <w:numId w:val="1"/>
        </w:numPr>
        <w:spacing w:after="80"/>
      </w:pPr>
      <w:r>
        <w:rPr>
          <w:sz w:val="21"/>
          <w:szCs w:val="21"/>
        </w:rPr>
        <w:t xml:space="preserve">Margin compression is only partly one-time: even on a non-GAAP basis excluding restructuring charges, operating margin contracted about 510 basis points, pointing to real cost deleverage (store operating expenses grew 11.6% against 2.8% revenue growth), not solely restructuring noise.</w:t>
      </w:r>
    </w:p>
    <w:p>
      <w:pPr>
        <w:pStyle w:val="ListParagraph"/>
        <w:numPr>
          <w:ilvl w:val="0"/>
          <w:numId w:val="1"/>
        </w:numPr>
        <w:spacing w:after="80"/>
      </w:pPr>
      <w:r>
        <w:rPr>
          <w:sz w:val="21"/>
          <w:szCs w:val="21"/>
        </w:rPr>
        <w:t xml:space="preserve">Weak liquidity ratios: a current ratio of 0.72x and quick ratio of 0.51x are below 1.0x, though this is a structural, longstanding characteristic of the quick-service/retail model (deferred revenue from gift cards, high payables turnover) rather than a new development.</w:t>
      </w:r>
    </w:p>
    <w:p>
      <w:pPr>
        <w:pStyle w:val="ListParagraph"/>
        <w:numPr>
          <w:ilvl w:val="0"/>
          <w:numId w:val="1"/>
        </w:numPr>
        <w:spacing w:after="80"/>
      </w:pPr>
      <w:r>
        <w:rPr>
          <w:sz w:val="21"/>
          <w:szCs w:val="21"/>
        </w:rPr>
        <w:t xml:space="preserve">Execution risk on the turnaround: the “Back to Starbucks” strategy is still in its early innings, and the positive Q4 comp trend is a single quarter of data following two years of softness; a stall in the recovery would pressure the metrics above further.</w:t>
      </w:r>
    </w:p>
    <w:p>
      <w:pPr>
        <w:pStyle w:val="ListParagraph"/>
        <w:numPr>
          <w:ilvl w:val="0"/>
          <w:numId w:val="1"/>
        </w:numPr>
        <w:spacing w:after="80"/>
      </w:pPr>
      <w:r>
        <w:rPr>
          <w:sz w:val="21"/>
          <w:szCs w:val="21"/>
        </w:rPr>
        <w:t xml:space="preserve">Negative book equity, while explainable, means the company has no equity cushion in a formal balance-sheet sense and is entirely reliant on future earnings and cash generation to service obligations.</w:t>
      </w:r>
    </w:p>
    <w:p>
      <w:pPr>
        <w:pStyle w:val="Heading1"/>
        <w:pBdr>
          <w:bottom w:val="single" w:color="1F3864" w:sz="6" w:space="4"/>
        </w:pBdr>
        <w:spacing w:after="160" w:before="320"/>
      </w:pPr>
      <w:r>
        <w:rPr>
          <w:b/>
          <w:bCs/>
          <w:color w:val="1F3864"/>
          <w:sz w:val="28"/>
          <w:szCs w:val="28"/>
        </w:rPr>
        <w:t xml:space="preserve">5. Loan Recommendation</w:t>
      </w:r>
    </w:p>
    <w:p>
      <w:pPr>
        <w:spacing w:after="200"/>
      </w:pPr>
      <w:r>
        <w:rPr>
          <w:b/>
          <w:bCs/>
          <w:sz w:val="22"/>
          <w:szCs w:val="22"/>
        </w:rPr>
        <w:t xml:space="preserve">Recommendation: </w:t>
      </w:r>
      <w:r>
        <w:rPr>
          <w:b/>
          <w:bCs/>
          <w:color w:val="375623"/>
          <w:sz w:val="22"/>
          <w:szCs w:val="22"/>
        </w:rPr>
        <w:t xml:space="preserve">Approve, with covenants and enhanced monitoring.</w:t>
      </w:r>
    </w:p>
    <w:p>
      <w:pPr>
        <w:spacing w:after="160" w:line="276"/>
      </w:pPr>
      <w:r>
        <w:rPr>
          <w:sz w:val="21"/>
          <w:szCs w:val="21"/>
        </w:rPr>
        <w:t xml:space="preserve">Starbucks remains a fundamentally sound, investment-grade-caliber credit with unmatched brand scale, a long history of capital markets access, and durable (if currently pressured) cash generation. However, FY2025 marks a genuine inflection point: leverage rose meaningfully, interest coverage weakened, and free cash flow no longer fully funds the dividend. These trends warrant a cautious structure rather than an outright decline or an unconditional approval.</w:t>
      </w:r>
    </w:p>
    <w:p>
      <w:pPr>
        <w:pStyle w:val="Heading2"/>
        <w:spacing w:after="120" w:before="240"/>
      </w:pPr>
      <w:r>
        <w:rPr>
          <w:b/>
          <w:bCs/>
          <w:color w:val="1F3864"/>
          <w:sz w:val="24"/>
          <w:szCs w:val="24"/>
        </w:rPr>
        <w:t xml:space="preserve">Suggested Structure &amp; Conditions</w:t>
      </w:r>
    </w:p>
    <w:p>
      <w:pPr>
        <w:pStyle w:val="ListParagraph"/>
        <w:numPr>
          <w:ilvl w:val="0"/>
          <w:numId w:val="1"/>
        </w:numPr>
        <w:spacing w:after="80"/>
      </w:pPr>
      <w:r>
        <w:rPr>
          <w:sz w:val="21"/>
          <w:szCs w:val="21"/>
        </w:rPr>
        <w:t xml:space="preserve">Facility: $500 million senior unsecured term loan, 5-year maturity, priced with reference to the company's existing credit ratings and a margin that reflects the recent leverage increase (i.e., wider than the bank would have offered a year ago).</w:t>
      </w:r>
    </w:p>
    <w:p>
      <w:pPr>
        <w:pStyle w:val="ListParagraph"/>
        <w:numPr>
          <w:ilvl w:val="0"/>
          <w:numId w:val="1"/>
        </w:numPr>
        <w:spacing w:after="80"/>
      </w:pPr>
      <w:r>
        <w:rPr>
          <w:sz w:val="21"/>
          <w:szCs w:val="21"/>
        </w:rPr>
        <w:t xml:space="preserve">Financial covenants: maximum total debt/EBITDA covenant (e.g., 4.0x–4.25x, providing headroom above the current 3.48x) and a minimum interest coverage covenant (e.g., 4.0x, below the current 5.4x but providing a buffer).</w:t>
      </w:r>
    </w:p>
    <w:p>
      <w:pPr>
        <w:pStyle w:val="ListParagraph"/>
        <w:numPr>
          <w:ilvl w:val="0"/>
          <w:numId w:val="1"/>
        </w:numPr>
        <w:spacing w:after="80"/>
      </w:pPr>
      <w:r>
        <w:rPr>
          <w:sz w:val="21"/>
          <w:szCs w:val="21"/>
        </w:rPr>
        <w:t xml:space="preserve">Reporting: quarterly covenant compliance certificates and management commentary on comparable store sales trends, given how central the turnaround thesis is to the credit.</w:t>
      </w:r>
    </w:p>
    <w:p>
      <w:pPr>
        <w:pStyle w:val="ListParagraph"/>
        <w:numPr>
          <w:ilvl w:val="0"/>
          <w:numId w:val="1"/>
        </w:numPr>
        <w:spacing w:after="80"/>
      </w:pPr>
      <w:r>
        <w:rPr>
          <w:sz w:val="21"/>
          <w:szCs w:val="21"/>
        </w:rPr>
        <w:t xml:space="preserve">Monitoring trigger: request for a management discussion if free cash flow does not cover the dividend for two consecutive quarters, or if comparable store sales growth reverses back to negative territory.</w:t>
      </w:r>
    </w:p>
    <w:p>
      <w:pPr>
        <w:pStyle w:val="ListParagraph"/>
        <w:numPr>
          <w:ilvl w:val="0"/>
          <w:numId w:val="1"/>
        </w:numPr>
        <w:spacing w:after="80"/>
      </w:pPr>
      <w:r>
        <w:rPr>
          <w:sz w:val="21"/>
          <w:szCs w:val="21"/>
        </w:rPr>
        <w:t xml:space="preserve">Use of proceeds restriction: proceeds tied specifically to capital expenditures for store remodels and restructuring-related costs, not for share repurchases, given the current strain on free cash flow relative to shareholder distributions.</w:t>
      </w:r>
    </w:p>
    <w:p>
      <w:pPr>
        <w:spacing w:after="160" w:line="276"/>
      </w:pPr>
      <w:r>
        <w:rPr>
          <w:sz w:val="21"/>
          <w:szCs w:val="21"/>
        </w:rPr>
        <w:t xml:space="preserve">This structure allows the bank to support a strategically important, brand-leading client through what management itself describes as a multi-year turnaround, while protecting the bank's position with covenant headroom that is tighter than a standard investment-grade facility would carry.</w:t>
      </w:r>
    </w:p>
    <w:p>
      <w:pPr>
        <w:pStyle w:val="Heading1"/>
        <w:pBdr>
          <w:bottom w:val="single" w:color="1F3864" w:sz="6" w:space="4"/>
        </w:pBdr>
        <w:spacing w:after="160" w:before="320"/>
      </w:pPr>
      <w:r>
        <w:rPr>
          <w:b/>
          <w:bCs/>
          <w:color w:val="1F3864"/>
          <w:sz w:val="28"/>
          <w:szCs w:val="28"/>
        </w:rPr>
        <w:t xml:space="preserve">6. Sources</w:t>
      </w:r>
    </w:p>
    <w:p>
      <w:pPr>
        <w:spacing w:after="160" w:line="276"/>
      </w:pPr>
      <w:r>
        <w:rPr>
          <w:sz w:val="21"/>
          <w:szCs w:val="21"/>
        </w:rPr>
        <w:t xml:space="preserve">All figures are drawn from Starbucks Corporation's Q4 and Full Fiscal Year 2025 Results press release and the FY2025 Form 10-K, both filed with the SEC (fiscal year ended September 28, 2025; prior fiscal year ended September 29, 2024). This is an independent, student-prepared analysis for internship application purposes and is not affiliated with or endorsed by Starbucks Corporation or any bank.</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Starbucks Corporation — Commercial Credit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2026-07-05T21:21:18.974Z</dcterms:created>
  <dcterms:modified xsi:type="dcterms:W3CDTF">2026-07-05T21:21:18.974Z</dcterms:modified>
</cp:coreProperties>
</file>

<file path=docProps/custom.xml><?xml version="1.0" encoding="utf-8"?>
<Properties xmlns="http://schemas.openxmlformats.org/officeDocument/2006/custom-properties" xmlns:vt="http://schemas.openxmlformats.org/officeDocument/2006/docPropsVTypes"/>
</file>