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2FD" w:rsidRDefault="00EF40CB">
      <w:pPr>
        <w:ind w:left="60"/>
        <w:rPr>
          <w:sz w:val="20"/>
          <w:szCs w:val="20"/>
        </w:rPr>
      </w:pPr>
      <w:bookmarkStart w:id="0" w:name="page1"/>
      <w:bookmarkEnd w:id="0"/>
      <w:r>
        <w:rPr>
          <w:rFonts w:eastAsia="Times New Roman"/>
          <w:b/>
          <w:bCs/>
        </w:rPr>
        <w:t>CONTRACTUAL AGREEMENT</w:t>
      </w:r>
    </w:p>
    <w:p w:rsidR="006802FD" w:rsidRDefault="006802FD">
      <w:pPr>
        <w:spacing w:line="6" w:lineRule="exact"/>
        <w:rPr>
          <w:sz w:val="24"/>
          <w:szCs w:val="24"/>
        </w:rPr>
      </w:pPr>
    </w:p>
    <w:p w:rsidR="006802FD" w:rsidRDefault="00EF40CB" w:rsidP="00D15BDD">
      <w:pPr>
        <w:spacing w:line="234" w:lineRule="auto"/>
        <w:ind w:right="40"/>
        <w:jc w:val="both"/>
        <w:rPr>
          <w:sz w:val="20"/>
          <w:szCs w:val="20"/>
        </w:rPr>
      </w:pPr>
      <w:r>
        <w:rPr>
          <w:rFonts w:eastAsia="Times New Roman"/>
        </w:rPr>
        <w:t xml:space="preserve">This Contractual Agreement (“Agreement”), effective from today May 20, 2017, is made by and between STARMERGE COMMERCIAL BROKERS LLC (Hereinafter referred as “Project Consultant”) and </w:t>
      </w:r>
      <w:r>
        <w:rPr>
          <w:rFonts w:eastAsia="Times New Roman"/>
          <w:sz w:val="24"/>
          <w:szCs w:val="24"/>
        </w:rPr>
        <w:t xml:space="preserve">SUNVESTA HOLDING AG </w:t>
      </w:r>
      <w:r>
        <w:rPr>
          <w:rFonts w:eastAsia="Times New Roman"/>
        </w:rPr>
        <w:t>(hereinafter refereed as “</w:t>
      </w:r>
      <w:r>
        <w:rPr>
          <w:rFonts w:eastAsia="Times New Roman"/>
        </w:rPr>
        <w:t>Project Initiator”) Project Consultant and</w:t>
      </w:r>
      <w:r>
        <w:rPr>
          <w:rFonts w:eastAsia="Times New Roman"/>
          <w:sz w:val="24"/>
          <w:szCs w:val="24"/>
        </w:rPr>
        <w:t xml:space="preserve"> </w:t>
      </w:r>
      <w:r>
        <w:rPr>
          <w:rFonts w:eastAsia="Times New Roman"/>
        </w:rPr>
        <w:t>Project Initiator are collectively referred to herein as “Parties”, in singular or plural usage, as required by context.</w:t>
      </w:r>
    </w:p>
    <w:p w:rsidR="006802FD" w:rsidRDefault="006802FD">
      <w:pPr>
        <w:spacing w:line="4" w:lineRule="exact"/>
        <w:rPr>
          <w:sz w:val="24"/>
          <w:szCs w:val="24"/>
        </w:rPr>
      </w:pPr>
    </w:p>
    <w:p w:rsidR="006802FD" w:rsidRDefault="00EF40CB">
      <w:pPr>
        <w:tabs>
          <w:tab w:val="left" w:pos="700"/>
        </w:tabs>
        <w:ind w:left="360"/>
        <w:rPr>
          <w:sz w:val="20"/>
          <w:szCs w:val="20"/>
        </w:rPr>
      </w:pPr>
      <w:r>
        <w:rPr>
          <w:rFonts w:eastAsia="Times New Roman"/>
          <w:b/>
          <w:bCs/>
        </w:rPr>
        <w:t>1.</w:t>
      </w:r>
      <w:r>
        <w:rPr>
          <w:sz w:val="20"/>
          <w:szCs w:val="20"/>
        </w:rPr>
        <w:tab/>
      </w:r>
      <w:r>
        <w:rPr>
          <w:rFonts w:eastAsia="Times New Roman"/>
          <w:b/>
          <w:bCs/>
        </w:rPr>
        <w:t>Purpose of this Agreement</w:t>
      </w:r>
    </w:p>
    <w:p w:rsidR="006802FD" w:rsidRDefault="006802FD">
      <w:pPr>
        <w:spacing w:line="260" w:lineRule="exact"/>
        <w:rPr>
          <w:sz w:val="24"/>
          <w:szCs w:val="24"/>
        </w:rPr>
      </w:pPr>
    </w:p>
    <w:p w:rsidR="006802FD" w:rsidRDefault="00D15BDD" w:rsidP="00D15BDD">
      <w:pPr>
        <w:numPr>
          <w:ilvl w:val="1"/>
          <w:numId w:val="1"/>
        </w:numPr>
        <w:tabs>
          <w:tab w:val="left" w:pos="910"/>
        </w:tabs>
        <w:spacing w:line="238" w:lineRule="auto"/>
        <w:ind w:left="1080" w:right="40" w:hanging="720"/>
        <w:jc w:val="both"/>
        <w:rPr>
          <w:rFonts w:eastAsia="Times New Roman"/>
        </w:rPr>
      </w:pPr>
      <w:r>
        <w:rPr>
          <w:rFonts w:eastAsia="Times New Roman"/>
        </w:rPr>
        <w:t xml:space="preserve">   </w:t>
      </w:r>
      <w:r w:rsidR="00EF40CB">
        <w:rPr>
          <w:rFonts w:eastAsia="Times New Roman"/>
        </w:rPr>
        <w:t xml:space="preserve">The intent of this Agreement is for the parties to cooperate </w:t>
      </w:r>
      <w:r w:rsidR="00EF40CB">
        <w:rPr>
          <w:rFonts w:eastAsia="Times New Roman"/>
        </w:rPr>
        <w:t>in re-evaluating, assessment and analysis of one or more potential projects (all together further referred as “The Project") and to protect the confidential nature of such discussions and project. In order to facilitate the discussions contemplated hereund</w:t>
      </w:r>
      <w:r w:rsidR="00EF40CB">
        <w:rPr>
          <w:rFonts w:eastAsia="Times New Roman"/>
        </w:rPr>
        <w:t>er, one party may provide to the other party certain confidential Information, as defined below. This information is proprietary, secret, and confidential, and will be disclosed to the other party only on clearly defined terms.</w:t>
      </w:r>
    </w:p>
    <w:p w:rsidR="006802FD" w:rsidRDefault="006802FD">
      <w:pPr>
        <w:spacing w:line="266" w:lineRule="exact"/>
        <w:rPr>
          <w:rFonts w:eastAsia="Times New Roman"/>
        </w:rPr>
      </w:pPr>
    </w:p>
    <w:p w:rsidR="006802FD" w:rsidRDefault="00D15BDD" w:rsidP="00D15BDD">
      <w:pPr>
        <w:numPr>
          <w:ilvl w:val="1"/>
          <w:numId w:val="1"/>
        </w:numPr>
        <w:tabs>
          <w:tab w:val="left" w:pos="910"/>
        </w:tabs>
        <w:spacing w:line="251" w:lineRule="auto"/>
        <w:ind w:left="1080" w:right="280" w:hanging="720"/>
        <w:jc w:val="both"/>
        <w:rPr>
          <w:rFonts w:eastAsia="Times New Roman"/>
          <w:sz w:val="21"/>
          <w:szCs w:val="21"/>
        </w:rPr>
      </w:pPr>
      <w:r>
        <w:rPr>
          <w:rFonts w:eastAsia="Times New Roman"/>
          <w:sz w:val="21"/>
          <w:szCs w:val="21"/>
        </w:rPr>
        <w:t xml:space="preserve">   </w:t>
      </w:r>
      <w:r w:rsidR="00EF40CB">
        <w:rPr>
          <w:rFonts w:eastAsia="Times New Roman"/>
          <w:sz w:val="21"/>
          <w:szCs w:val="21"/>
        </w:rPr>
        <w:t>The Parties agreed to accep</w:t>
      </w:r>
      <w:r w:rsidR="00EF40CB">
        <w:rPr>
          <w:rFonts w:eastAsia="Times New Roman"/>
          <w:sz w:val="21"/>
          <w:szCs w:val="21"/>
        </w:rPr>
        <w:t xml:space="preserve">t binding nature of the present Agreement with respect to all </w:t>
      </w:r>
      <w:r>
        <w:rPr>
          <w:rFonts w:eastAsia="Times New Roman"/>
          <w:sz w:val="21"/>
          <w:szCs w:val="21"/>
        </w:rPr>
        <w:t xml:space="preserve">  </w:t>
      </w:r>
      <w:r w:rsidR="00EF40CB">
        <w:rPr>
          <w:rFonts w:eastAsia="Times New Roman"/>
          <w:sz w:val="21"/>
          <w:szCs w:val="21"/>
        </w:rPr>
        <w:t xml:space="preserve">transactions and agreements with commercial organizations as well as states and municipal bodies, which Parties, including their affiliate or subsidiaries can be directly or indirectly involved </w:t>
      </w:r>
      <w:r w:rsidR="00EF40CB">
        <w:rPr>
          <w:rFonts w:eastAsia="Times New Roman"/>
          <w:sz w:val="21"/>
          <w:szCs w:val="21"/>
        </w:rPr>
        <w:t>in.</w:t>
      </w:r>
    </w:p>
    <w:p w:rsidR="006802FD" w:rsidRDefault="006802FD">
      <w:pPr>
        <w:spacing w:line="251" w:lineRule="exact"/>
        <w:rPr>
          <w:rFonts w:eastAsia="Times New Roman"/>
          <w:sz w:val="21"/>
          <w:szCs w:val="21"/>
        </w:rPr>
      </w:pPr>
    </w:p>
    <w:p w:rsidR="006802FD" w:rsidRDefault="00EF40CB" w:rsidP="00D15BDD">
      <w:pPr>
        <w:numPr>
          <w:ilvl w:val="1"/>
          <w:numId w:val="1"/>
        </w:numPr>
        <w:tabs>
          <w:tab w:val="left" w:pos="1080"/>
        </w:tabs>
        <w:spacing w:line="234" w:lineRule="auto"/>
        <w:ind w:left="1080" w:right="60" w:hanging="720"/>
        <w:jc w:val="both"/>
        <w:rPr>
          <w:rFonts w:eastAsia="Times New Roman"/>
        </w:rPr>
      </w:pPr>
      <w:r>
        <w:rPr>
          <w:rFonts w:eastAsia="Times New Roman"/>
          <w:sz w:val="24"/>
          <w:szCs w:val="24"/>
        </w:rPr>
        <w:t xml:space="preserve">SUNVESTA HOLDING AG </w:t>
      </w:r>
      <w:r>
        <w:rPr>
          <w:rFonts w:eastAsia="Times New Roman"/>
        </w:rPr>
        <w:t>having request project funding from Capital Funding PJSC</w:t>
      </w:r>
      <w:r>
        <w:rPr>
          <w:rFonts w:eastAsia="Times New Roman"/>
          <w:sz w:val="24"/>
          <w:szCs w:val="24"/>
        </w:rPr>
        <w:t xml:space="preserve"> </w:t>
      </w:r>
      <w:r>
        <w:rPr>
          <w:rFonts w:eastAsia="Times New Roman"/>
        </w:rPr>
        <w:t xml:space="preserve">and Capital Funding PJSC, having unanimously agreed to extend funding to </w:t>
      </w:r>
      <w:r>
        <w:rPr>
          <w:rFonts w:eastAsia="Times New Roman"/>
          <w:sz w:val="24"/>
          <w:szCs w:val="24"/>
        </w:rPr>
        <w:t>SUNVESTA</w:t>
      </w:r>
      <w:r>
        <w:rPr>
          <w:rFonts w:eastAsia="Times New Roman"/>
        </w:rPr>
        <w:t xml:space="preserve"> </w:t>
      </w:r>
      <w:r>
        <w:rPr>
          <w:rFonts w:eastAsia="Times New Roman"/>
          <w:sz w:val="24"/>
          <w:szCs w:val="24"/>
        </w:rPr>
        <w:t xml:space="preserve">HOLDING AG </w:t>
      </w:r>
      <w:r>
        <w:rPr>
          <w:rFonts w:eastAsia="Times New Roman"/>
        </w:rPr>
        <w:t>has requested a further analysis, assessment and re-evaluation (Final Due</w:t>
      </w:r>
      <w:r>
        <w:rPr>
          <w:rFonts w:eastAsia="Times New Roman"/>
          <w:sz w:val="24"/>
          <w:szCs w:val="24"/>
        </w:rPr>
        <w:t xml:space="preserve"> </w:t>
      </w:r>
      <w:r>
        <w:rPr>
          <w:rFonts w:eastAsia="Times New Roman"/>
        </w:rPr>
        <w:t>Diligen</w:t>
      </w:r>
      <w:r>
        <w:rPr>
          <w:rFonts w:eastAsia="Times New Roman"/>
        </w:rPr>
        <w:t xml:space="preserve">ce) of the project which is being finalized to be funded by Capital Funding PJSC, to define the terms and conditions that will form the basis of this funding collaboration between </w:t>
      </w:r>
      <w:r>
        <w:rPr>
          <w:rFonts w:eastAsia="Times New Roman"/>
          <w:sz w:val="24"/>
          <w:szCs w:val="24"/>
        </w:rPr>
        <w:t xml:space="preserve">SUNVESTA HOLDING AG </w:t>
      </w:r>
      <w:r>
        <w:rPr>
          <w:rFonts w:eastAsia="Times New Roman"/>
        </w:rPr>
        <w:t>and Capital Funding PJSC.</w:t>
      </w:r>
    </w:p>
    <w:p w:rsidR="006802FD" w:rsidRDefault="006802FD">
      <w:pPr>
        <w:spacing w:line="272" w:lineRule="exact"/>
        <w:rPr>
          <w:rFonts w:eastAsia="Times New Roman"/>
        </w:rPr>
      </w:pPr>
    </w:p>
    <w:p w:rsidR="006802FD" w:rsidRDefault="00EF40CB" w:rsidP="00D15BDD">
      <w:pPr>
        <w:numPr>
          <w:ilvl w:val="1"/>
          <w:numId w:val="1"/>
        </w:numPr>
        <w:tabs>
          <w:tab w:val="left" w:pos="1080"/>
        </w:tabs>
        <w:spacing w:line="229" w:lineRule="auto"/>
        <w:ind w:left="1080" w:right="80" w:hanging="720"/>
        <w:jc w:val="both"/>
        <w:rPr>
          <w:rFonts w:eastAsia="Times New Roman"/>
        </w:rPr>
      </w:pPr>
      <w:r>
        <w:rPr>
          <w:rFonts w:eastAsia="Times New Roman"/>
          <w:sz w:val="24"/>
          <w:szCs w:val="24"/>
        </w:rPr>
        <w:t xml:space="preserve">SUNVESTA HOLDING AG </w:t>
      </w:r>
      <w:r>
        <w:rPr>
          <w:rFonts w:eastAsia="Times New Roman"/>
        </w:rPr>
        <w:t xml:space="preserve">shall be </w:t>
      </w:r>
      <w:r>
        <w:rPr>
          <w:rFonts w:eastAsia="Times New Roman"/>
        </w:rPr>
        <w:t>under obligation to forward all relevant details, data</w:t>
      </w:r>
      <w:r>
        <w:rPr>
          <w:rFonts w:eastAsia="Times New Roman"/>
          <w:sz w:val="24"/>
          <w:szCs w:val="24"/>
        </w:rPr>
        <w:t xml:space="preserve"> </w:t>
      </w:r>
      <w:r>
        <w:rPr>
          <w:rFonts w:eastAsia="Times New Roman"/>
        </w:rPr>
        <w:t>and information to support the project under consideration for the required due diligence on the project under consideration to STARMERGE COMMERCIAL BROKERS LLC.</w:t>
      </w:r>
    </w:p>
    <w:p w:rsidR="006802FD" w:rsidRDefault="006802FD" w:rsidP="00D15BDD">
      <w:pPr>
        <w:spacing w:line="266" w:lineRule="exact"/>
        <w:jc w:val="both"/>
        <w:rPr>
          <w:rFonts w:eastAsia="Times New Roman"/>
        </w:rPr>
      </w:pPr>
    </w:p>
    <w:p w:rsidR="006802FD" w:rsidRDefault="00EF40CB" w:rsidP="00D15BDD">
      <w:pPr>
        <w:numPr>
          <w:ilvl w:val="1"/>
          <w:numId w:val="1"/>
        </w:numPr>
        <w:tabs>
          <w:tab w:val="left" w:pos="1080"/>
        </w:tabs>
        <w:spacing w:line="233" w:lineRule="auto"/>
        <w:ind w:left="1080" w:hanging="720"/>
        <w:jc w:val="both"/>
        <w:rPr>
          <w:rFonts w:eastAsia="Times New Roman"/>
        </w:rPr>
      </w:pPr>
      <w:r>
        <w:rPr>
          <w:rFonts w:eastAsia="Times New Roman"/>
          <w:sz w:val="24"/>
          <w:szCs w:val="24"/>
        </w:rPr>
        <w:t xml:space="preserve">SUNVESTA HOLDING AG </w:t>
      </w:r>
      <w:r>
        <w:rPr>
          <w:rFonts w:eastAsia="Times New Roman"/>
        </w:rPr>
        <w:t xml:space="preserve">Shall pay $18.650 </w:t>
      </w:r>
      <w:r>
        <w:rPr>
          <w:rFonts w:eastAsia="Times New Roman"/>
        </w:rPr>
        <w:t>USD (Eighteen Thousand six hundred and</w:t>
      </w:r>
      <w:r>
        <w:rPr>
          <w:rFonts w:eastAsia="Times New Roman"/>
          <w:sz w:val="24"/>
          <w:szCs w:val="24"/>
        </w:rPr>
        <w:t xml:space="preserve"> </w:t>
      </w:r>
      <w:r>
        <w:rPr>
          <w:rFonts w:eastAsia="Times New Roman"/>
        </w:rPr>
        <w:t>fifty Dollars) only to STARMERGE COMMERCIAL BROKERS LLC at the time of application as a professional service fee for rendering the necessary due diligence on the project under consideration for the purpose of finaliza</w:t>
      </w:r>
      <w:r>
        <w:rPr>
          <w:rFonts w:eastAsia="Times New Roman"/>
        </w:rPr>
        <w:t xml:space="preserve">tion of funding agreement with Capital Funding PJSC on behalf of </w:t>
      </w:r>
      <w:r>
        <w:rPr>
          <w:rFonts w:eastAsia="Times New Roman"/>
          <w:sz w:val="24"/>
          <w:szCs w:val="24"/>
        </w:rPr>
        <w:t>SUNVESTA HOLDING AG</w:t>
      </w:r>
      <w:r>
        <w:rPr>
          <w:rFonts w:eastAsia="Times New Roman"/>
        </w:rPr>
        <w:t>.</w:t>
      </w:r>
    </w:p>
    <w:p w:rsidR="006802FD" w:rsidRDefault="006802FD" w:rsidP="00D15BDD">
      <w:pPr>
        <w:spacing w:line="268" w:lineRule="exact"/>
        <w:jc w:val="both"/>
        <w:rPr>
          <w:rFonts w:eastAsia="Times New Roman"/>
        </w:rPr>
      </w:pPr>
    </w:p>
    <w:p w:rsidR="006802FD" w:rsidRDefault="00EF40CB" w:rsidP="00D15BDD">
      <w:pPr>
        <w:numPr>
          <w:ilvl w:val="0"/>
          <w:numId w:val="2"/>
        </w:numPr>
        <w:tabs>
          <w:tab w:val="left" w:pos="1080"/>
        </w:tabs>
        <w:spacing w:line="249" w:lineRule="auto"/>
        <w:ind w:left="1080" w:right="20" w:hanging="720"/>
        <w:jc w:val="both"/>
        <w:rPr>
          <w:rFonts w:eastAsia="Times New Roman"/>
          <w:sz w:val="21"/>
          <w:szCs w:val="21"/>
        </w:rPr>
      </w:pPr>
      <w:r>
        <w:rPr>
          <w:rFonts w:eastAsia="Times New Roman"/>
          <w:sz w:val="21"/>
          <w:szCs w:val="21"/>
        </w:rPr>
        <w:t>STARMERGE COMMERCIAL BROKERS LLC shall accept a</w:t>
      </w:r>
      <w:r w:rsidR="00D15BDD">
        <w:rPr>
          <w:rFonts w:eastAsia="Times New Roman"/>
          <w:sz w:val="21"/>
          <w:szCs w:val="21"/>
        </w:rPr>
        <w:t>ll documentation as regards the   p</w:t>
      </w:r>
      <w:r>
        <w:rPr>
          <w:rFonts w:eastAsia="Times New Roman"/>
          <w:sz w:val="21"/>
          <w:szCs w:val="21"/>
        </w:rPr>
        <w:t xml:space="preserve">roject under consideration for funding by Capital Funding PJSC on behalf of </w:t>
      </w:r>
      <w:r>
        <w:rPr>
          <w:rFonts w:eastAsia="Times New Roman"/>
          <w:sz w:val="23"/>
          <w:szCs w:val="23"/>
        </w:rPr>
        <w:t>SUNVESTA HOLD</w:t>
      </w:r>
      <w:r>
        <w:rPr>
          <w:rFonts w:eastAsia="Times New Roman"/>
          <w:sz w:val="23"/>
          <w:szCs w:val="23"/>
        </w:rPr>
        <w:t>ING</w:t>
      </w:r>
    </w:p>
    <w:p w:rsidR="006802FD" w:rsidRDefault="006802FD" w:rsidP="00D15BDD">
      <w:pPr>
        <w:tabs>
          <w:tab w:val="left" w:pos="1080"/>
        </w:tabs>
        <w:spacing w:line="4" w:lineRule="exact"/>
        <w:ind w:left="360"/>
        <w:jc w:val="both"/>
        <w:rPr>
          <w:sz w:val="24"/>
          <w:szCs w:val="24"/>
        </w:rPr>
      </w:pPr>
    </w:p>
    <w:p w:rsidR="00D15BDD" w:rsidRDefault="00EF40CB" w:rsidP="00D15BDD">
      <w:pPr>
        <w:tabs>
          <w:tab w:val="left" w:pos="1170"/>
        </w:tabs>
        <w:spacing w:line="241" w:lineRule="auto"/>
        <w:ind w:left="1080" w:right="60"/>
        <w:jc w:val="both"/>
        <w:rPr>
          <w:rFonts w:eastAsia="Times New Roman"/>
        </w:rPr>
      </w:pPr>
      <w:r>
        <w:rPr>
          <w:rFonts w:eastAsia="Times New Roman"/>
          <w:sz w:val="24"/>
          <w:szCs w:val="24"/>
        </w:rPr>
        <w:t xml:space="preserve">AG </w:t>
      </w:r>
      <w:r>
        <w:rPr>
          <w:rFonts w:eastAsia="Times New Roman"/>
        </w:rPr>
        <w:t>including the professional service fee of US$16,650 for the purpose of re-evaluation, assessment and</w:t>
      </w:r>
      <w:r>
        <w:rPr>
          <w:rFonts w:eastAsia="Times New Roman"/>
          <w:sz w:val="24"/>
          <w:szCs w:val="24"/>
        </w:rPr>
        <w:t xml:space="preserve"> </w:t>
      </w:r>
      <w:r>
        <w:rPr>
          <w:rFonts w:eastAsia="Times New Roman"/>
        </w:rPr>
        <w:t xml:space="preserve">analysis (Due Diligence).The fee is refundable by </w:t>
      </w:r>
      <w:r>
        <w:rPr>
          <w:rFonts w:eastAsia="Times New Roman"/>
          <w:sz w:val="24"/>
          <w:szCs w:val="24"/>
        </w:rPr>
        <w:t>SUNVESTA HOLDING AG</w:t>
      </w:r>
      <w:r>
        <w:rPr>
          <w:rFonts w:eastAsia="Times New Roman"/>
        </w:rPr>
        <w:t xml:space="preserve"> only if the Business Plan/Proposition is rejected for funding base on the re-evaluation, analysis and recommendation by STARMERGE COMMERCIAL BROKERS LLC to Capital Funding PJSC. </w:t>
      </w:r>
    </w:p>
    <w:p w:rsidR="006802FD" w:rsidRDefault="00EF40CB" w:rsidP="00D15BDD">
      <w:pPr>
        <w:tabs>
          <w:tab w:val="left" w:pos="1170"/>
        </w:tabs>
        <w:spacing w:line="241" w:lineRule="auto"/>
        <w:ind w:left="1080" w:right="60" w:hanging="720"/>
        <w:jc w:val="both"/>
        <w:rPr>
          <w:sz w:val="20"/>
          <w:szCs w:val="20"/>
        </w:rPr>
      </w:pPr>
      <w:r>
        <w:rPr>
          <w:rFonts w:eastAsia="Times New Roman"/>
        </w:rPr>
        <w:t xml:space="preserve">1.1.7. </w:t>
      </w:r>
      <w:r w:rsidR="00D15BDD">
        <w:rPr>
          <w:rFonts w:eastAsia="Times New Roman"/>
        </w:rPr>
        <w:t xml:space="preserve">  </w:t>
      </w:r>
      <w:r>
        <w:rPr>
          <w:rFonts w:eastAsia="Times New Roman"/>
        </w:rPr>
        <w:t>STARMERGE COMMERCIAL BROKERS LLC s</w:t>
      </w:r>
      <w:r w:rsidR="00D15BDD">
        <w:rPr>
          <w:rFonts w:eastAsia="Times New Roman"/>
        </w:rPr>
        <w:t xml:space="preserve">hall render a comprehensive due </w:t>
      </w:r>
      <w:r>
        <w:rPr>
          <w:rFonts w:eastAsia="Times New Roman"/>
        </w:rPr>
        <w:t>dili</w:t>
      </w:r>
      <w:r>
        <w:rPr>
          <w:rFonts w:eastAsia="Times New Roman"/>
        </w:rPr>
        <w:t xml:space="preserve">gence on </w:t>
      </w:r>
      <w:r>
        <w:rPr>
          <w:rFonts w:eastAsia="Times New Roman"/>
          <w:sz w:val="24"/>
          <w:szCs w:val="24"/>
        </w:rPr>
        <w:t>SUNVESTA</w:t>
      </w:r>
      <w:r>
        <w:rPr>
          <w:rFonts w:eastAsia="Times New Roman"/>
        </w:rPr>
        <w:t xml:space="preserve"> </w:t>
      </w:r>
      <w:r>
        <w:rPr>
          <w:rFonts w:eastAsia="Times New Roman"/>
          <w:sz w:val="24"/>
          <w:szCs w:val="24"/>
        </w:rPr>
        <w:t xml:space="preserve">HOLDING AG </w:t>
      </w:r>
      <w:r>
        <w:rPr>
          <w:rFonts w:eastAsia="Times New Roman"/>
        </w:rPr>
        <w:t>funding request and forward a professional report and recommendation to Capital</w:t>
      </w:r>
      <w:r>
        <w:rPr>
          <w:rFonts w:eastAsia="Times New Roman"/>
          <w:sz w:val="24"/>
          <w:szCs w:val="24"/>
        </w:rPr>
        <w:t xml:space="preserve"> </w:t>
      </w:r>
      <w:r>
        <w:rPr>
          <w:rFonts w:eastAsia="Times New Roman"/>
        </w:rPr>
        <w:t xml:space="preserve">Funding PJSC for the purpose of finalization of a funding agreement between the </w:t>
      </w:r>
      <w:r>
        <w:rPr>
          <w:rFonts w:eastAsia="Times New Roman"/>
          <w:sz w:val="24"/>
          <w:szCs w:val="24"/>
        </w:rPr>
        <w:t>SUNVESTA</w:t>
      </w:r>
      <w:r>
        <w:rPr>
          <w:rFonts w:eastAsia="Times New Roman"/>
        </w:rPr>
        <w:t xml:space="preserve"> </w:t>
      </w:r>
      <w:r>
        <w:rPr>
          <w:rFonts w:eastAsia="Times New Roman"/>
          <w:sz w:val="24"/>
          <w:szCs w:val="24"/>
        </w:rPr>
        <w:t xml:space="preserve">HOLDING AG </w:t>
      </w:r>
      <w:r>
        <w:rPr>
          <w:rFonts w:eastAsia="Times New Roman"/>
        </w:rPr>
        <w:t>and</w:t>
      </w:r>
      <w:r>
        <w:rPr>
          <w:rFonts w:eastAsia="Times New Roman"/>
          <w:sz w:val="24"/>
          <w:szCs w:val="24"/>
        </w:rPr>
        <w:t xml:space="preserve"> SUNVESTA HOLDING AG</w:t>
      </w:r>
      <w:r>
        <w:rPr>
          <w:rFonts w:eastAsia="Times New Roman"/>
        </w:rPr>
        <w:t>.</w:t>
      </w:r>
    </w:p>
    <w:p w:rsidR="006802FD" w:rsidRDefault="006802FD" w:rsidP="00D15BDD">
      <w:pPr>
        <w:spacing w:line="14" w:lineRule="exact"/>
        <w:ind w:left="360"/>
        <w:jc w:val="both"/>
        <w:rPr>
          <w:sz w:val="24"/>
          <w:szCs w:val="24"/>
        </w:rPr>
      </w:pPr>
    </w:p>
    <w:p w:rsidR="006802FD" w:rsidRDefault="00EF40CB" w:rsidP="00D15BDD">
      <w:pPr>
        <w:spacing w:line="236" w:lineRule="auto"/>
        <w:ind w:left="1080" w:right="80" w:hanging="720"/>
        <w:jc w:val="both"/>
        <w:rPr>
          <w:sz w:val="20"/>
          <w:szCs w:val="20"/>
        </w:rPr>
      </w:pPr>
      <w:r>
        <w:rPr>
          <w:rFonts w:eastAsia="Times New Roman"/>
        </w:rPr>
        <w:lastRenderedPageBreak/>
        <w:t>1.1.8.</w:t>
      </w:r>
      <w:r w:rsidR="00D15BDD">
        <w:rPr>
          <w:rFonts w:eastAsia="Times New Roman"/>
        </w:rPr>
        <w:t xml:space="preserve">   </w:t>
      </w:r>
      <w:r>
        <w:rPr>
          <w:rFonts w:eastAsia="Times New Roman"/>
        </w:rPr>
        <w:t xml:space="preserve"> STARMERGE COMM</w:t>
      </w:r>
      <w:r>
        <w:rPr>
          <w:rFonts w:eastAsia="Times New Roman"/>
        </w:rPr>
        <w:t xml:space="preserve">ERCIAL BROKERS LLC shall remain under obligation to keep all details, data and information associated with </w:t>
      </w:r>
      <w:r>
        <w:rPr>
          <w:rFonts w:eastAsia="Times New Roman"/>
          <w:sz w:val="24"/>
          <w:szCs w:val="24"/>
        </w:rPr>
        <w:t>SUNVESTA HOLDING AG</w:t>
      </w:r>
      <w:r>
        <w:rPr>
          <w:rFonts w:eastAsia="Times New Roman"/>
        </w:rPr>
        <w:t xml:space="preserve"> project confidential and shall not share any such project information with any other client or parties not stated herein.</w:t>
      </w:r>
    </w:p>
    <w:p w:rsidR="006802FD" w:rsidRDefault="006802FD" w:rsidP="00D15BDD">
      <w:pPr>
        <w:ind w:left="360"/>
        <w:sectPr w:rsidR="006802FD">
          <w:pgSz w:w="12240" w:h="15840"/>
          <w:pgMar w:top="1437" w:right="1460" w:bottom="1440" w:left="1440" w:header="0" w:footer="0" w:gutter="0"/>
          <w:cols w:space="720" w:equalWidth="0">
            <w:col w:w="9340"/>
          </w:cols>
        </w:sectPr>
      </w:pPr>
    </w:p>
    <w:p w:rsidR="006802FD" w:rsidRDefault="006802FD">
      <w:pPr>
        <w:spacing w:line="249" w:lineRule="exact"/>
        <w:rPr>
          <w:sz w:val="20"/>
          <w:szCs w:val="20"/>
        </w:rPr>
      </w:pPr>
      <w:bookmarkStart w:id="1" w:name="page2"/>
      <w:bookmarkEnd w:id="1"/>
    </w:p>
    <w:p w:rsidR="006802FD" w:rsidRDefault="00EF40CB">
      <w:pPr>
        <w:rPr>
          <w:sz w:val="20"/>
          <w:szCs w:val="20"/>
        </w:rPr>
      </w:pPr>
      <w:r>
        <w:rPr>
          <w:rFonts w:eastAsia="Times New Roman"/>
          <w:b/>
          <w:bCs/>
        </w:rPr>
        <w:t>2. Definition of Confidential Information</w:t>
      </w:r>
    </w:p>
    <w:p w:rsidR="006802FD" w:rsidRDefault="006802FD">
      <w:pPr>
        <w:spacing w:line="260" w:lineRule="exact"/>
        <w:rPr>
          <w:sz w:val="20"/>
          <w:szCs w:val="20"/>
        </w:rPr>
      </w:pPr>
    </w:p>
    <w:p w:rsidR="006802FD" w:rsidRDefault="00EF40CB" w:rsidP="00D15BDD">
      <w:pPr>
        <w:spacing w:line="234" w:lineRule="auto"/>
        <w:ind w:left="720" w:right="320" w:hanging="720"/>
        <w:jc w:val="both"/>
        <w:rPr>
          <w:sz w:val="20"/>
          <w:szCs w:val="20"/>
        </w:rPr>
      </w:pPr>
      <w:r>
        <w:rPr>
          <w:rFonts w:eastAsia="Times New Roman"/>
        </w:rPr>
        <w:t xml:space="preserve">2.1.1. “Confidential Information” shall mean any and all business, technical, and financial information relating to the business and project of </w:t>
      </w:r>
      <w:r>
        <w:rPr>
          <w:rFonts w:eastAsia="Times New Roman"/>
          <w:sz w:val="24"/>
          <w:szCs w:val="24"/>
        </w:rPr>
        <w:t>SUNVESTA HOLDING AG</w:t>
      </w:r>
      <w:r>
        <w:rPr>
          <w:rFonts w:eastAsia="Times New Roman"/>
        </w:rPr>
        <w:t>.</w:t>
      </w:r>
    </w:p>
    <w:p w:rsidR="006802FD" w:rsidRDefault="006802FD" w:rsidP="00D15BDD">
      <w:pPr>
        <w:spacing w:line="267" w:lineRule="exact"/>
        <w:jc w:val="both"/>
        <w:rPr>
          <w:sz w:val="20"/>
          <w:szCs w:val="20"/>
        </w:rPr>
      </w:pPr>
    </w:p>
    <w:p w:rsidR="006802FD" w:rsidRDefault="00D15BDD" w:rsidP="00D15BDD">
      <w:pPr>
        <w:numPr>
          <w:ilvl w:val="0"/>
          <w:numId w:val="3"/>
        </w:numPr>
        <w:tabs>
          <w:tab w:val="left" w:pos="540"/>
        </w:tabs>
        <w:spacing w:line="237" w:lineRule="auto"/>
        <w:ind w:left="720" w:right="20" w:hanging="810"/>
        <w:jc w:val="both"/>
        <w:rPr>
          <w:rFonts w:eastAsia="Times New Roman"/>
        </w:rPr>
      </w:pPr>
      <w:r>
        <w:rPr>
          <w:rFonts w:eastAsia="Times New Roman"/>
        </w:rPr>
        <w:t xml:space="preserve">   </w:t>
      </w:r>
      <w:r w:rsidR="00EF40CB">
        <w:rPr>
          <w:rFonts w:eastAsia="Times New Roman"/>
        </w:rPr>
        <w:t xml:space="preserve">All information transferred shall be considered confidential, unless otherwise indicated by the Party providing such information. Information can be provided in oral, written form (both paper and electronic form) or in other form. Confidential Information </w:t>
      </w:r>
      <w:r w:rsidR="00EF40CB">
        <w:rPr>
          <w:rFonts w:eastAsia="Times New Roman"/>
        </w:rPr>
        <w:t>may include, by way of example, but without limitation, products, specifications, formulae, equipment, business strategies or plans, customer lists, know-how, drawings, pricing information, inventions, ideas, and other information, or its potential use, th</w:t>
      </w:r>
      <w:r w:rsidR="00EF40CB">
        <w:rPr>
          <w:rFonts w:eastAsia="Times New Roman"/>
        </w:rPr>
        <w:t xml:space="preserve">at is owned by or in the possession of </w:t>
      </w:r>
      <w:r w:rsidR="00EF40CB">
        <w:rPr>
          <w:rFonts w:eastAsia="Times New Roman"/>
          <w:sz w:val="24"/>
          <w:szCs w:val="24"/>
        </w:rPr>
        <w:t>SUNVESTA HOLDING AG</w:t>
      </w:r>
      <w:r w:rsidR="00EF40CB">
        <w:rPr>
          <w:rFonts w:eastAsia="Times New Roman"/>
        </w:rPr>
        <w:t xml:space="preserve"> and their affiliates.</w:t>
      </w:r>
    </w:p>
    <w:p w:rsidR="006802FD" w:rsidRDefault="006802FD" w:rsidP="00D15BDD">
      <w:pPr>
        <w:spacing w:line="271" w:lineRule="exact"/>
        <w:jc w:val="both"/>
        <w:rPr>
          <w:rFonts w:eastAsia="Times New Roman"/>
        </w:rPr>
      </w:pPr>
    </w:p>
    <w:p w:rsidR="006802FD" w:rsidRDefault="00D15BDD" w:rsidP="00D15BDD">
      <w:pPr>
        <w:numPr>
          <w:ilvl w:val="0"/>
          <w:numId w:val="3"/>
        </w:numPr>
        <w:tabs>
          <w:tab w:val="left" w:pos="552"/>
        </w:tabs>
        <w:spacing w:line="251" w:lineRule="auto"/>
        <w:ind w:left="630" w:right="20" w:hanging="720"/>
        <w:jc w:val="both"/>
        <w:rPr>
          <w:rFonts w:eastAsia="Times New Roman"/>
          <w:sz w:val="21"/>
          <w:szCs w:val="21"/>
        </w:rPr>
      </w:pPr>
      <w:r>
        <w:rPr>
          <w:rFonts w:eastAsia="Times New Roman"/>
          <w:sz w:val="21"/>
          <w:szCs w:val="21"/>
        </w:rPr>
        <w:t xml:space="preserve">  </w:t>
      </w:r>
      <w:r w:rsidR="00EF40CB">
        <w:rPr>
          <w:rFonts w:eastAsia="Times New Roman"/>
          <w:sz w:val="21"/>
          <w:szCs w:val="21"/>
        </w:rPr>
        <w:t>Confidential Information shall not include that which: (a) is in the public domain prior to disclosure by one Party to another; (b) becomes part of the public domain, by publ</w:t>
      </w:r>
      <w:r w:rsidR="00EF40CB">
        <w:rPr>
          <w:rFonts w:eastAsia="Times New Roman"/>
          <w:sz w:val="21"/>
          <w:szCs w:val="21"/>
        </w:rPr>
        <w:t xml:space="preserve">ication or otherwise, through no unauthorized act or omission on the part of either or the Parties; or (c) is lawfully in Party’s possession prior to disclosure by one of the Parties or (d) is independently developed by an employee(s) of the Party with no </w:t>
      </w:r>
      <w:r w:rsidR="00EF40CB">
        <w:rPr>
          <w:rFonts w:eastAsia="Times New Roman"/>
          <w:sz w:val="21"/>
          <w:szCs w:val="21"/>
        </w:rPr>
        <w:t>access to the disclosed Confidential Information; (e) cannot be regarded as commercial secret.</w:t>
      </w:r>
    </w:p>
    <w:p w:rsidR="006802FD" w:rsidRDefault="006802FD" w:rsidP="00D15BDD">
      <w:pPr>
        <w:spacing w:line="257" w:lineRule="exact"/>
        <w:jc w:val="both"/>
        <w:rPr>
          <w:sz w:val="20"/>
          <w:szCs w:val="20"/>
        </w:rPr>
      </w:pPr>
    </w:p>
    <w:p w:rsidR="006802FD" w:rsidRDefault="00EF40CB" w:rsidP="00D15BDD">
      <w:pPr>
        <w:spacing w:line="237" w:lineRule="auto"/>
        <w:ind w:left="630" w:hanging="630"/>
        <w:jc w:val="both"/>
        <w:rPr>
          <w:sz w:val="20"/>
          <w:szCs w:val="20"/>
        </w:rPr>
      </w:pPr>
      <w:r>
        <w:rPr>
          <w:rFonts w:eastAsia="Times New Roman"/>
        </w:rPr>
        <w:t>2.1.4.</w:t>
      </w:r>
      <w:r w:rsidR="00D15BDD">
        <w:rPr>
          <w:rFonts w:eastAsia="Times New Roman"/>
        </w:rPr>
        <w:t xml:space="preserve">  </w:t>
      </w:r>
      <w:r>
        <w:rPr>
          <w:rFonts w:eastAsia="Times New Roman"/>
        </w:rPr>
        <w:t>If Confidential Information is legally disclosed in confidence to one of the Parties by a third party, then: (a) the such Party shall have the right to us</w:t>
      </w:r>
      <w:r>
        <w:rPr>
          <w:rFonts w:eastAsia="Times New Roman"/>
        </w:rPr>
        <w:t>e that portion of the above-mentioned Confidential Information so disclosed by the third party in connection with work done for that third party; and (b) such disclosure by that third party shall not place that portion of the above-mentioned Confidential I</w:t>
      </w:r>
      <w:r>
        <w:rPr>
          <w:rFonts w:eastAsia="Times New Roman"/>
        </w:rPr>
        <w:t>nformation in the public domain, and shall not relieve the Parties of its obligations under this Agreement.</w:t>
      </w:r>
    </w:p>
    <w:p w:rsidR="006802FD" w:rsidRDefault="006802FD" w:rsidP="00D15BDD">
      <w:pPr>
        <w:spacing w:line="261" w:lineRule="exact"/>
        <w:jc w:val="both"/>
        <w:rPr>
          <w:sz w:val="20"/>
          <w:szCs w:val="20"/>
        </w:rPr>
      </w:pPr>
    </w:p>
    <w:p w:rsidR="006802FD" w:rsidRDefault="00EF40CB" w:rsidP="00D15BDD">
      <w:pPr>
        <w:spacing w:line="239" w:lineRule="auto"/>
        <w:jc w:val="both"/>
        <w:rPr>
          <w:sz w:val="20"/>
          <w:szCs w:val="20"/>
        </w:rPr>
      </w:pPr>
      <w:r>
        <w:rPr>
          <w:rFonts w:eastAsia="Times New Roman"/>
          <w:b/>
          <w:bCs/>
        </w:rPr>
        <w:t>3. Obligations of Protection</w:t>
      </w:r>
    </w:p>
    <w:p w:rsidR="006802FD" w:rsidRDefault="006802FD" w:rsidP="00D15BDD">
      <w:pPr>
        <w:spacing w:line="9" w:lineRule="exact"/>
        <w:jc w:val="both"/>
        <w:rPr>
          <w:sz w:val="20"/>
          <w:szCs w:val="20"/>
        </w:rPr>
      </w:pPr>
    </w:p>
    <w:p w:rsidR="006802FD" w:rsidRDefault="00EF40CB" w:rsidP="00D15BDD">
      <w:pPr>
        <w:spacing w:line="238" w:lineRule="auto"/>
        <w:ind w:left="540"/>
        <w:jc w:val="both"/>
        <w:rPr>
          <w:sz w:val="20"/>
          <w:szCs w:val="20"/>
        </w:rPr>
      </w:pPr>
      <w:r>
        <w:rPr>
          <w:rFonts w:eastAsia="Times New Roman"/>
        </w:rPr>
        <w:t>Proper and appropriate steps shall be taken and maintained by STARMERGE COMMERCIAL BROKERS LLC to protect Confidentia</w:t>
      </w:r>
      <w:r>
        <w:rPr>
          <w:rFonts w:eastAsia="Times New Roman"/>
        </w:rPr>
        <w:t>l Information. Dissemination of Confidential Information shall be limited to employees, agents or professional advisers/consultants that are directly involved with the Project and even then only to such extent as is necessary and essential. STARMERGE COMME</w:t>
      </w:r>
      <w:r>
        <w:rPr>
          <w:rFonts w:eastAsia="Times New Roman"/>
        </w:rPr>
        <w:t>RCIAL BROKERS LLC shall inform their employees, agents and consultants of the confidential nature of the information disclosed hereunder and cause all such employees, agents and consultants to abide by the terms of this Agreement. STARMERGE COMMERCIAL BROK</w:t>
      </w:r>
      <w:r>
        <w:rPr>
          <w:rFonts w:eastAsia="Times New Roman"/>
        </w:rPr>
        <w:t>ERS LLC shall also be liable for actions of his employees, agents and consultants related to Confidential Information.</w:t>
      </w:r>
    </w:p>
    <w:p w:rsidR="006802FD" w:rsidRDefault="006802FD" w:rsidP="00D15BDD">
      <w:pPr>
        <w:spacing w:line="269" w:lineRule="exact"/>
        <w:jc w:val="both"/>
        <w:rPr>
          <w:sz w:val="20"/>
          <w:szCs w:val="20"/>
        </w:rPr>
      </w:pPr>
    </w:p>
    <w:p w:rsidR="006802FD" w:rsidRDefault="00EF40CB" w:rsidP="00D15BDD">
      <w:pPr>
        <w:spacing w:line="235" w:lineRule="auto"/>
        <w:ind w:right="440"/>
        <w:jc w:val="both"/>
        <w:rPr>
          <w:sz w:val="20"/>
          <w:szCs w:val="20"/>
        </w:rPr>
      </w:pPr>
      <w:r>
        <w:rPr>
          <w:rFonts w:eastAsia="Times New Roman"/>
        </w:rPr>
        <w:t>The Parties, through their authorized representatives, hereby agree to the terms and conditions of this Agreement.</w:t>
      </w:r>
    </w:p>
    <w:p w:rsidR="006802FD" w:rsidRDefault="006802FD">
      <w:pPr>
        <w:spacing w:line="252" w:lineRule="exact"/>
        <w:rPr>
          <w:sz w:val="20"/>
          <w:szCs w:val="20"/>
        </w:rPr>
      </w:pPr>
    </w:p>
    <w:p w:rsidR="006802FD" w:rsidRDefault="00EF40CB">
      <w:pPr>
        <w:rPr>
          <w:sz w:val="20"/>
          <w:szCs w:val="20"/>
        </w:rPr>
      </w:pPr>
      <w:r>
        <w:rPr>
          <w:rFonts w:eastAsia="Times New Roman"/>
          <w:sz w:val="24"/>
          <w:szCs w:val="24"/>
        </w:rPr>
        <w:t>STARMERGE COMMERCIAL</w:t>
      </w:r>
      <w:r>
        <w:rPr>
          <w:rFonts w:eastAsia="Times New Roman"/>
          <w:sz w:val="24"/>
          <w:szCs w:val="24"/>
        </w:rPr>
        <w:t xml:space="preserve"> BROKERS LLC</w:t>
      </w:r>
    </w:p>
    <w:p w:rsidR="006802FD" w:rsidRDefault="00EF40CB">
      <w:pPr>
        <w:rPr>
          <w:sz w:val="20"/>
          <w:szCs w:val="20"/>
        </w:rPr>
      </w:pPr>
      <w:r>
        <w:rPr>
          <w:rFonts w:eastAsia="Times New Roman"/>
          <w:sz w:val="24"/>
          <w:szCs w:val="24"/>
        </w:rPr>
        <w:t>Starmerge Building</w:t>
      </w:r>
    </w:p>
    <w:p w:rsidR="006802FD" w:rsidRDefault="00EF40CB">
      <w:pPr>
        <w:rPr>
          <w:sz w:val="20"/>
          <w:szCs w:val="20"/>
        </w:rPr>
      </w:pPr>
      <w:r>
        <w:rPr>
          <w:rFonts w:eastAsia="Times New Roman"/>
          <w:sz w:val="24"/>
          <w:szCs w:val="24"/>
        </w:rPr>
        <w:t>Sheikh Zayed</w:t>
      </w:r>
    </w:p>
    <w:p w:rsidR="006802FD" w:rsidRDefault="00EF40CB">
      <w:pPr>
        <w:rPr>
          <w:sz w:val="20"/>
          <w:szCs w:val="20"/>
        </w:rPr>
      </w:pPr>
      <w:r>
        <w:rPr>
          <w:rFonts w:eastAsia="Times New Roman"/>
          <w:sz w:val="24"/>
          <w:szCs w:val="24"/>
        </w:rPr>
        <w:t>Road P.O.Box 12398</w:t>
      </w:r>
    </w:p>
    <w:p w:rsidR="006802FD" w:rsidRDefault="006802FD">
      <w:pPr>
        <w:spacing w:line="1" w:lineRule="exact"/>
        <w:rPr>
          <w:sz w:val="20"/>
          <w:szCs w:val="20"/>
        </w:rPr>
      </w:pPr>
    </w:p>
    <w:p w:rsidR="006802FD" w:rsidRDefault="00EF40CB">
      <w:pPr>
        <w:rPr>
          <w:sz w:val="20"/>
          <w:szCs w:val="20"/>
        </w:rPr>
      </w:pPr>
      <w:r>
        <w:rPr>
          <w:rFonts w:eastAsia="Times New Roman"/>
          <w:sz w:val="24"/>
          <w:szCs w:val="24"/>
        </w:rPr>
        <w:t>Dubai, UAE</w:t>
      </w:r>
    </w:p>
    <w:p w:rsidR="006802FD" w:rsidRDefault="00EF40CB">
      <w:pPr>
        <w:rPr>
          <w:sz w:val="20"/>
          <w:szCs w:val="20"/>
        </w:rPr>
      </w:pPr>
      <w:r>
        <w:rPr>
          <w:rFonts w:eastAsia="Times New Roman"/>
          <w:sz w:val="24"/>
          <w:szCs w:val="24"/>
        </w:rPr>
        <w:t>Phone: +971524245201</w:t>
      </w:r>
    </w:p>
    <w:p w:rsidR="006802FD" w:rsidRDefault="00EF40CB">
      <w:pPr>
        <w:rPr>
          <w:sz w:val="20"/>
          <w:szCs w:val="20"/>
        </w:rPr>
      </w:pPr>
      <w:r>
        <w:rPr>
          <w:rFonts w:eastAsia="Times New Roman"/>
          <w:sz w:val="24"/>
          <w:szCs w:val="24"/>
        </w:rPr>
        <w:t>Fax: +97142711675</w:t>
      </w:r>
    </w:p>
    <w:p w:rsidR="00D15BDD" w:rsidRDefault="00EF40CB">
      <w:pPr>
        <w:rPr>
          <w:rFonts w:eastAsia="Times New Roman"/>
          <w:sz w:val="24"/>
          <w:szCs w:val="24"/>
        </w:rPr>
      </w:pPr>
      <w:r>
        <w:rPr>
          <w:rFonts w:eastAsia="Times New Roman"/>
          <w:sz w:val="24"/>
          <w:szCs w:val="24"/>
        </w:rPr>
        <w:t xml:space="preserve">Email: </w:t>
      </w:r>
      <w:hyperlink r:id="rId5" w:history="1">
        <w:r w:rsidR="00D15BDD" w:rsidRPr="00C92FD1">
          <w:rPr>
            <w:rStyle w:val="Hyperlink"/>
            <w:rFonts w:eastAsia="Times New Roman"/>
            <w:sz w:val="24"/>
            <w:szCs w:val="24"/>
          </w:rPr>
          <w:t>ahmed.malik@scb-llc.com</w:t>
        </w:r>
      </w:hyperlink>
    </w:p>
    <w:p w:rsidR="00EF40CB" w:rsidRDefault="00EF40CB" w:rsidP="00EF40CB">
      <w:pPr>
        <w:rPr>
          <w:sz w:val="20"/>
          <w:szCs w:val="20"/>
        </w:rPr>
      </w:pPr>
      <w:r>
        <w:rPr>
          <w:rFonts w:eastAsia="Times New Roman"/>
          <w:sz w:val="24"/>
          <w:szCs w:val="24"/>
        </w:rPr>
        <w:t xml:space="preserve">Website: </w:t>
      </w:r>
      <w:hyperlink r:id="rId6" w:history="1">
        <w:r w:rsidRPr="00D15BDD">
          <w:rPr>
            <w:rStyle w:val="Hyperlink"/>
            <w:rFonts w:eastAsia="Times New Roman"/>
            <w:sz w:val="24"/>
            <w:szCs w:val="24"/>
          </w:rPr>
          <w:t>http://www.scb-llc.com</w:t>
        </w:r>
      </w:hyperlink>
    </w:p>
    <w:p w:rsidR="006802FD" w:rsidRDefault="006802FD">
      <w:pPr>
        <w:sectPr w:rsidR="006802FD" w:rsidSect="00EF40CB">
          <w:pgSz w:w="12240" w:h="15840"/>
          <w:pgMar w:top="1440" w:right="1460" w:bottom="540" w:left="1440" w:header="0" w:footer="0" w:gutter="0"/>
          <w:cols w:space="720" w:equalWidth="0">
            <w:col w:w="9340"/>
          </w:cols>
        </w:sectPr>
      </w:pPr>
    </w:p>
    <w:p w:rsidR="006802FD" w:rsidRDefault="00EF40CB">
      <w:pPr>
        <w:spacing w:line="310" w:lineRule="exact"/>
        <w:rPr>
          <w:sz w:val="20"/>
          <w:szCs w:val="20"/>
        </w:rPr>
      </w:pPr>
      <w:bookmarkStart w:id="2" w:name="page3"/>
      <w:bookmarkEnd w:id="2"/>
      <w:r>
        <w:rPr>
          <w:noProof/>
          <w:sz w:val="20"/>
          <w:szCs w:val="20"/>
        </w:rPr>
        <w:lastRenderedPageBreak/>
        <w:drawing>
          <wp:anchor distT="0" distB="0" distL="114300" distR="114300" simplePos="0" relativeHeight="251658240" behindDoc="1" locked="0" layoutInCell="0" allowOverlap="1">
            <wp:simplePos x="0" y="0"/>
            <wp:positionH relativeFrom="page">
              <wp:posOffset>843915</wp:posOffset>
            </wp:positionH>
            <wp:positionV relativeFrom="page">
              <wp:posOffset>301625</wp:posOffset>
            </wp:positionV>
            <wp:extent cx="3006725" cy="11772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3006725" cy="1177290"/>
                    </a:xfrm>
                    <a:prstGeom prst="rect">
                      <a:avLst/>
                    </a:prstGeom>
                    <a:noFill/>
                  </pic:spPr>
                </pic:pic>
              </a:graphicData>
            </a:graphic>
          </wp:anchor>
        </w:drawing>
      </w:r>
    </w:p>
    <w:p w:rsidR="006802FD" w:rsidRDefault="00EF40CB">
      <w:pPr>
        <w:rPr>
          <w:sz w:val="20"/>
          <w:szCs w:val="20"/>
        </w:rPr>
      </w:pPr>
      <w:r>
        <w:rPr>
          <w:rFonts w:eastAsia="Times New Roman"/>
          <w:sz w:val="24"/>
          <w:szCs w:val="24"/>
        </w:rPr>
        <w:t>By: ______________________</w:t>
      </w:r>
    </w:p>
    <w:p w:rsidR="006802FD" w:rsidRDefault="006802FD">
      <w:pPr>
        <w:spacing w:line="365" w:lineRule="exact"/>
        <w:rPr>
          <w:sz w:val="20"/>
          <w:szCs w:val="20"/>
        </w:rPr>
      </w:pPr>
    </w:p>
    <w:p w:rsidR="006802FD" w:rsidRDefault="00EF40CB">
      <w:pPr>
        <w:rPr>
          <w:sz w:val="20"/>
          <w:szCs w:val="20"/>
        </w:rPr>
      </w:pPr>
      <w:r>
        <w:rPr>
          <w:rFonts w:eastAsia="Times New Roman"/>
          <w:b/>
          <w:bCs/>
          <w:sz w:val="24"/>
          <w:szCs w:val="24"/>
        </w:rPr>
        <w:t>President/Owner:</w:t>
      </w:r>
    </w:p>
    <w:p w:rsidR="006802FD" w:rsidRDefault="006802FD">
      <w:pPr>
        <w:spacing w:line="38" w:lineRule="exact"/>
        <w:rPr>
          <w:sz w:val="20"/>
          <w:szCs w:val="20"/>
        </w:rPr>
      </w:pPr>
    </w:p>
    <w:p w:rsidR="006802FD" w:rsidRDefault="00EF40CB">
      <w:pPr>
        <w:rPr>
          <w:sz w:val="20"/>
          <w:szCs w:val="20"/>
        </w:rPr>
      </w:pPr>
      <w:r>
        <w:rPr>
          <w:rFonts w:eastAsia="Times New Roman"/>
          <w:b/>
          <w:bCs/>
          <w:sz w:val="24"/>
          <w:szCs w:val="24"/>
        </w:rPr>
        <w:t>Alfred Gerald</w:t>
      </w:r>
    </w:p>
    <w:p w:rsidR="006802FD" w:rsidRDefault="006802FD">
      <w:pPr>
        <w:spacing w:line="200" w:lineRule="exact"/>
        <w:rPr>
          <w:sz w:val="20"/>
          <w:szCs w:val="20"/>
        </w:rPr>
      </w:pPr>
    </w:p>
    <w:p w:rsidR="006802FD" w:rsidRDefault="006802FD">
      <w:pPr>
        <w:spacing w:line="309" w:lineRule="exact"/>
        <w:rPr>
          <w:sz w:val="20"/>
          <w:szCs w:val="20"/>
        </w:rPr>
      </w:pPr>
    </w:p>
    <w:p w:rsidR="006802FD" w:rsidRDefault="00EF40CB">
      <w:pPr>
        <w:rPr>
          <w:sz w:val="20"/>
          <w:szCs w:val="20"/>
        </w:rPr>
      </w:pPr>
      <w:r>
        <w:rPr>
          <w:rFonts w:eastAsia="Times New Roman"/>
          <w:b/>
          <w:bCs/>
          <w:sz w:val="28"/>
          <w:szCs w:val="28"/>
        </w:rPr>
        <w:t xml:space="preserve">Project </w:t>
      </w:r>
      <w:r>
        <w:rPr>
          <w:rFonts w:eastAsia="Times New Roman"/>
          <w:b/>
          <w:bCs/>
          <w:sz w:val="28"/>
          <w:szCs w:val="28"/>
        </w:rPr>
        <w:t>Initiator:</w:t>
      </w:r>
    </w:p>
    <w:p w:rsidR="006802FD" w:rsidRDefault="00EF40CB">
      <w:pPr>
        <w:spacing w:line="234" w:lineRule="auto"/>
        <w:rPr>
          <w:sz w:val="20"/>
          <w:szCs w:val="20"/>
        </w:rPr>
      </w:pPr>
      <w:r>
        <w:rPr>
          <w:rFonts w:eastAsia="Times New Roman"/>
        </w:rPr>
        <w:t>SUNVESTA HOLDING AG</w:t>
      </w:r>
    </w:p>
    <w:p w:rsidR="006802FD" w:rsidRDefault="00EF40CB">
      <w:pPr>
        <w:spacing w:line="239" w:lineRule="auto"/>
        <w:rPr>
          <w:sz w:val="20"/>
          <w:szCs w:val="20"/>
        </w:rPr>
      </w:pPr>
      <w:r>
        <w:rPr>
          <w:rFonts w:eastAsia="Times New Roman"/>
        </w:rPr>
        <w:t>Opposite Confex Oil, Industrial Zone</w:t>
      </w:r>
    </w:p>
    <w:p w:rsidR="006802FD" w:rsidRDefault="006802FD">
      <w:pPr>
        <w:spacing w:line="2" w:lineRule="exact"/>
        <w:rPr>
          <w:sz w:val="20"/>
          <w:szCs w:val="20"/>
        </w:rPr>
      </w:pPr>
    </w:p>
    <w:p w:rsidR="006802FD" w:rsidRDefault="00EF40CB">
      <w:pPr>
        <w:rPr>
          <w:sz w:val="20"/>
          <w:szCs w:val="20"/>
        </w:rPr>
      </w:pPr>
      <w:r>
        <w:rPr>
          <w:rFonts w:eastAsia="Times New Roman"/>
        </w:rPr>
        <w:t>Bonaberi, P.O.Box 106:</w:t>
      </w:r>
    </w:p>
    <w:p w:rsidR="006802FD" w:rsidRDefault="00EF40CB">
      <w:pPr>
        <w:spacing w:line="239" w:lineRule="auto"/>
        <w:rPr>
          <w:sz w:val="20"/>
          <w:szCs w:val="20"/>
        </w:rPr>
      </w:pPr>
      <w:r>
        <w:rPr>
          <w:rFonts w:eastAsia="Times New Roman"/>
        </w:rPr>
        <w:t>Cameroon.</w:t>
      </w:r>
    </w:p>
    <w:p w:rsidR="006802FD" w:rsidRDefault="006802FD">
      <w:pPr>
        <w:spacing w:line="200" w:lineRule="exact"/>
        <w:rPr>
          <w:sz w:val="20"/>
          <w:szCs w:val="20"/>
        </w:rPr>
      </w:pPr>
    </w:p>
    <w:p w:rsidR="006802FD" w:rsidRDefault="006802FD">
      <w:pPr>
        <w:spacing w:line="200" w:lineRule="exact"/>
        <w:rPr>
          <w:sz w:val="20"/>
          <w:szCs w:val="20"/>
        </w:rPr>
      </w:pPr>
    </w:p>
    <w:p w:rsidR="006802FD" w:rsidRDefault="006802FD">
      <w:pPr>
        <w:spacing w:line="200" w:lineRule="exact"/>
        <w:rPr>
          <w:sz w:val="20"/>
          <w:szCs w:val="20"/>
        </w:rPr>
      </w:pPr>
    </w:p>
    <w:p w:rsidR="006802FD" w:rsidRDefault="006802FD">
      <w:pPr>
        <w:spacing w:line="200" w:lineRule="exact"/>
        <w:rPr>
          <w:sz w:val="20"/>
          <w:szCs w:val="20"/>
        </w:rPr>
      </w:pPr>
    </w:p>
    <w:p w:rsidR="006802FD" w:rsidRDefault="006802FD">
      <w:pPr>
        <w:spacing w:line="200" w:lineRule="exact"/>
        <w:rPr>
          <w:sz w:val="20"/>
          <w:szCs w:val="20"/>
        </w:rPr>
      </w:pPr>
      <w:bookmarkStart w:id="3" w:name="_GoBack"/>
      <w:bookmarkEnd w:id="3"/>
    </w:p>
    <w:p w:rsidR="006802FD" w:rsidRDefault="006802FD">
      <w:pPr>
        <w:spacing w:line="286" w:lineRule="exact"/>
        <w:rPr>
          <w:sz w:val="20"/>
          <w:szCs w:val="20"/>
        </w:rPr>
      </w:pPr>
    </w:p>
    <w:p w:rsidR="006802FD" w:rsidRDefault="00EF40CB">
      <w:pPr>
        <w:rPr>
          <w:sz w:val="20"/>
          <w:szCs w:val="20"/>
        </w:rPr>
      </w:pPr>
      <w:r>
        <w:rPr>
          <w:rFonts w:eastAsia="Times New Roman"/>
          <w:b/>
          <w:bCs/>
          <w:sz w:val="24"/>
          <w:szCs w:val="24"/>
        </w:rPr>
        <w:t>_______________________________</w:t>
      </w:r>
    </w:p>
    <w:p w:rsidR="006802FD" w:rsidRDefault="006802FD">
      <w:pPr>
        <w:spacing w:line="200" w:lineRule="exact"/>
        <w:rPr>
          <w:sz w:val="20"/>
          <w:szCs w:val="20"/>
        </w:rPr>
      </w:pPr>
    </w:p>
    <w:p w:rsidR="006802FD" w:rsidRDefault="006802FD">
      <w:pPr>
        <w:spacing w:line="310" w:lineRule="exact"/>
        <w:rPr>
          <w:sz w:val="20"/>
          <w:szCs w:val="20"/>
        </w:rPr>
      </w:pPr>
    </w:p>
    <w:p w:rsidR="006802FD" w:rsidRDefault="00EF40CB">
      <w:pPr>
        <w:rPr>
          <w:sz w:val="20"/>
          <w:szCs w:val="20"/>
        </w:rPr>
      </w:pPr>
      <w:r>
        <w:rPr>
          <w:rFonts w:eastAsia="Times New Roman"/>
          <w:b/>
          <w:bCs/>
          <w:sz w:val="24"/>
          <w:szCs w:val="24"/>
        </w:rPr>
        <w:t>Project Initiator:</w:t>
      </w:r>
    </w:p>
    <w:p w:rsidR="006802FD" w:rsidRDefault="006802FD">
      <w:pPr>
        <w:spacing w:line="43" w:lineRule="exact"/>
        <w:rPr>
          <w:sz w:val="20"/>
          <w:szCs w:val="20"/>
        </w:rPr>
      </w:pPr>
    </w:p>
    <w:p w:rsidR="006802FD" w:rsidRDefault="00EF40CB">
      <w:pPr>
        <w:rPr>
          <w:sz w:val="20"/>
          <w:szCs w:val="20"/>
        </w:rPr>
      </w:pPr>
      <w:r>
        <w:rPr>
          <w:rFonts w:eastAsia="Times New Roman"/>
          <w:b/>
          <w:bCs/>
          <w:sz w:val="24"/>
          <w:szCs w:val="24"/>
        </w:rPr>
        <w:t>Yota Louis Fomba</w:t>
      </w:r>
    </w:p>
    <w:sectPr w:rsidR="006802FD">
      <w:pgSz w:w="12240" w:h="15840"/>
      <w:pgMar w:top="1440" w:right="7080" w:bottom="1440" w:left="1440" w:header="0" w:footer="0" w:gutter="0"/>
      <w:cols w:space="720" w:equalWidth="0">
        <w:col w:w="3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95CFF"/>
    <w:multiLevelType w:val="hybridMultilevel"/>
    <w:tmpl w:val="1EFC3546"/>
    <w:lvl w:ilvl="0" w:tplc="13726CB8">
      <w:start w:val="2"/>
      <w:numFmt w:val="decimal"/>
      <w:lvlText w:val="2.1.%1."/>
      <w:lvlJc w:val="left"/>
    </w:lvl>
    <w:lvl w:ilvl="1" w:tplc="4B241CD2">
      <w:numFmt w:val="decimal"/>
      <w:lvlText w:val=""/>
      <w:lvlJc w:val="left"/>
    </w:lvl>
    <w:lvl w:ilvl="2" w:tplc="E77C4266">
      <w:numFmt w:val="decimal"/>
      <w:lvlText w:val=""/>
      <w:lvlJc w:val="left"/>
    </w:lvl>
    <w:lvl w:ilvl="3" w:tplc="A4783E34">
      <w:numFmt w:val="decimal"/>
      <w:lvlText w:val=""/>
      <w:lvlJc w:val="left"/>
    </w:lvl>
    <w:lvl w:ilvl="4" w:tplc="AC1C5198">
      <w:numFmt w:val="decimal"/>
      <w:lvlText w:val=""/>
      <w:lvlJc w:val="left"/>
    </w:lvl>
    <w:lvl w:ilvl="5" w:tplc="C65C6592">
      <w:numFmt w:val="decimal"/>
      <w:lvlText w:val=""/>
      <w:lvlJc w:val="left"/>
    </w:lvl>
    <w:lvl w:ilvl="6" w:tplc="11E6225A">
      <w:numFmt w:val="decimal"/>
      <w:lvlText w:val=""/>
      <w:lvlJc w:val="left"/>
    </w:lvl>
    <w:lvl w:ilvl="7" w:tplc="3CFE347C">
      <w:numFmt w:val="decimal"/>
      <w:lvlText w:val=""/>
      <w:lvlJc w:val="left"/>
    </w:lvl>
    <w:lvl w:ilvl="8" w:tplc="E3561FAA">
      <w:numFmt w:val="decimal"/>
      <w:lvlText w:val=""/>
      <w:lvlJc w:val="left"/>
    </w:lvl>
  </w:abstractNum>
  <w:abstractNum w:abstractNumId="1" w15:restartNumberingAfterBreak="0">
    <w:nsid w:val="66334873"/>
    <w:multiLevelType w:val="hybridMultilevel"/>
    <w:tmpl w:val="DC343296"/>
    <w:lvl w:ilvl="0" w:tplc="194E37BE">
      <w:start w:val="1"/>
      <w:numFmt w:val="decimal"/>
      <w:lvlText w:val="%1"/>
      <w:lvlJc w:val="left"/>
    </w:lvl>
    <w:lvl w:ilvl="1" w:tplc="F25EC860">
      <w:start w:val="1"/>
      <w:numFmt w:val="decimal"/>
      <w:lvlText w:val="1.1.%2."/>
      <w:lvlJc w:val="left"/>
    </w:lvl>
    <w:lvl w:ilvl="2" w:tplc="914A6690">
      <w:numFmt w:val="decimal"/>
      <w:lvlText w:val=""/>
      <w:lvlJc w:val="left"/>
    </w:lvl>
    <w:lvl w:ilvl="3" w:tplc="FA0C28B8">
      <w:numFmt w:val="decimal"/>
      <w:lvlText w:val=""/>
      <w:lvlJc w:val="left"/>
    </w:lvl>
    <w:lvl w:ilvl="4" w:tplc="7BB8AB0A">
      <w:numFmt w:val="decimal"/>
      <w:lvlText w:val=""/>
      <w:lvlJc w:val="left"/>
    </w:lvl>
    <w:lvl w:ilvl="5" w:tplc="527A6718">
      <w:numFmt w:val="decimal"/>
      <w:lvlText w:val=""/>
      <w:lvlJc w:val="left"/>
    </w:lvl>
    <w:lvl w:ilvl="6" w:tplc="7584E97A">
      <w:numFmt w:val="decimal"/>
      <w:lvlText w:val=""/>
      <w:lvlJc w:val="left"/>
    </w:lvl>
    <w:lvl w:ilvl="7" w:tplc="8DF2F2F0">
      <w:numFmt w:val="decimal"/>
      <w:lvlText w:val=""/>
      <w:lvlJc w:val="left"/>
    </w:lvl>
    <w:lvl w:ilvl="8" w:tplc="88C09AD6">
      <w:numFmt w:val="decimal"/>
      <w:lvlText w:val=""/>
      <w:lvlJc w:val="left"/>
    </w:lvl>
  </w:abstractNum>
  <w:abstractNum w:abstractNumId="2" w15:restartNumberingAfterBreak="0">
    <w:nsid w:val="74B0DC51"/>
    <w:multiLevelType w:val="hybridMultilevel"/>
    <w:tmpl w:val="8FD66AAA"/>
    <w:lvl w:ilvl="0" w:tplc="62501678">
      <w:start w:val="6"/>
      <w:numFmt w:val="decimal"/>
      <w:lvlText w:val="1.1.%1."/>
      <w:lvlJc w:val="left"/>
    </w:lvl>
    <w:lvl w:ilvl="1" w:tplc="40406B6E">
      <w:start w:val="1"/>
      <w:numFmt w:val="decimal"/>
      <w:lvlText w:val="%2"/>
      <w:lvlJc w:val="left"/>
    </w:lvl>
    <w:lvl w:ilvl="2" w:tplc="C9A0B42C">
      <w:numFmt w:val="decimal"/>
      <w:lvlText w:val=""/>
      <w:lvlJc w:val="left"/>
    </w:lvl>
    <w:lvl w:ilvl="3" w:tplc="79203564">
      <w:numFmt w:val="decimal"/>
      <w:lvlText w:val=""/>
      <w:lvlJc w:val="left"/>
    </w:lvl>
    <w:lvl w:ilvl="4" w:tplc="B4D85350">
      <w:numFmt w:val="decimal"/>
      <w:lvlText w:val=""/>
      <w:lvlJc w:val="left"/>
    </w:lvl>
    <w:lvl w:ilvl="5" w:tplc="8EEC75D0">
      <w:numFmt w:val="decimal"/>
      <w:lvlText w:val=""/>
      <w:lvlJc w:val="left"/>
    </w:lvl>
    <w:lvl w:ilvl="6" w:tplc="265AA9E4">
      <w:numFmt w:val="decimal"/>
      <w:lvlText w:val=""/>
      <w:lvlJc w:val="left"/>
    </w:lvl>
    <w:lvl w:ilvl="7" w:tplc="15B649EC">
      <w:numFmt w:val="decimal"/>
      <w:lvlText w:val=""/>
      <w:lvlJc w:val="left"/>
    </w:lvl>
    <w:lvl w:ilvl="8" w:tplc="5B6CD1E6">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2FD"/>
    <w:rsid w:val="006802FD"/>
    <w:rsid w:val="00D15BDD"/>
    <w:rsid w:val="00EF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5582F-C6D2-4F60-841F-A193B7BE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b-llc.com" TargetMode="External"/><Relationship Id="rId5" Type="http://schemas.openxmlformats.org/officeDocument/2006/relationships/hyperlink" Target="mailto:ahmed.malik@scb-llc.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MyKroft MyKroft</cp:lastModifiedBy>
  <cp:revision>2</cp:revision>
  <dcterms:created xsi:type="dcterms:W3CDTF">2017-06-01T21:39:00Z</dcterms:created>
  <dcterms:modified xsi:type="dcterms:W3CDTF">2017-06-01T20:43:00Z</dcterms:modified>
</cp:coreProperties>
</file>