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BC0" w:rsidRPr="000F7DE5" w:rsidRDefault="000F7DE5">
      <w:pPr>
        <w:pStyle w:val="Ttulo1"/>
        <w:keepNext w:val="0"/>
        <w:keepLines w:val="0"/>
        <w:spacing w:before="240" w:after="240"/>
        <w:jc w:val="center"/>
        <w:rPr>
          <w:rFonts w:asciiTheme="majorHAnsi" w:hAnsiTheme="majorHAnsi" w:cstheme="majorHAnsi"/>
          <w:b/>
          <w:sz w:val="46"/>
          <w:szCs w:val="46"/>
        </w:rPr>
      </w:pPr>
      <w:bookmarkStart w:id="0" w:name="_2nztycuqtwq2" w:colFirst="0" w:colLast="0"/>
      <w:bookmarkEnd w:id="0"/>
      <w:r w:rsidRPr="000F7DE5">
        <w:rPr>
          <w:rFonts w:asciiTheme="majorHAnsi" w:hAnsiTheme="majorHAnsi" w:cstheme="majorHAnsi"/>
          <w:b/>
          <w:sz w:val="46"/>
          <w:szCs w:val="46"/>
        </w:rPr>
        <w:t xml:space="preserve">Apresentação Técnica: Tinta DTF com Ênfase no </w:t>
      </w:r>
      <w:bookmarkStart w:id="1" w:name="_GoBack"/>
      <w:r w:rsidRPr="000F7DE5">
        <w:rPr>
          <w:rFonts w:asciiTheme="majorHAnsi" w:hAnsiTheme="majorHAnsi" w:cstheme="majorHAnsi"/>
          <w:b/>
          <w:sz w:val="46"/>
          <w:szCs w:val="46"/>
        </w:rPr>
        <w:t xml:space="preserve">Dióxido de Titânio </w:t>
      </w:r>
      <w:bookmarkEnd w:id="1"/>
      <w:r w:rsidRPr="000F7DE5">
        <w:rPr>
          <w:rFonts w:asciiTheme="majorHAnsi" w:hAnsiTheme="majorHAnsi" w:cstheme="majorHAnsi"/>
          <w:b/>
          <w:sz w:val="46"/>
          <w:szCs w:val="46"/>
        </w:rPr>
        <w:t>(</w:t>
      </w:r>
      <w:proofErr w:type="spellStart"/>
      <w:proofErr w:type="gramStart"/>
      <w:r w:rsidRPr="000F7DE5">
        <w:rPr>
          <w:rFonts w:asciiTheme="majorHAnsi" w:hAnsiTheme="majorHAnsi" w:cstheme="majorHAnsi"/>
          <w:b/>
          <w:sz w:val="46"/>
          <w:szCs w:val="46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  <w:b/>
          <w:sz w:val="46"/>
          <w:szCs w:val="46"/>
        </w:rPr>
        <w:t>₂)</w:t>
      </w:r>
    </w:p>
    <w:p w:rsidR="00046BC0" w:rsidRPr="000F7DE5" w:rsidRDefault="000F7DE5">
      <w:pPr>
        <w:pStyle w:val="Ttulo1"/>
        <w:keepNext w:val="0"/>
        <w:keepLines w:val="0"/>
        <w:spacing w:before="480"/>
        <w:rPr>
          <w:rFonts w:asciiTheme="majorHAnsi" w:hAnsiTheme="majorHAnsi" w:cstheme="majorHAnsi"/>
          <w:b/>
          <w:sz w:val="46"/>
          <w:szCs w:val="46"/>
        </w:rPr>
      </w:pPr>
      <w:bookmarkStart w:id="2" w:name="_rnuponhrdjvp" w:colFirst="0" w:colLast="0"/>
      <w:bookmarkEnd w:id="2"/>
      <w:r w:rsidRPr="000F7DE5">
        <w:rPr>
          <w:rFonts w:asciiTheme="majorHAnsi" w:hAnsiTheme="majorHAnsi" w:cstheme="majorHAnsi"/>
          <w:b/>
          <w:sz w:val="46"/>
          <w:szCs w:val="46"/>
        </w:rPr>
        <w:t>1. Introdução</w:t>
      </w:r>
    </w:p>
    <w:p w:rsidR="00046BC0" w:rsidRPr="000F7DE5" w:rsidRDefault="000F7DE5">
      <w:pPr>
        <w:spacing w:before="240" w:after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</w:rPr>
        <w:t xml:space="preserve">A tecnologia de impressão </w:t>
      </w:r>
      <w:proofErr w:type="spellStart"/>
      <w:r w:rsidRPr="000F7DE5">
        <w:rPr>
          <w:rFonts w:asciiTheme="majorHAnsi" w:hAnsiTheme="majorHAnsi" w:cstheme="majorHAnsi"/>
        </w:rPr>
        <w:t>Direct-to-Film</w:t>
      </w:r>
      <w:proofErr w:type="spellEnd"/>
      <w:r w:rsidRPr="000F7DE5">
        <w:rPr>
          <w:rFonts w:asciiTheme="majorHAnsi" w:hAnsiTheme="majorHAnsi" w:cstheme="majorHAnsi"/>
        </w:rPr>
        <w:t xml:space="preserve"> (DTF) tem revolucionado o setor têxtil, permitindo transferências de alta qualidade em diversos tipos de tecidos. Um componente essencial na formulação das tintas DTF, especialmente na tinta branca, é o </w:t>
      </w:r>
      <w:r w:rsidRPr="000F7DE5">
        <w:rPr>
          <w:rFonts w:asciiTheme="majorHAnsi" w:hAnsiTheme="majorHAnsi" w:cstheme="majorHAnsi"/>
          <w:b/>
        </w:rPr>
        <w:t>dióxido de t</w:t>
      </w:r>
      <w:r w:rsidRPr="000F7DE5">
        <w:rPr>
          <w:rFonts w:asciiTheme="majorHAnsi" w:hAnsiTheme="majorHAnsi" w:cstheme="majorHAnsi"/>
          <w:b/>
        </w:rPr>
        <w:t>itânio (</w:t>
      </w:r>
      <w:proofErr w:type="spellStart"/>
      <w:proofErr w:type="gramStart"/>
      <w:r w:rsidRPr="000F7DE5">
        <w:rPr>
          <w:rFonts w:asciiTheme="majorHAnsi" w:hAnsiTheme="majorHAnsi" w:cstheme="majorHAnsi"/>
          <w:b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  <w:b/>
        </w:rPr>
        <w:t>₂)</w:t>
      </w:r>
      <w:r w:rsidRPr="000F7DE5">
        <w:rPr>
          <w:rFonts w:asciiTheme="majorHAnsi" w:hAnsiTheme="majorHAnsi" w:cstheme="majorHAnsi"/>
        </w:rPr>
        <w:t>. Este pigmento confere opacidade e brilho às impressões, garantindo resultados vibrantes e duradouros.</w:t>
      </w:r>
    </w:p>
    <w:p w:rsidR="00046BC0" w:rsidRPr="000F7DE5" w:rsidRDefault="000F7DE5">
      <w:p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046BC0" w:rsidRPr="000F7DE5" w:rsidRDefault="000F7DE5">
      <w:pPr>
        <w:pStyle w:val="Ttulo1"/>
        <w:keepNext w:val="0"/>
        <w:keepLines w:val="0"/>
        <w:spacing w:before="480"/>
        <w:rPr>
          <w:rFonts w:asciiTheme="majorHAnsi" w:hAnsiTheme="majorHAnsi" w:cstheme="majorHAnsi"/>
          <w:b/>
          <w:sz w:val="46"/>
          <w:szCs w:val="46"/>
        </w:rPr>
      </w:pPr>
      <w:bookmarkStart w:id="3" w:name="_zdwjsuuuo50e" w:colFirst="0" w:colLast="0"/>
      <w:bookmarkEnd w:id="3"/>
      <w:r w:rsidRPr="000F7DE5">
        <w:rPr>
          <w:rFonts w:asciiTheme="majorHAnsi" w:hAnsiTheme="majorHAnsi" w:cstheme="majorHAnsi"/>
          <w:b/>
          <w:sz w:val="46"/>
          <w:szCs w:val="46"/>
        </w:rPr>
        <w:t>2. Dióxido de Titânio (</w:t>
      </w:r>
      <w:proofErr w:type="spellStart"/>
      <w:proofErr w:type="gramStart"/>
      <w:r w:rsidRPr="000F7DE5">
        <w:rPr>
          <w:rFonts w:asciiTheme="majorHAnsi" w:hAnsiTheme="majorHAnsi" w:cstheme="majorHAnsi"/>
          <w:b/>
          <w:sz w:val="46"/>
          <w:szCs w:val="46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  <w:b/>
          <w:sz w:val="46"/>
          <w:szCs w:val="46"/>
        </w:rPr>
        <w:t>₂): Propriedades e Funções</w:t>
      </w:r>
    </w:p>
    <w:p w:rsidR="00046BC0" w:rsidRPr="000F7DE5" w:rsidRDefault="000F7DE5">
      <w:pPr>
        <w:pStyle w:val="Ttulo2"/>
        <w:keepNext w:val="0"/>
        <w:keepLines w:val="0"/>
        <w:spacing w:after="80"/>
        <w:rPr>
          <w:rFonts w:asciiTheme="majorHAnsi" w:hAnsiTheme="majorHAnsi" w:cstheme="majorHAnsi"/>
          <w:b/>
          <w:sz w:val="34"/>
          <w:szCs w:val="34"/>
        </w:rPr>
      </w:pPr>
      <w:bookmarkStart w:id="4" w:name="_3gu9xbgiyzpq" w:colFirst="0" w:colLast="0"/>
      <w:bookmarkEnd w:id="4"/>
      <w:r w:rsidRPr="000F7DE5">
        <w:rPr>
          <w:rFonts w:asciiTheme="majorHAnsi" w:hAnsiTheme="majorHAnsi" w:cstheme="majorHAnsi"/>
          <w:b/>
          <w:sz w:val="34"/>
          <w:szCs w:val="34"/>
        </w:rPr>
        <w:t xml:space="preserve">2.1. Características do </w:t>
      </w:r>
      <w:proofErr w:type="spellStart"/>
      <w:proofErr w:type="gramStart"/>
      <w:r w:rsidRPr="000F7DE5">
        <w:rPr>
          <w:rFonts w:asciiTheme="majorHAnsi" w:hAnsiTheme="majorHAnsi" w:cstheme="majorHAnsi"/>
          <w:b/>
          <w:sz w:val="34"/>
          <w:szCs w:val="34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  <w:b/>
          <w:sz w:val="34"/>
          <w:szCs w:val="34"/>
        </w:rPr>
        <w:t>₂</w:t>
      </w:r>
    </w:p>
    <w:p w:rsidR="00046BC0" w:rsidRPr="000F7DE5" w:rsidRDefault="000F7DE5">
      <w:pPr>
        <w:numPr>
          <w:ilvl w:val="0"/>
          <w:numId w:val="3"/>
        </w:numPr>
        <w:spacing w:before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Opacidade Elevada</w:t>
      </w:r>
      <w:r w:rsidRPr="000F7DE5">
        <w:rPr>
          <w:rFonts w:asciiTheme="majorHAnsi" w:hAnsiTheme="majorHAnsi" w:cstheme="majorHAnsi"/>
        </w:rPr>
        <w:t xml:space="preserve">: O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>₂ possui um alto índice de refr</w:t>
      </w:r>
      <w:r w:rsidRPr="000F7DE5">
        <w:rPr>
          <w:rFonts w:asciiTheme="majorHAnsi" w:hAnsiTheme="majorHAnsi" w:cstheme="majorHAnsi"/>
        </w:rPr>
        <w:t>ação, proporcionando excelente cobertura e mascarando a cor original do substrato.</w:t>
      </w:r>
    </w:p>
    <w:p w:rsidR="00046BC0" w:rsidRPr="000F7DE5" w:rsidRDefault="000F7DE5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Brancura Intensa</w:t>
      </w:r>
      <w:r w:rsidRPr="000F7DE5">
        <w:rPr>
          <w:rFonts w:asciiTheme="majorHAnsi" w:hAnsiTheme="majorHAnsi" w:cstheme="majorHAnsi"/>
        </w:rPr>
        <w:t xml:space="preserve">: Reconhecido por sua tonalidade branca pura, o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>₂ é fundamental para reproduzir cores precisas e brilhantes.</w:t>
      </w:r>
    </w:p>
    <w:p w:rsidR="00046BC0" w:rsidRPr="000F7DE5" w:rsidRDefault="000F7DE5">
      <w:pPr>
        <w:numPr>
          <w:ilvl w:val="0"/>
          <w:numId w:val="3"/>
        </w:numPr>
        <w:spacing w:after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Estabilidade Química</w:t>
      </w:r>
      <w:r w:rsidRPr="000F7DE5">
        <w:rPr>
          <w:rFonts w:asciiTheme="majorHAnsi" w:hAnsiTheme="majorHAnsi" w:cstheme="majorHAnsi"/>
        </w:rPr>
        <w:t>: Resistente a reações qu</w:t>
      </w:r>
      <w:r w:rsidRPr="000F7DE5">
        <w:rPr>
          <w:rFonts w:asciiTheme="majorHAnsi" w:hAnsiTheme="majorHAnsi" w:cstheme="majorHAnsi"/>
        </w:rPr>
        <w:t>ímicas, assegura durabilidade e consistência nas aplicações.</w:t>
      </w:r>
    </w:p>
    <w:p w:rsidR="00046BC0" w:rsidRPr="000F7DE5" w:rsidRDefault="000F7DE5">
      <w:pPr>
        <w:pStyle w:val="Ttulo2"/>
        <w:keepNext w:val="0"/>
        <w:keepLines w:val="0"/>
        <w:spacing w:after="80"/>
        <w:rPr>
          <w:rFonts w:asciiTheme="majorHAnsi" w:hAnsiTheme="majorHAnsi" w:cstheme="majorHAnsi"/>
          <w:b/>
          <w:sz w:val="34"/>
          <w:szCs w:val="34"/>
        </w:rPr>
      </w:pPr>
      <w:bookmarkStart w:id="5" w:name="_jh3kyz8gv52z" w:colFirst="0" w:colLast="0"/>
      <w:bookmarkEnd w:id="5"/>
      <w:r w:rsidRPr="000F7DE5">
        <w:rPr>
          <w:rFonts w:asciiTheme="majorHAnsi" w:hAnsiTheme="majorHAnsi" w:cstheme="majorHAnsi"/>
          <w:b/>
          <w:sz w:val="34"/>
          <w:szCs w:val="34"/>
        </w:rPr>
        <w:t>2.2. Função na Tinta DTF</w:t>
      </w:r>
    </w:p>
    <w:p w:rsidR="00046BC0" w:rsidRPr="000F7DE5" w:rsidRDefault="000F7DE5">
      <w:pPr>
        <w:numPr>
          <w:ilvl w:val="0"/>
          <w:numId w:val="1"/>
        </w:numPr>
        <w:spacing w:before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Base para Outras Cores</w:t>
      </w:r>
      <w:r w:rsidRPr="000F7DE5">
        <w:rPr>
          <w:rFonts w:asciiTheme="majorHAnsi" w:hAnsiTheme="majorHAnsi" w:cstheme="majorHAnsi"/>
        </w:rPr>
        <w:t>: Na impressão DTF, a tinta branca serve como fundo para realçar as demais cores, especialmente em tecidos escuros.</w:t>
      </w:r>
    </w:p>
    <w:p w:rsidR="00046BC0" w:rsidRPr="000F7DE5" w:rsidRDefault="000F7DE5">
      <w:pPr>
        <w:numPr>
          <w:ilvl w:val="0"/>
          <w:numId w:val="1"/>
        </w:numPr>
        <w:spacing w:after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Aderência do Pó Adesivo</w:t>
      </w:r>
      <w:r w:rsidRPr="000F7DE5">
        <w:rPr>
          <w:rFonts w:asciiTheme="majorHAnsi" w:hAnsiTheme="majorHAnsi" w:cstheme="majorHAnsi"/>
        </w:rPr>
        <w:t xml:space="preserve">: O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 xml:space="preserve">₂ </w:t>
      </w:r>
      <w:r w:rsidRPr="000F7DE5">
        <w:rPr>
          <w:rFonts w:asciiTheme="majorHAnsi" w:hAnsiTheme="majorHAnsi" w:cstheme="majorHAnsi"/>
        </w:rPr>
        <w:t>contribui para a formação de uma camada uniforme que facilita a fixação do pó termoplástico, essencial no processo de transferência.</w:t>
      </w:r>
    </w:p>
    <w:p w:rsidR="00046BC0" w:rsidRPr="000F7DE5" w:rsidRDefault="000F7DE5">
      <w:p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046BC0" w:rsidRPr="000F7DE5" w:rsidRDefault="000F7DE5">
      <w:pPr>
        <w:pStyle w:val="Ttulo1"/>
        <w:keepNext w:val="0"/>
        <w:keepLines w:val="0"/>
        <w:spacing w:before="480"/>
        <w:rPr>
          <w:rFonts w:asciiTheme="majorHAnsi" w:hAnsiTheme="majorHAnsi" w:cstheme="majorHAnsi"/>
          <w:b/>
          <w:sz w:val="46"/>
          <w:szCs w:val="46"/>
        </w:rPr>
      </w:pPr>
      <w:bookmarkStart w:id="6" w:name="_327aiyap0eif" w:colFirst="0" w:colLast="0"/>
      <w:bookmarkEnd w:id="6"/>
      <w:r w:rsidRPr="000F7DE5">
        <w:rPr>
          <w:rFonts w:asciiTheme="majorHAnsi" w:hAnsiTheme="majorHAnsi" w:cstheme="majorHAnsi"/>
          <w:b/>
          <w:sz w:val="46"/>
          <w:szCs w:val="46"/>
        </w:rPr>
        <w:t xml:space="preserve">3. Desafios Associados ao Uso do </w:t>
      </w:r>
      <w:proofErr w:type="spellStart"/>
      <w:proofErr w:type="gramStart"/>
      <w:r w:rsidRPr="000F7DE5">
        <w:rPr>
          <w:rFonts w:asciiTheme="majorHAnsi" w:hAnsiTheme="majorHAnsi" w:cstheme="majorHAnsi"/>
          <w:b/>
          <w:sz w:val="46"/>
          <w:szCs w:val="46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  <w:b/>
          <w:sz w:val="46"/>
          <w:szCs w:val="46"/>
        </w:rPr>
        <w:t>₂ em Tintas DTF</w:t>
      </w:r>
    </w:p>
    <w:p w:rsidR="00046BC0" w:rsidRPr="000F7DE5" w:rsidRDefault="000F7DE5">
      <w:pPr>
        <w:pStyle w:val="Ttulo2"/>
        <w:keepNext w:val="0"/>
        <w:keepLines w:val="0"/>
        <w:spacing w:after="80"/>
        <w:rPr>
          <w:rFonts w:asciiTheme="majorHAnsi" w:hAnsiTheme="majorHAnsi" w:cstheme="majorHAnsi"/>
          <w:b/>
          <w:sz w:val="34"/>
          <w:szCs w:val="34"/>
        </w:rPr>
      </w:pPr>
      <w:bookmarkStart w:id="7" w:name="_lf1q2v1srzz3" w:colFirst="0" w:colLast="0"/>
      <w:bookmarkEnd w:id="7"/>
      <w:r w:rsidRPr="000F7DE5">
        <w:rPr>
          <w:rFonts w:asciiTheme="majorHAnsi" w:hAnsiTheme="majorHAnsi" w:cstheme="majorHAnsi"/>
          <w:b/>
          <w:sz w:val="34"/>
          <w:szCs w:val="34"/>
        </w:rPr>
        <w:lastRenderedPageBreak/>
        <w:t>3.1. Sedimentação</w:t>
      </w:r>
    </w:p>
    <w:p w:rsidR="00046BC0" w:rsidRPr="000F7DE5" w:rsidRDefault="000F7DE5">
      <w:pPr>
        <w:spacing w:before="240" w:after="240"/>
        <w:rPr>
          <w:rFonts w:asciiTheme="majorHAnsi" w:hAnsiTheme="majorHAnsi" w:cstheme="majorHAnsi"/>
          <w:color w:val="1155CC"/>
          <w:u w:val="single"/>
        </w:rPr>
      </w:pPr>
      <w:r w:rsidRPr="000F7DE5">
        <w:rPr>
          <w:rFonts w:asciiTheme="majorHAnsi" w:hAnsiTheme="majorHAnsi" w:cstheme="majorHAnsi"/>
        </w:rPr>
        <w:t xml:space="preserve">Devido à sua alta densidade, o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>₂ tende a sedimen</w:t>
      </w:r>
      <w:r w:rsidRPr="000F7DE5">
        <w:rPr>
          <w:rFonts w:asciiTheme="majorHAnsi" w:hAnsiTheme="majorHAnsi" w:cstheme="majorHAnsi"/>
        </w:rPr>
        <w:t>tar, resultando em separação de fases na tinta. Isso pode comprometer a qualidade da impressão e causar entupimentos nas cabeças de impressão. Para mitigar esse efeito, é recomendável agitar regularmente a tinta antes do uso, garantindo uma distribuição ho</w:t>
      </w:r>
      <w:r w:rsidRPr="000F7DE5">
        <w:rPr>
          <w:rFonts w:asciiTheme="majorHAnsi" w:hAnsiTheme="majorHAnsi" w:cstheme="majorHAnsi"/>
        </w:rPr>
        <w:t>mogênea do pigmento.</w:t>
      </w:r>
    </w:p>
    <w:p w:rsidR="00046BC0" w:rsidRPr="000F7DE5" w:rsidRDefault="000F7DE5">
      <w:pPr>
        <w:pStyle w:val="Ttulo2"/>
        <w:keepNext w:val="0"/>
        <w:keepLines w:val="0"/>
        <w:spacing w:after="80"/>
        <w:rPr>
          <w:rFonts w:asciiTheme="majorHAnsi" w:hAnsiTheme="majorHAnsi" w:cstheme="majorHAnsi"/>
          <w:b/>
          <w:sz w:val="34"/>
          <w:szCs w:val="34"/>
        </w:rPr>
      </w:pPr>
      <w:bookmarkStart w:id="8" w:name="_ukhn7wrjmv4g" w:colFirst="0" w:colLast="0"/>
      <w:bookmarkEnd w:id="8"/>
      <w:r w:rsidRPr="000F7DE5">
        <w:rPr>
          <w:rFonts w:asciiTheme="majorHAnsi" w:hAnsiTheme="majorHAnsi" w:cstheme="majorHAnsi"/>
          <w:b/>
          <w:sz w:val="34"/>
          <w:szCs w:val="34"/>
        </w:rPr>
        <w:t>3.2. Entupimento das Cabeças de Impressão</w:t>
      </w:r>
    </w:p>
    <w:p w:rsidR="00046BC0" w:rsidRPr="000F7DE5" w:rsidRDefault="000F7DE5">
      <w:pPr>
        <w:spacing w:before="240" w:after="240"/>
        <w:rPr>
          <w:rFonts w:asciiTheme="majorHAnsi" w:hAnsiTheme="majorHAnsi" w:cstheme="majorHAnsi"/>
          <w:color w:val="1155CC"/>
          <w:u w:val="single"/>
        </w:rPr>
      </w:pPr>
      <w:r w:rsidRPr="000F7DE5">
        <w:rPr>
          <w:rFonts w:asciiTheme="majorHAnsi" w:hAnsiTheme="majorHAnsi" w:cstheme="majorHAnsi"/>
        </w:rPr>
        <w:t xml:space="preserve">A presença de partículas de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>₂ pode levar ao acúmulo de resíduos nas cabeças de impressão, especialmente se a manutenção preventiva não for realizada adequadamente. A utilização de sistemas d</w:t>
      </w:r>
      <w:r w:rsidRPr="000F7DE5">
        <w:rPr>
          <w:rFonts w:asciiTheme="majorHAnsi" w:hAnsiTheme="majorHAnsi" w:cstheme="majorHAnsi"/>
        </w:rPr>
        <w:t>e agitação contínua e circulação de tinta branca nas impressoras DTF é uma prática eficaz para evitar a sedimentação e, consequentemente, o entupimento.</w:t>
      </w:r>
    </w:p>
    <w:p w:rsidR="00046BC0" w:rsidRPr="000F7DE5" w:rsidRDefault="000F7DE5">
      <w:p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046BC0" w:rsidRPr="000F7DE5" w:rsidRDefault="000F7DE5">
      <w:pPr>
        <w:pStyle w:val="Ttulo1"/>
        <w:keepNext w:val="0"/>
        <w:keepLines w:val="0"/>
        <w:spacing w:before="480"/>
        <w:rPr>
          <w:rFonts w:asciiTheme="majorHAnsi" w:hAnsiTheme="majorHAnsi" w:cstheme="majorHAnsi"/>
          <w:b/>
          <w:sz w:val="46"/>
          <w:szCs w:val="46"/>
        </w:rPr>
      </w:pPr>
      <w:bookmarkStart w:id="9" w:name="_8dj44gs6uera" w:colFirst="0" w:colLast="0"/>
      <w:bookmarkEnd w:id="9"/>
      <w:r w:rsidRPr="000F7DE5">
        <w:rPr>
          <w:rFonts w:asciiTheme="majorHAnsi" w:hAnsiTheme="majorHAnsi" w:cstheme="majorHAnsi"/>
          <w:b/>
          <w:sz w:val="46"/>
          <w:szCs w:val="46"/>
        </w:rPr>
        <w:t>4. Boas Práticas para Manuseio e Aplicação</w:t>
      </w:r>
    </w:p>
    <w:p w:rsidR="00046BC0" w:rsidRPr="000F7DE5" w:rsidRDefault="000F7DE5">
      <w:pPr>
        <w:numPr>
          <w:ilvl w:val="0"/>
          <w:numId w:val="2"/>
        </w:numPr>
        <w:spacing w:before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Agitação Regular</w:t>
      </w:r>
      <w:r w:rsidRPr="000F7DE5">
        <w:rPr>
          <w:rFonts w:asciiTheme="majorHAnsi" w:hAnsiTheme="majorHAnsi" w:cstheme="majorHAnsi"/>
        </w:rPr>
        <w:t>: Antes de cada uso, misture bem a tinta p</w:t>
      </w:r>
      <w:r w:rsidRPr="000F7DE5">
        <w:rPr>
          <w:rFonts w:asciiTheme="majorHAnsi" w:hAnsiTheme="majorHAnsi" w:cstheme="majorHAnsi"/>
        </w:rPr>
        <w:t xml:space="preserve">ara assegurar a uniformidade do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>₂ na solução.</w:t>
      </w:r>
      <w:r w:rsidRPr="000F7DE5">
        <w:rPr>
          <w:rFonts w:asciiTheme="majorHAnsi" w:hAnsiTheme="majorHAnsi" w:cstheme="majorHAnsi"/>
        </w:rPr>
        <w:br/>
      </w:r>
    </w:p>
    <w:p w:rsidR="00046BC0" w:rsidRPr="000F7DE5" w:rsidRDefault="000F7DE5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Sistemas de Agitação Automática</w:t>
      </w:r>
      <w:r w:rsidRPr="000F7DE5">
        <w:rPr>
          <w:rFonts w:asciiTheme="majorHAnsi" w:hAnsiTheme="majorHAnsi" w:cstheme="majorHAnsi"/>
        </w:rPr>
        <w:t xml:space="preserve">: </w:t>
      </w:r>
      <w:proofErr w:type="gramStart"/>
      <w:r w:rsidRPr="000F7DE5">
        <w:rPr>
          <w:rFonts w:asciiTheme="majorHAnsi" w:hAnsiTheme="majorHAnsi" w:cstheme="majorHAnsi"/>
        </w:rPr>
        <w:t>Implementar</w:t>
      </w:r>
      <w:proofErr w:type="gramEnd"/>
      <w:r w:rsidRPr="000F7DE5">
        <w:rPr>
          <w:rFonts w:asciiTheme="majorHAnsi" w:hAnsiTheme="majorHAnsi" w:cstheme="majorHAnsi"/>
        </w:rPr>
        <w:t xml:space="preserve"> dispositivos que mantenham a tinta em movimento constante pode prevenir a sedimentação durante a produção.</w:t>
      </w:r>
    </w:p>
    <w:p w:rsidR="00046BC0" w:rsidRPr="000F7DE5" w:rsidRDefault="000F7DE5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Manutenção Preventiva</w:t>
      </w:r>
      <w:r w:rsidRPr="000F7DE5">
        <w:rPr>
          <w:rFonts w:asciiTheme="majorHAnsi" w:hAnsiTheme="majorHAnsi" w:cstheme="majorHAnsi"/>
        </w:rPr>
        <w:t>: Realize limpezas periódicas nas cabeças de impressão e nos sistemas de alimentação de tinta para evitar acúmulos e garantir a longevidade dos equipamentos.</w:t>
      </w:r>
    </w:p>
    <w:p w:rsidR="00046BC0" w:rsidRPr="000F7DE5" w:rsidRDefault="000F7DE5">
      <w:pPr>
        <w:numPr>
          <w:ilvl w:val="0"/>
          <w:numId w:val="2"/>
        </w:numPr>
        <w:spacing w:after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  <w:b/>
        </w:rPr>
        <w:t>Armazenamento Adequado</w:t>
      </w:r>
      <w:r w:rsidRPr="000F7DE5">
        <w:rPr>
          <w:rFonts w:asciiTheme="majorHAnsi" w:hAnsiTheme="majorHAnsi" w:cstheme="majorHAnsi"/>
        </w:rPr>
        <w:t>: Guarde a tinta em locais com temperatura controlada e evite exposição dire</w:t>
      </w:r>
      <w:r w:rsidRPr="000F7DE5">
        <w:rPr>
          <w:rFonts w:asciiTheme="majorHAnsi" w:hAnsiTheme="majorHAnsi" w:cstheme="majorHAnsi"/>
        </w:rPr>
        <w:t>ta à luz solar para preservar suas propriedades.</w:t>
      </w:r>
    </w:p>
    <w:p w:rsidR="00046BC0" w:rsidRPr="000F7DE5" w:rsidRDefault="000F7DE5">
      <w:pPr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</w:rPr>
        <w:pict>
          <v:rect id="_x0000_i1028" style="width:0;height:1.5pt" o:hralign="center" o:hrstd="t" o:hr="t" fillcolor="#a0a0a0" stroked="f"/>
        </w:pict>
      </w:r>
    </w:p>
    <w:p w:rsidR="00046BC0" w:rsidRPr="000F7DE5" w:rsidRDefault="000F7DE5">
      <w:pPr>
        <w:pStyle w:val="Ttulo1"/>
        <w:keepNext w:val="0"/>
        <w:keepLines w:val="0"/>
        <w:spacing w:before="480"/>
        <w:rPr>
          <w:rFonts w:asciiTheme="majorHAnsi" w:hAnsiTheme="majorHAnsi" w:cstheme="majorHAnsi"/>
          <w:b/>
          <w:sz w:val="46"/>
          <w:szCs w:val="46"/>
        </w:rPr>
      </w:pPr>
      <w:bookmarkStart w:id="10" w:name="_2eumdstxjkn" w:colFirst="0" w:colLast="0"/>
      <w:bookmarkEnd w:id="10"/>
      <w:r w:rsidRPr="000F7DE5">
        <w:rPr>
          <w:rFonts w:asciiTheme="majorHAnsi" w:hAnsiTheme="majorHAnsi" w:cstheme="majorHAnsi"/>
          <w:b/>
          <w:sz w:val="46"/>
          <w:szCs w:val="46"/>
        </w:rPr>
        <w:t>5. Conclusão</w:t>
      </w:r>
    </w:p>
    <w:p w:rsidR="00046BC0" w:rsidRPr="000F7DE5" w:rsidRDefault="000F7DE5">
      <w:pPr>
        <w:spacing w:before="240" w:after="240"/>
        <w:rPr>
          <w:rFonts w:asciiTheme="majorHAnsi" w:hAnsiTheme="majorHAnsi" w:cstheme="majorHAnsi"/>
        </w:rPr>
      </w:pPr>
      <w:r w:rsidRPr="000F7DE5">
        <w:rPr>
          <w:rFonts w:asciiTheme="majorHAnsi" w:hAnsiTheme="majorHAnsi" w:cstheme="majorHAnsi"/>
        </w:rPr>
        <w:t xml:space="preserve">O dióxido de titânio desempenha um papel crucial na qualidade e eficácia das tintas DTF, </w:t>
      </w:r>
      <w:proofErr w:type="gramStart"/>
      <w:r w:rsidRPr="000F7DE5">
        <w:rPr>
          <w:rFonts w:asciiTheme="majorHAnsi" w:hAnsiTheme="majorHAnsi" w:cstheme="majorHAnsi"/>
        </w:rPr>
        <w:t>proporcionando</w:t>
      </w:r>
      <w:proofErr w:type="gramEnd"/>
      <w:r w:rsidRPr="000F7DE5">
        <w:rPr>
          <w:rFonts w:asciiTheme="majorHAnsi" w:hAnsiTheme="majorHAnsi" w:cstheme="majorHAnsi"/>
        </w:rPr>
        <w:t xml:space="preserve"> opacidade e brilho essenciais para impressões de alta qualidade. No entanto, seu manusei</w:t>
      </w:r>
      <w:r w:rsidRPr="000F7DE5">
        <w:rPr>
          <w:rFonts w:asciiTheme="majorHAnsi" w:hAnsiTheme="majorHAnsi" w:cstheme="majorHAnsi"/>
        </w:rPr>
        <w:t xml:space="preserve">o requer atenção especial para prevenir desafios como sedimentação e entupimento. Ao adotar práticas adequadas de agitação, manutenção e armazenamento, é possível maximizar os benefícios do </w:t>
      </w:r>
      <w:proofErr w:type="spellStart"/>
      <w:proofErr w:type="gramStart"/>
      <w:r w:rsidRPr="000F7DE5">
        <w:rPr>
          <w:rFonts w:asciiTheme="majorHAnsi" w:hAnsiTheme="majorHAnsi" w:cstheme="majorHAnsi"/>
        </w:rPr>
        <w:t>TiO</w:t>
      </w:r>
      <w:proofErr w:type="spellEnd"/>
      <w:proofErr w:type="gramEnd"/>
      <w:r w:rsidRPr="000F7DE5">
        <w:rPr>
          <w:rFonts w:asciiTheme="majorHAnsi" w:hAnsiTheme="majorHAnsi" w:cstheme="majorHAnsi"/>
        </w:rPr>
        <w:t xml:space="preserve">₂, assegurando resultados superiores e prolongando a vida útil </w:t>
      </w:r>
      <w:r w:rsidRPr="000F7DE5">
        <w:rPr>
          <w:rFonts w:asciiTheme="majorHAnsi" w:hAnsiTheme="majorHAnsi" w:cstheme="majorHAnsi"/>
        </w:rPr>
        <w:t>dos equipamentos de impressão.</w:t>
      </w:r>
    </w:p>
    <w:p w:rsidR="00046BC0" w:rsidRPr="000F7DE5" w:rsidRDefault="00046BC0">
      <w:pPr>
        <w:rPr>
          <w:rFonts w:asciiTheme="majorHAnsi" w:hAnsiTheme="majorHAnsi" w:cstheme="majorHAnsi"/>
        </w:rPr>
      </w:pPr>
    </w:p>
    <w:sectPr w:rsidR="00046BC0" w:rsidRPr="000F7D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52A62"/>
    <w:multiLevelType w:val="multilevel"/>
    <w:tmpl w:val="419EA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4004E02"/>
    <w:multiLevelType w:val="multilevel"/>
    <w:tmpl w:val="AF88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A7705A6"/>
    <w:multiLevelType w:val="multilevel"/>
    <w:tmpl w:val="C5921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46BC0"/>
    <w:rsid w:val="00046BC0"/>
    <w:rsid w:val="000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Windows 10 Pro</cp:lastModifiedBy>
  <cp:revision>2</cp:revision>
  <dcterms:created xsi:type="dcterms:W3CDTF">2025-02-26T18:53:00Z</dcterms:created>
  <dcterms:modified xsi:type="dcterms:W3CDTF">2025-02-26T18:53:00Z</dcterms:modified>
</cp:coreProperties>
</file>