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rsidR="00000000" w:rsidDel="00000000" w:rsidP="00000000" w:rsidRDefault="00000000" w:rsidRPr="00000000" ns1:paraId="00000001">
      <w:pPr>
        <w:pStyle w:val="Heading1"/>
        <w:keepNext w:val="0"/>
        <w:keepLines w:val="0"/>
        <w:spacing w:after="240" w:before="700" w:line="335.99999999999994" w:lineRule="auto"/>
        <w:rPr>
          <w:b w:val="1"/>
          <w:bCs w:val="1"/>
          <w:sz w:val="38"/>
          <w:szCs w:val="38"/>
        </w:rPr>
      </w:pPr>
      <w:bookmarkStart w:colFirst="0" w:colLast="0" w:name="_vqrbelbzdd9j" w:id="0"/>
      <w:bookmarkEnd w:id="0"/>
      <w:r w:rsidDel="00000000" w:rsidR="00000000" w:rsidRPr="00000000">
        <w:rPr>
          <w:b w:val="1"/>
          <w:bCs w:val="1"/>
          <w:sz w:val="38"/>
          <w:szCs w:val="38"/>
          <w:rtl w:val="0"/>
        </w:rPr>
        <w:t xml:space="preserve">A Practical Approach for Data-Driven Modeling and Characterization of Bipedal Walking Dynamics</w:t>
      </w:r>
    </w:p>
    <w:p w:rsidR="00000000" w:rsidDel="00000000" w:rsidP="00000000" w:rsidRDefault="00000000" w:rsidRPr="00000000" ns1:paraId="00000002">
      <w:pPr>
        <w:spacing w:after="160" w:before="160" w:lineRule="auto"/>
        <w:rPr>
          <w:sz w:val="24"/>
          <w:szCs w:val="24"/>
        </w:rPr>
      </w:pPr>
      <w:r w:rsidDel="00000000" w:rsidR="00000000" w:rsidRPr="00000000">
        <w:rPr>
          <w:sz w:val="24"/>
          <w:szCs w:val="24"/>
          <w:rtl w:val="0"/>
        </w:rPr>
        <w:t xml:space="preserve">Michael Hess, Michael Rosenberg, and Gordon J. Berman</w:t>
      </w:r>
    </w:p>
    <w:p w:rsidR="00000000" w:rsidDel="00000000" w:rsidP="00000000" w:rsidRDefault="00000000" w:rsidRPr="00000000" ns1:paraId="00000003">
      <w:pPr>
        <w:pStyle w:val="Heading2"/>
        <w:keepNext w:val="0"/>
        <w:keepLines w:val="0"/>
        <w:spacing w:after="180" w:before="520" w:line="335.99999999999994" w:lineRule="auto"/>
        <w:rPr>
          <w:b w:val="1"/>
          <w:bCs w:val="1"/>
          <w:sz w:val="38"/>
          <w:szCs w:val="38"/>
        </w:rPr>
      </w:pPr>
      <w:bookmarkStart w:colFirst="0" w:colLast="0" w:name="_h0yjaltnmqtb" w:id="1"/>
      <w:bookmarkEnd w:id="1"/>
      <w:r w:rsidDel="00000000" w:rsidR="00000000" w:rsidRPr="00000000">
        <w:rPr>
          <w:b w:val="1"/>
          <w:bCs w:val="1"/>
          <w:sz w:val="38"/>
          <w:szCs w:val="38"/>
          <w:rtl w:val="0"/>
        </w:rPr>
        <w:t xml:space="preserve">Abstract</w:t>
      </w:r>
    </w:p>
    <w:p w:rsidR="00000000" w:rsidDel="00000000" w:rsidP="00000000" w:rsidRDefault="00000000" w:rsidRPr="00000000" ns1:paraId="00000004">
      <w:pPr>
        <w:spacing w:after="160" w:before="160" w:lineRule="auto"/>
        <w:rPr>
          <w:sz w:val="24"/>
          <w:szCs w:val="24"/>
        </w:rPr>
      </w:pPr>
      <w:r w:rsidDel="00000000" w:rsidR="00000000" w:rsidRPr="00000000">
        <w:rPr>
          <w:sz w:val="24"/>
          <w:szCs w:val="24"/>
          <w:rtl w:val="0"/>
        </w:rPr>
        <w:t xml:space="preserve">Clinical and laboratory gait assessment typically reduces a walking trial to a handful of numbers – speed, step symmetry, variability, and perhaps a single stability index. These numbers are useful, but they say little about how a person's nervous system is organizing the walking task: which joints are compensating for which, how a small stumble arising in one joint affects others, or whether two people who look equally impaired arrived there through different control strategies. Here we build simple, data-driven dynamical models directly from short walking recordings – ordinary joint-angle kinematics, no force plates or muscle recordings required – and ask what these models can reveal about an individual's walking control that conventional summaries cannot. We first validate the approach on systems with a known right answer: simple oscillators, a textbook mechanical walking model, and three walking robots. We show that these models' response profile carries information their own eigenvalue spectrum does not: in a mechanical walking model with a known answer, the stability value read off the fitted spectrum is uninformative while the same fit's transient response recovers it, and where a period-matched Poincaré section exists the classical return-map estimator remains the accurate reference. Building on that dissociation, we show that a broader profile of the same fitted model – how much it amplifies a disturbance, which movement rhythms it is most sensitive to, and which joints' motion drives which others – remains accurate and informative even when the single stability number is not. Applied to 150 recordings of healthy young adults and 149 recordings of stroke survivors and matched controls, this response profile changes systematically and reproducibly with walking speed, and in stroke survivors reveals a graded, joint-specific signature: control is routed away from the paretic knee, progressively more so with greater impairment. Pooling every recording, each person's response profile forms an individual fingerprint reproducible enough to identify them from a held-out half of their recordings 38.7% of the time against a 2.4% chance rate – and patients matched on overall severity can show markedly different underlying routing problems, which a severity score alone would miss. These signatures do not yet outperform walking speed as predictors of standard clinical balance and impairment scales in this sample, and we report that comparison directly rather than around it. The framework offers a practical, individually specific window into locomotor control, built entirely from the kind of short kinematic recording already collected in most gait labs and rehabilitation clinics.</w:t>
      </w:r>
    </w:p>
    <w:p w:rsidR="00000000" w:rsidDel="00000000" w:rsidP="00000000" w:rsidRDefault="00000000" w:rsidRPr="00000000" ns1:paraId="00000005">
      <w:pPr>
        <w:pStyle w:val="Heading2"/>
        <w:keepNext w:val="0"/>
        <w:keepLines w:val="0"/>
        <w:spacing w:after="180" w:before="520" w:line="335.99999999999994" w:lineRule="auto"/>
        <w:rPr>
          <w:b w:val="1"/>
          <w:bCs w:val="1"/>
          <w:sz w:val="38"/>
          <w:szCs w:val="38"/>
        </w:rPr>
      </w:pPr>
      <w:bookmarkStart w:colFirst="0" w:colLast="0" w:name="_50ka8ft9aa8k" w:id="2"/>
      <w:bookmarkEnd w:id="2"/>
      <w:r w:rsidDel="00000000" w:rsidR="00000000" w:rsidRPr="00000000">
        <w:rPr>
          <w:b w:val="1"/>
          <w:bCs w:val="1"/>
          <w:sz w:val="38"/>
          <w:szCs w:val="38"/>
          <w:rtl w:val="0"/>
        </w:rPr>
        <w:t xml:space="preserve">Introduction</w:t>
      </w:r>
    </w:p>
    <w:p w:rsidR="00000000" w:rsidDel="00000000" w:rsidP="00000000" w:rsidRDefault="00000000" w:rsidRPr="00000000" ns1:paraId="00000006">
      <w:pPr>
        <w:spacing w:after="160" w:before="160" w:lineRule="auto"/>
        <w:rPr>
          <w:b w:val="1"/>
          <w:bCs w:val="1"/>
          <w:color w:val="000000"/>
          <w:sz w:val="24"/>
          <w:szCs w:val="24"/>
        </w:rPr>
      </w:pPr>
      <w:r w:rsidDel="00000000" w:rsidR="00000000" w:rsidRPr="00000000">
        <w:rPr>
          <w:sz w:val="24"/>
          <w:szCs w:val="24"/>
          <w:rtl w:val="0"/>
        </w:rPr>
        <w:t xml:space="preserve">Walking looks effortless and, for most of us, it is – but that ease is the product of continuous, moment-to-moment coordination across every joint in both legs, adjusted for speed, terrain, fatigue, and the small perturbations that arise on every single step. When that coordination breaks down, as it commonly does after a stroke, the result is not simply "slower" or "less symmetric" walking. It is a different control problem: the nervous system must now solve the walking task with a limb that responds differently, using whatever compensations are available. Two people can walk at the same slow speed with the same asymmetry score and still be solving entirely different control problems underneath. The tools most commonly used in gait laboratories were not built to see that difference, and this paper is about a practical way to look for it using nothing more than the joint kinematics that a standard motion-capture trial already provides.</w:t>
      </w:r>
      <w:r w:rsidDel="00000000" w:rsidR="00000000" w:rsidRPr="00000000">
        <w:rPr>
          <w:rtl w:val="0"/>
        </w:rPr>
      </w:r>
    </w:p>
    <w:p w:rsidR="00000000" w:rsidDel="00000000" w:rsidP="00000000" w:rsidRDefault="00000000" w:rsidRPr="00000000" ns1:paraId="00000007">
      <w:pPr>
        <w:spacing w:after="160" w:before="160" w:lineRule="auto"/>
        <w:rPr>
          <w:sz w:val="24"/>
          <w:szCs w:val="24"/>
        </w:rPr>
      </w:pPr>
      <w:r w:rsidDel="00000000" w:rsidR="00000000" w:rsidRPr="00000000">
        <w:rPr>
          <w:sz w:val="24"/>
          <w:szCs w:val="24"/>
          <w:rtl w:val="0"/>
        </w:rPr>
        <w:t xml:space="preserve">Decades of biomechanics research have produced several complementary ways of describing how walking works, each valuable and each incomplete in a different way. Simple mechanical templates – the inverted pendulum and, for running and fast walking, the spring-loaded inverted pendulum (SLIP) – capture the energetics of the stance leg remarkably well with only a handful of parameters, and have shaped how we think about efficient gait for decades </w:t>
      </w:r>
      <w:r w:rsidDel="00000000" w:rsidR="00000000" w:rsidRPr="00000000">
        <w:rPr>
          <w:i w:val="1"/>
          <w:iCs w:val="1"/>
          <w:sz w:val="24"/>
          <w:szCs w:val="24"/>
          <w:rtl w:val="0"/>
        </w:rPr>
        <w:t xml:space="preserve">[CITE – Full &amp; Koditschek; Geyer, Seyfarth &amp; Blickhan; McMahon]</w:t>
      </w:r>
      <w:r w:rsidDel="00000000" w:rsidR="00000000" w:rsidRPr="00000000">
        <w:rPr>
          <w:sz w:val="24"/>
          <w:szCs w:val="24"/>
          <w:rtl w:val="0"/>
        </w:rPr>
        <w:t xml:space="preserve">. They describe an idealized stride, though, not how a real, multi-joint body reorganizes itself when something goes wrong, and they say nothing about an individual patient.</w:t>
      </w:r>
    </w:p>
    <w:p w:rsidR="00000000" w:rsidDel="00000000" w:rsidP="00000000" w:rsidRDefault="00000000" w:rsidRPr="00000000" ns1:paraId="00000008">
      <w:pPr>
        <w:spacing w:after="160" w:before="160" w:lineRule="auto"/>
        <w:rPr>
          <w:sz w:val="24"/>
          <w:szCs w:val="24"/>
        </w:rPr>
      </w:pPr>
      <w:r w:rsidDel="00000000" w:rsidR="00000000" w:rsidRPr="00000000">
        <w:rPr>
          <w:sz w:val="24"/>
          <w:szCs w:val="24"/>
          <w:rtl w:val="0"/>
        </w:rPr>
        <w:t xml:space="preserve">A second tradition, muscle synergies and motor modules, asks whether the nervous system simplifies its own control problem by activating groups of muscles together rather than independently </w:t>
      </w:r>
      <w:r w:rsidDel="00000000" w:rsidR="00000000" w:rsidRPr="00000000">
        <w:rPr>
          <w:i w:val="1"/>
          <w:iCs w:val="1"/>
          <w:sz w:val="24"/>
          <w:szCs w:val="24"/>
          <w:rtl w:val="0"/>
        </w:rPr>
        <w:t xml:space="preserve">[CITE – Ivanenko et al.; Ting &amp; McKay; Neptune et al.]</w:t>
      </w:r>
      <w:r w:rsidDel="00000000" w:rsidR="00000000" w:rsidRPr="00000000">
        <w:rPr>
          <w:sz w:val="24"/>
          <w:szCs w:val="24"/>
          <w:rtl w:val="0"/>
        </w:rPr>
        <w:t xml:space="preserve">. This work has been highly influential in explaining why stroke survivors often show fewer, merged control modules, and it directly motivates the idea that impairment reshapes coordination structure rather than simply degrading it uniformly </w:t>
      </w:r>
      <w:r w:rsidDel="00000000" w:rsidR="00000000" w:rsidRPr="00000000">
        <w:rPr>
          <w:i w:val="1"/>
          <w:iCs w:val="1"/>
          <w:sz w:val="24"/>
          <w:szCs w:val="24"/>
          <w:rtl w:val="0"/>
        </w:rPr>
        <w:t xml:space="preserve">[CITE – Clark et al. 2010]</w:t>
      </w:r>
      <w:r w:rsidDel="00000000" w:rsidR="00000000" w:rsidRPr="00000000">
        <w:rPr>
          <w:sz w:val="24"/>
          <w:szCs w:val="24"/>
          <w:rtl w:val="0"/>
        </w:rPr>
        <w:t xml:space="preserve">. But motor-module analyses are built from muscle activity, not from the joint kinematics that most clinical gait labs actually collect, and – like the mechanical templates – they describe a repeating pattern rather than how that pattern responds when perturbed.</w:t>
      </w:r>
    </w:p>
    <w:p w:rsidR="00000000" w:rsidDel="00000000" w:rsidP="00000000" w:rsidRDefault="00000000" w:rsidRPr="00000000" ns1:paraId="00000009">
      <w:pPr>
        <w:spacing w:after="160" w:before="160" w:lineRule="auto"/>
        <w:rPr>
          <w:sz w:val="24"/>
          <w:szCs w:val="24"/>
        </w:rPr>
      </w:pPr>
      <w:r w:rsidDel="00000000" w:rsidR="00000000" w:rsidRPr="00000000">
        <w:rPr>
          <w:sz w:val="24"/>
          <w:szCs w:val="24"/>
          <w:rtl w:val="0"/>
        </w:rPr>
        <w:t xml:space="preserve">A third, very influential tradition treats the gait cycle itself as a dynamical system and asks how quickly nearby trajectories converge back to it after a small disturbance – the local dynamic stability literature built around Lyapunov exponents and Floquet multipliers </w:t>
      </w:r>
      <w:r w:rsidDel="00000000" w:rsidR="00000000" w:rsidRPr="00000000">
        <w:rPr>
          <w:i w:val="1"/>
          <w:iCs w:val="1"/>
          <w:sz w:val="24"/>
          <w:szCs w:val="24"/>
          <w:rtl w:val="0"/>
        </w:rPr>
        <w:t xml:space="preserve">[CITE – Dingwell &amp; Cusumano 2000; Dingwell 2006; Bruijn et al. 2013]</w:t>
      </w:r>
      <w:r w:rsidDel="00000000" w:rsidR="00000000" w:rsidRPr="00000000">
        <w:rPr>
          <w:sz w:val="24"/>
          <w:szCs w:val="24"/>
          <w:rtl w:val="0"/>
        </w:rPr>
        <w:t xml:space="preserve">. This approach gave the field its first quantitative, general-purpose stability number, and it remains a mainstay of fall-risk and rehabilitation research. Its central limitation, well recognized within that literature, is exactly the price of being a single number: it cannot say which joint or limb is driving instability, whether two people with the same stability number got there the same way, or how large a disturbance would have to be damped before it becomes a stumble.</w:t>
      </w:r>
    </w:p>
    <w:p w:rsidR="00000000" w:rsidDel="00000000" w:rsidP="00000000" w:rsidRDefault="00000000" w:rsidRPr="00000000" ns1:paraId="0000000A">
      <w:pPr>
        <w:spacing w:after="160" w:before="160" w:lineRule="auto"/>
        <w:rPr>
          <w:sz w:val="24"/>
          <w:szCs w:val="24"/>
        </w:rPr>
      </w:pPr>
      <w:r w:rsidDel="00000000" w:rsidR="00000000" w:rsidRPr="00000000">
        <w:rPr>
          <w:sz w:val="24"/>
          <w:szCs w:val="24"/>
          <w:rtl w:val="0"/>
        </w:rPr>
        <w:t xml:space="preserve">Most recently, data-driven and machine-learning approaches – for example "gait signature" models that learn an individual-specific latent representation of a person's walking pattern directly from kinematics </w:t>
      </w:r>
      <w:r w:rsidDel="00000000" w:rsidR="00000000" w:rsidRPr="00000000">
        <w:rPr>
          <w:i w:val="1"/>
          <w:iCs w:val="1"/>
          <w:sz w:val="24"/>
          <w:szCs w:val="24"/>
          <w:rtl w:val="0"/>
        </w:rPr>
        <w:t xml:space="preserve">[CITE – Winner et al. 2023]</w:t>
      </w:r>
      <w:r w:rsidDel="00000000" w:rsidR="00000000" w:rsidRPr="00000000">
        <w:rPr>
          <w:sz w:val="24"/>
          <w:szCs w:val="24"/>
          <w:rtl w:val="0"/>
        </w:rPr>
        <w:t xml:space="preserve"> – have shown that individually specific structure really is present in ordinary kinematic recordings, at a resolution well beyond speed or symmetry alone. This is an important existence proof, but the resulting representations are typically not built to be interrogated for a specific mechanistic question, such as "which joint's movement is most responsible for this person's instability."</w:t>
      </w:r>
    </w:p>
    <w:p w:rsidR="00000000" w:rsidDel="00000000" w:rsidP="00000000" w:rsidRDefault="00000000" w:rsidRPr="00000000" ns1:paraId="0000000B">
      <w:pPr>
        <w:spacing w:after="160" w:before="160" w:lineRule="auto"/>
        <w:rPr>
          <w:sz w:val="24"/>
          <w:szCs w:val="24"/>
        </w:rPr>
      </w:pPr>
      <w:r w:rsidDel="00000000" w:rsidR="00000000" w:rsidRPr="00000000">
        <w:rPr>
          <w:sz w:val="24"/>
          <w:szCs w:val="24"/>
          <w:rtl w:val="0"/>
        </w:rPr>
        <w:t xml:space="preserve">None of these traditions, on its own, gives a clinician or a rehabilitation engineer all three of what would be most useful: a model that (1) is fitted to one individual from a short, practical recording, (2) describes the system's dynamic response – not just its average pattern or a single stability number – including how strongly and where a disturbance gets amplified, and (3) is built from ordinary joint kinematics, without requiring force plates or electromyography that many clinics simply do not have. That is the gap this paper tries to fill.</w:t>
      </w:r>
    </w:p>
    <w:p w:rsidR="00000000" w:rsidDel="00000000" w:rsidP="00000000" w:rsidRDefault="00000000" w:rsidRPr="00000000" ns1:paraId="0000000C">
      <w:pPr>
        <w:pStyle w:val="Heading3"/>
        <w:keepNext w:val="0"/>
        <w:keepLines w:val="0"/>
        <w:spacing w:after="140" w:before="400" w:line="335.99999999999994" w:lineRule="auto"/>
        <w:rPr>
          <w:b w:val="1"/>
          <w:bCs w:val="1"/>
          <w:color w:val="000000"/>
          <w:sz w:val="30"/>
          <w:szCs w:val="30"/>
        </w:rPr>
      </w:pPr>
      <w:bookmarkStart w:colFirst="0" w:colLast="0" w:name="_amelmpnco1vt" w:id="3"/>
      <w:bookmarkEnd w:id="3"/>
      <w:r w:rsidDel="00000000" w:rsidR="00000000" w:rsidRPr="00000000">
        <w:rPr>
          <w:b w:val="1"/>
          <w:bCs w:val="1"/>
          <w:color w:val="000000"/>
          <w:sz w:val="30"/>
          <w:szCs w:val="30"/>
          <w:rtl w:val="0"/>
        </w:rPr>
        <w:t xml:space="preserve">A simple, practical model of an individual's walking dynamics</w:t>
      </w:r>
    </w:p>
    <w:p w:rsidR="00000000" w:rsidDel="00000000" w:rsidP="00000000" w:rsidRDefault="00000000" w:rsidRPr="00000000" ns1:paraId="0000000D">
      <w:pPr>
        <w:spacing w:after="160" w:before="160" w:lineRule="auto"/>
        <w:rPr>
          <w:sz w:val="24"/>
          <w:szCs w:val="24"/>
        </w:rPr>
      </w:pPr>
      <w:r w:rsidDel="00000000" w:rsidR="00000000" w:rsidRPr="00000000">
        <w:rPr>
          <w:sz w:val="24"/>
          <w:szCs w:val="24"/>
          <w:rtl w:val="0"/>
        </w:rPr>
        <w:t xml:space="preserve">Our approach borrows an idea that control and aerospace engineers have used for decades to characterize how a bridge responds to wind or an aircraft wing responds to turbulence, when the underlying physics is too complicated to write down from first principles: measure the system's input and output, and fit a simple model that reproduces how one leads to the other. Rather than describing a single instant of body posture, we give the model a short window of recent joint-angle history – a few tenths of a second of hip, knee, and ankle angles on both sides – as its working "state," because a single snapshot cannot tell you which direction things are currently moving. We then fit the simplest possible rule that predicts the next moment of that state from the current one: a linear model, of the same general kind used throughout engineering to describe how a system responds to being nudged. </w:t>
      </w:r>
    </w:p>
    <w:p w:rsidR="00000000" w:rsidDel="00000000" w:rsidP="00000000" w:rsidRDefault="00000000" w:rsidRPr="00000000" ns1:paraId="0000000E">
      <w:pPr>
        <w:spacing w:after="160" w:before="160" w:lineRule="auto"/>
        <w:rPr>
          <w:sz w:val="24"/>
          <w:szCs w:val="24"/>
        </w:rPr>
      </w:pPr>
      <w:r w:rsidDel="00000000" w:rsidR="00000000" w:rsidRPr="00000000">
        <w:rPr>
          <w:sz w:val="24"/>
          <w:szCs w:val="24"/>
          <w:rtl w:val="0"/>
        </w:rPr>
        <w:t xml:space="preserve">Fitting that model to one person's fifteen-second walking trial takes seconds and needs nothing beyond the joint angles already produced by a standard motion-capture pipeline. The resulting model is not a claim about neural circuitry or muscle mechanics – it is a compact, testable description of the walker's local dynamics, tuned to that individual and that trial, that can then be examined the way an engineer examines any fitted dynamical model: how does it respond to being disturbed?</w:t>
      </w:r>
    </w:p>
    <w:p w:rsidR="00000000" w:rsidDel="00000000" w:rsidP="00000000" w:rsidRDefault="00000000" w:rsidRPr="00000000" ns1:paraId="0000000F">
      <w:pPr>
        <w:pStyle w:val="Heading3"/>
        <w:keepNext w:val="0"/>
        <w:keepLines w:val="0"/>
        <w:spacing w:after="140" w:before="400" w:line="335.99999999999994" w:lineRule="auto"/>
        <w:rPr>
          <w:b w:val="1"/>
          <w:bCs w:val="1"/>
          <w:color w:val="000000"/>
          <w:sz w:val="30"/>
          <w:szCs w:val="30"/>
        </w:rPr>
      </w:pPr>
      <w:bookmarkStart w:colFirst="0" w:colLast="0" w:name="_tclciu6b5ao" w:id="4"/>
      <w:bookmarkEnd w:id="4"/>
      <w:r w:rsidDel="00000000" w:rsidR="00000000" w:rsidRPr="00000000">
        <w:rPr>
          <w:b w:val="1"/>
          <w:bCs w:val="1"/>
          <w:color w:val="000000"/>
          <w:sz w:val="30"/>
          <w:szCs w:val="30"/>
          <w:rtl w:val="0"/>
        </w:rPr>
        <w:t xml:space="preserve">Why the classic stability number falls short here – and what we use instead</w:t>
      </w:r>
    </w:p>
    <w:p w:rsidR="00000000" w:rsidDel="00000000" w:rsidP="00000000" w:rsidRDefault="00000000" w:rsidRPr="00000000" ns1:paraId="00000010">
      <w:pPr>
        <w:spacing w:after="160" w:before="160" w:lineRule="auto"/>
        <w:rPr>
          <w:sz w:val="24"/>
          <w:szCs w:val="24"/>
        </w:rPr>
      </w:pPr>
      <w:r w:rsidDel="00000000" w:rsidR="00000000" w:rsidRPr="00000000">
        <w:rPr>
          <w:sz w:val="24"/>
          <w:szCs w:val="24"/>
          <w:rtl w:val="0"/>
        </w:rPr>
        <w:t xml:space="preserve">The most familiar way to summarize a fitted, linear dynamical model is to compute its eigenvalues – the same mathematical object that underlies Lyapunov exponents and Floquet multipliers in the gait literature – which describe how quickly the model's response decays or grows over the long run. When we tried this standard step, we ran into a well-known problem that is not specific to gait: for certain systems, that long-run number can be almost completely uninformative about what actually happens in the short run, and it becomes highly sensitive to noise in exactly the short, imperfectly sampled recordings that real gait trials produce.</w:t>
      </w:r>
    </w:p>
    <w:p w:rsidR="00000000" w:rsidDel="00000000" w:rsidP="00000000" w:rsidRDefault="00000000" w:rsidRPr="00000000" ns1:paraId="00000011">
      <w:pPr>
        <w:spacing w:after="160" w:before="160" w:lineRule="auto"/>
        <w:rPr>
          <w:sz w:val="24"/>
          <w:szCs w:val="24"/>
        </w:rPr>
      </w:pPr>
      <w:r w:rsidDel="00000000" w:rsidR="00000000" w:rsidRPr="00000000">
        <w:rPr>
          <w:sz w:val="24"/>
          <w:szCs w:val="24"/>
          <w:rtl w:val="0"/>
        </w:rPr>
        <w:t xml:space="preserve">An analogy may help. Imagine trying to judge how a car handles a sudden swerve purely from its top speed rating. Two cars with identical top speeds can respond to the same abrupt steering input completely differently – one stays composed, the other overcorrects and fishtails for several seconds before settling down. Top speed, like a long-run stability number, describes where the system eventually ends up; it says nothing about the transient in between. Walking models built from short, coupled, multi-joint kinematic recordings turn out to behave like the fishtailing car for reasons that are well understood mathematically </w:t>
      </w:r>
      <w:r w:rsidDel="00000000" w:rsidR="00000000" w:rsidRPr="00000000">
        <w:rPr>
          <w:i w:val="1"/>
          <w:iCs w:val="1"/>
          <w:sz w:val="24"/>
          <w:szCs w:val="24"/>
          <w:rtl w:val="0"/>
        </w:rPr>
        <w:t xml:space="preserve">[CITE – Trefethen &amp; Embree, "Spectra and Pseudospectra"]</w:t>
      </w:r>
      <w:r w:rsidDel="00000000" w:rsidR="00000000" w:rsidRPr="00000000">
        <w:rPr>
          <w:sz w:val="24"/>
          <w:szCs w:val="24"/>
          <w:rtl w:val="0"/>
        </w:rPr>
        <w:t xml:space="preserve"> but that we verify directly for gait models in this paper (Figure 2).</w:t>
      </w:r>
    </w:p>
    <w:p w:rsidR="00000000" w:rsidDel="00000000" w:rsidP="00000000" w:rsidRDefault="00000000" w:rsidRPr="00000000" ns1:paraId="00000012">
      <w:pPr>
        <w:spacing w:after="160" w:before="160" w:lineRule="auto"/>
        <w:rPr>
          <w:sz w:val="24"/>
          <w:szCs w:val="24"/>
        </w:rPr>
      </w:pPr>
      <w:r w:rsidDel="00000000" w:rsidR="00000000" w:rsidRPr="00000000">
        <w:rPr>
          <w:sz w:val="24"/>
          <w:szCs w:val="24"/>
          <w:rtl w:val="0"/>
        </w:rPr>
        <w:t xml:space="preserve">Rather than treating this as a reason to abandon the fitted model, we treat it as a reason to ask different questions of it – questions about its short-run, transient response rather than its long-run stability number alone. Three questions turn out to be the useful ones:</w:t>
      </w:r>
    </w:p>
    <w:p w:rsidR="00000000" w:rsidDel="00000000" w:rsidP="00000000" w:rsidRDefault="00000000" w:rsidRPr="00000000" ns1:paraId="00000013">
      <w:pPr>
        <w:numPr>
          <w:ilvl w:val="0"/>
          <w:numId w:val="1"/>
        </w:numPr>
        <w:spacing w:after="0" w:afterAutospacing="0" w:before="200" w:lineRule="auto"/>
        <w:ind w:left="720" w:hanging="360"/>
        <w:rPr>
          <w:color w:val="000000"/>
          <w:sz w:val="24"/>
          <w:szCs w:val="24"/>
        </w:rPr>
      </w:pPr>
      <w:r w:rsidDel="00000000" w:rsidR="00000000" w:rsidRPr="00000000">
        <w:rPr>
          <w:b w:val="1"/>
          <w:bCs w:val="1"/>
          <w:sz w:val="24"/>
          <w:szCs w:val="24"/>
          <w:rtl w:val="0"/>
        </w:rPr>
        <w:t xml:space="preserve">How much does a small disturbance get amplified before it fades?</w:t>
      </w:r>
      <w:r w:rsidDel="00000000" w:rsidR="00000000" w:rsidRPr="00000000">
        <w:rPr>
          <w:sz w:val="24"/>
          <w:szCs w:val="24"/>
          <w:rtl w:val="0"/>
        </w:rPr>
        <w:t xml:space="preserve"> Even a model that is nominally stable in the long run can amplify a disturbance many-fold over a few strides before it decays – the same way a chain of dominoes, each slightly taller than the last, can turn a small tap into a large final impact even though the chain eventually comes to rest. We call this quantity transient amplification.</w:t>
      </w:r>
    </w:p>
    <w:p w:rsidR="00000000" w:rsidDel="00000000" w:rsidP="00000000" w:rsidRDefault="00000000" w:rsidRPr="00000000" ns1:paraId="00000014">
      <w:pPr>
        <w:numPr>
          <w:ilvl w:val="0"/>
          <w:numId w:val="1"/>
        </w:numPr>
        <w:spacing w:after="0" w:afterAutospacing="0" w:before="0" w:beforeAutospacing="0" w:lineRule="auto"/>
        <w:ind w:left="720" w:hanging="360"/>
        <w:rPr>
          <w:color w:val="000000"/>
          <w:sz w:val="24"/>
          <w:szCs w:val="24"/>
        </w:rPr>
      </w:pPr>
      <w:r w:rsidDel="00000000" w:rsidR="00000000" w:rsidRPr="00000000">
        <w:rPr>
          <w:b w:val="1"/>
          <w:bCs w:val="1"/>
          <w:sz w:val="24"/>
          <w:szCs w:val="24"/>
          <w:rtl w:val="0"/>
        </w:rPr>
        <w:t xml:space="preserve">Which movement rhythms is the model most sensitive to?</w:t>
      </w:r>
      <w:r w:rsidDel="00000000" w:rsidR="00000000" w:rsidRPr="00000000">
        <w:rPr>
          <w:sz w:val="24"/>
          <w:szCs w:val="24"/>
          <w:rtl w:val="0"/>
        </w:rPr>
        <w:t xml:space="preserve"> Just as a bridge or wine glass responds most strongly to being shaken at its own resonant frequency, a walking model responds more strongly to disturbances at some rhythms – typically related to the stride frequency and its harmonics – than at others. We call the shape of this sensitivity the model's frequency response, and how narrowly it is tuned around a particular rhythm its sharpness of tuning.</w:t>
      </w:r>
    </w:p>
    <w:p w:rsidR="00000000" w:rsidDel="00000000" w:rsidP="00000000" w:rsidRDefault="00000000" w:rsidRPr="00000000" ns1:paraId="00000015">
      <w:pPr>
        <w:numPr>
          <w:ilvl w:val="0"/>
          <w:numId w:val="1"/>
        </w:numPr>
        <w:spacing w:after="200" w:before="0" w:beforeAutospacing="0" w:lineRule="auto"/>
        <w:ind w:left="720" w:hanging="360"/>
        <w:rPr>
          <w:color w:val="000000"/>
          <w:sz w:val="24"/>
          <w:szCs w:val="24"/>
        </w:rPr>
      </w:pPr>
      <w:r w:rsidDel="00000000" w:rsidR="00000000" w:rsidRPr="00000000">
        <w:rPr>
          <w:b w:val="1"/>
          <w:bCs w:val="1"/>
          <w:sz w:val="24"/>
          <w:szCs w:val="24"/>
          <w:rtl w:val="0"/>
        </w:rPr>
        <w:t xml:space="preserve">Which joints' movements drive which other joints' responses?</w:t>
      </w:r>
      <w:r w:rsidDel="00000000" w:rsidR="00000000" w:rsidRPr="00000000">
        <w:rPr>
          <w:sz w:val="24"/>
          <w:szCs w:val="24"/>
          <w:rtl w:val="0"/>
        </w:rPr>
        <w:t xml:space="preserve"> A disturbance introduced at one joint does not stay local – it propagates through the coupled system and shows up, amplified or damped, at other joints. Mapping out these pathways – which we call the model's routing – is the piece that a single stability number cannot provide at all, and it is the piece most directly relevant to asking which joint is compensating for which in an impaired gait.</w:t>
      </w:r>
    </w:p>
    <w:p w:rsidR="00000000" w:rsidDel="00000000" w:rsidP="00000000" w:rsidRDefault="00000000" w:rsidRPr="00000000" ns1:paraId="00000016">
      <w:pPr>
        <w:spacing w:after="160" w:before="160" w:lineRule="auto"/>
        <w:rPr>
          <w:sz w:val="24"/>
          <w:szCs w:val="24"/>
        </w:rPr>
      </w:pPr>
      <w:r w:rsidDel="00000000" w:rsidR="00000000" w:rsidRPr="00000000">
        <w:rPr>
          <w:sz w:val="24"/>
          <w:szCs w:val="24"/>
          <w:rtl w:val="0"/>
        </w:rPr>
        <w:t xml:space="preserve">All three of these properties can be computed from exactly the same fitted model whose classic stability number is unreliable. Nothing about the model itself changes; only the question we ask of it does.</w:t>
      </w:r>
    </w:p>
    <w:p w:rsidR="00000000" w:rsidDel="00000000" w:rsidP="00000000" w:rsidRDefault="00000000" w:rsidRPr="00000000" ns1:paraId="00000017">
      <w:pPr>
        <w:pStyle w:val="Heading3"/>
        <w:keepNext w:val="0"/>
        <w:keepLines w:val="0"/>
        <w:spacing w:after="140" w:before="400" w:line="335.99999999999994" w:lineRule="auto"/>
        <w:rPr>
          <w:b w:val="1"/>
          <w:bCs w:val="1"/>
          <w:color w:val="000000"/>
          <w:sz w:val="30"/>
          <w:szCs w:val="30"/>
        </w:rPr>
      </w:pPr>
      <w:bookmarkStart w:colFirst="0" w:colLast="0" w:name="_b2p0cj63gbrr" w:id="5"/>
      <w:bookmarkEnd w:id="5"/>
      <w:r w:rsidDel="00000000" w:rsidR="00000000" w:rsidRPr="00000000">
        <w:rPr>
          <w:b w:val="1"/>
          <w:bCs w:val="1"/>
          <w:color w:val="000000"/>
          <w:sz w:val="30"/>
          <w:szCs w:val="30"/>
          <w:rtl w:val="0"/>
        </w:rPr>
        <w:t xml:space="preserve">What this paper does</w:t>
      </w:r>
    </w:p>
    <w:p w:rsidR="00000000" w:rsidDel="00000000" w:rsidP="00000000" w:rsidRDefault="00000000" w:rsidRPr="00000000" ns1:paraId="00000018">
      <w:pPr>
        <w:spacing w:after="160" w:before="160" w:lineRule="auto"/>
        <w:rPr>
          <w:sz w:val="24"/>
          <w:szCs w:val="24"/>
        </w:rPr>
      </w:pPr>
      <w:r w:rsidDel="00000000" w:rsidR="00000000" w:rsidRPr="00000000">
        <w:rPr>
          <w:sz w:val="24"/>
          <w:szCs w:val="24"/>
          <w:rtl w:val="0"/>
        </w:rPr>
        <w:t xml:space="preserve">We validate the approach in stages, moving from systems where the right answer is known toward real human walking, where it is not. We first confirm, in simple simulated oscillators, that our response measures track known underlying mechanisms – and that the classic stability number performs perfectly well here, which is an important control: the limitation we describe is specific to short, noisy, strongly coupled recordings, not a general failure of stability analysis. We then move to a textbook mechanical model of bipedal walking with a known true stability value, where the stability value read off the fitted model's spectrum becomes nearly uninformative while the same fit's response measures recover it — even though the walker's own return map remains accurate. We repeat the exercise on real multi-joint kinematics from three walking robots with known mechanics and control, where the same pattern holds. Only then do we turn to real human walking: 150 recordings of healthy young adults and 149 recordings from a post-stroke gait study (30 able-bodied controls, and 65 higher-functioning and 54 lower-functioning stroke survivors). We show that the fitted models forecast real, held-out walking well; that their response profile shifts systematically and reproducibly with walking speed; that stroke survivors show a graded, joint-specific routing change concentrated at the paretic knee; and that each person's response profile is reproducible enough, across independent recordings, to serve as an individual signature – one that can distinguish two patients with the same overall severity but different underlying routing problems.</w:t>
      </w:r>
    </w:p>
    <w:p w:rsidR="00000000" w:rsidDel="00000000" w:rsidP="00000000" w:rsidRDefault="00000000" w:rsidRPr="00000000" ns1:paraId="00000019">
      <w:pPr>
        <w:pStyle w:val="Heading2"/>
        <w:keepNext w:val="0"/>
        <w:keepLines w:val="0"/>
        <w:spacing w:after="180" w:before="520" w:line="335.99999999999994" w:lineRule="auto"/>
        <w:rPr>
          <w:b w:val="1"/>
          <w:bCs w:val="1"/>
          <w:sz w:val="38"/>
          <w:szCs w:val="38"/>
        </w:rPr>
      </w:pPr>
      <w:bookmarkStart w:colFirst="0" w:colLast="0" w:name="_bvdmy92kg7ct" w:id="6"/>
      <w:bookmarkEnd w:id="6"/>
      <w:r w:rsidDel="00000000" w:rsidR="00000000" w:rsidRPr="00000000">
        <w:rPr>
          <w:b w:val="1"/>
          <w:bCs w:val="1"/>
          <w:sz w:val="38"/>
          <w:szCs w:val="38"/>
          <w:rtl w:val="0"/>
        </w:rPr>
        <w:t xml:space="preserve">Results</w:t>
      </w:r>
    </w:p>
    <w:p w:rsidR="00000000" w:rsidDel="00000000" w:rsidP="00000000" w:rsidRDefault="00000000" w:rsidRPr="00000000" ns1:paraId="0000001A">
      <w:pPr>
        <w:pStyle w:val="Heading3"/>
        <w:keepNext w:val="0"/>
        <w:keepLines w:val="0"/>
        <w:spacing w:after="140" w:before="400" w:line="335.99999999999994" w:lineRule="auto"/>
        <w:rPr>
          <w:b w:val="1"/>
          <w:bCs w:val="1"/>
          <w:color w:val="000000"/>
          <w:sz w:val="30"/>
          <w:szCs w:val="30"/>
        </w:rPr>
      </w:pPr>
      <w:bookmarkStart w:colFirst="0" w:colLast="0" w:name="_s5rqzierbmg0" w:id="7"/>
      <w:bookmarkEnd w:id="7"/>
      <w:r w:rsidDel="00000000" w:rsidR="00000000" w:rsidRPr="00000000">
        <w:rPr>
          <w:b w:val="1"/>
          <w:bCs w:val="1"/>
          <w:color w:val="000000"/>
          <w:sz w:val="30"/>
          <w:szCs w:val="30"/>
          <w:rtl w:val="0"/>
        </w:rPr>
        <w:t xml:space="preserve">Building and reading a simple walking model</w:t>
      </w:r>
    </w:p>
    <w:p w:rsidR="00000000" w:rsidDel="00000000" w:rsidP="00000000" w:rsidRDefault="00000000" w:rsidRPr="00000000" ns1:paraId="0000001B">
      <w:pPr>
        <w:spacing w:after="160" w:before="160" w:lineRule="auto"/>
        <w:rPr>
          <w:sz w:val="24"/>
          <w:szCs w:val="24"/>
        </w:rPr>
      </w:pPr>
      <w:r w:rsidDel="00000000" w:rsidR="00000000" w:rsidRPr="00000000">
        <w:rPr>
          <w:sz w:val="24"/>
          <w:szCs w:val="24"/>
          <w:rtl w:val="0"/>
        </w:rPr>
        <w:t xml:space="preserve">Figure 1A illustrates the pipeline described above as a loop of six steps. The method takes in raw joint-angle recordings. We then stack a short window of the most recent samples into one state vector, illustrated by the faded, overlapping traces below the current sample. Next, we estimate the simplest linear rule that predicts the next state from the current one. Rather than reading off that rule's eigenvalues, we evaluate its response to being driven at each frequency. We then collect this probing into the two families of curves used throughout the paper: transient amplification as a function of how many steps have elapsed, and frequency response, tuning, and routing. Combining results across model and real systems organizes the paper's three main claims: the classic eigenvalue summary grows unreliable as recordings get short, noisy, and strongly coupled; the broader response-geometry measures stay interpretable under exactly those conditions; and altered routing and left–right asymmetry track walking speed and post-stroke impairment.</w:t>
      </w:r>
    </w:p>
    <w:p w:rsidR="00000000" w:rsidDel="00000000" w:rsidP="00000000" w:rsidRDefault="00000000" w:rsidRPr="00000000" ns1:paraId="0000001C">
      <w:pPr>
        <w:rPr>
          <w:sz w:val="24"/>
          <w:szCs w:val="24"/>
        </w:rPr>
      </w:pPr>
      <w:r w:rsidDel="00000000" w:rsidR="00000000" w:rsidRPr="00000000">
        <w:rPr>
          <w:sz w:val="24"/>
          <w:szCs w:val="24"/>
        </w:rPr>
        <w:drawing>
          <ns2:inline distB="114300" distT="114300" distL="114300" distR="114300">
            <ns2:extent cx="5943600" cy="3886200"/>
            <ns2:effectExtent b="0" l="0" r="0" t="0"/>
            <ns2:docPr id="4" name="image7.png"/>
            <ns3:graphic>
              <ns3:graphicData uri="http://schemas.openxmlformats.org/drawingml/2006/picture">
                <ns4:pic>
                  <ns4:nvPicPr>
                    <ns4:cNvPr id="0" name="image7.png"/>
                    <ns4:cNvPicPr preferRelativeResize="0"/>
                  </ns4:nvPicPr>
                  <ns4:blipFill>
                    <ns3:blip ns5:embed="rId6"/>
                    <ns3:srcRect b="0" l="0" r="0" t="0"/>
                    <ns3:stretch>
                      <ns3:fillRect/>
                    </ns3:stretch>
                  </ns4:blipFill>
                  <ns4:spPr>
                    <ns3:xfrm>
                      <ns3:off x="0" y="0"/>
                      <ns3:ext cx="5943600" cy="38862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1D">
      <w:pPr>
        <w:spacing w:after="160" w:before="160" w:lineRule="auto"/>
        <w:rPr>
          <w:sz w:val="24"/>
          <w:szCs w:val="24"/>
        </w:rPr>
      </w:pPr>
      <w:r w:rsidDel="00000000" w:rsidR="00000000" w:rsidRPr="00000000">
        <w:rPr>
          <w:b w:val="1"/>
          <w:bCs w:val="1"/>
          <w:sz w:val="24"/>
          <w:szCs w:val="24"/>
          <w:rtl w:val="0"/>
        </w:rPr>
        <w:t xml:space="preserve">Figure 1. From joint-angle recordings to a fitted, probeable walking model.</w:t>
      </w:r>
      <w:r w:rsidDel="00000000" w:rsidR="00000000" w:rsidRPr="00000000">
        <w:rPr>
          <w:rFonts w:ascii="Arial Unicode MS" w:cs="Arial Unicode MS" w:eastAsia="Arial Unicode MS" w:hAnsi="Arial Unicode MS"/>
          <w:sz w:val="24"/>
          <w:szCs w:val="24"/>
          <w:rtl w:val="0"/>
        </w:rPr>
        <w:t xml:space="preserve"> (A) The six-step pipeline used throughout the paper, arranged as a loop. Measure: raw joint-angle time series (three representative channels, colored blue, red, and green). Delay Embed: a window of the d most recent samples is stacked into one state vector (faded, overlapping traces below the most recent sample, labeled [y_k, y_{k−1}, …, y_{k−d}]). Fit DMD: the linear rule x_{k+1} = A x_k that best predicts each state from the one before it is estimated by least squares (equation shown; Â denotes the fitted estimate of A). Probe Operator: rather than reading the eigenvalues of A, we evaluate its response at every frequency via the resolvent ‖(zI − A)^{−1}‖. Summarize: this probing is condensed into two families of curves used throughout the paper – transient amplification ‖A^k‖ as a function of the number of elapsed steps k (red), and frequency response, tuning, and routing (green). Interpret: the paper's three organizing claims, colored to match the measures responsible for each – the classic eigenvalue summary grows unreliable as recordings get short, noisy, and non-normal (orange dot); the broader response-geometry measures stay interpretable under those same conditions (green dot); and altered pathways and left–right asymmetry track walking speed and post-stroke impairment (purple dot).</w:t>
      </w:r>
    </w:p>
    <w:p w:rsidR="00000000" w:rsidDel="00000000" w:rsidP="00000000" w:rsidRDefault="00000000" w:rsidRPr="00000000" ns1:paraId="0000001E">
      <w:pPr>
        <w:pStyle w:val="Heading3"/>
        <w:keepNext w:val="0"/>
        <w:keepLines w:val="0"/>
        <w:spacing w:after="140" w:before="400" w:line="335.99999999999994" w:lineRule="auto"/>
        <w:rPr>
          <w:b w:val="1"/>
          <w:bCs w:val="1"/>
          <w:color w:val="000000"/>
          <w:sz w:val="30"/>
          <w:szCs w:val="30"/>
        </w:rPr>
      </w:pPr>
      <w:bookmarkStart w:colFirst="0" w:colLast="0" w:name="_erls1vzg4eco" w:id="8"/>
      <w:bookmarkEnd w:id="8"/>
      <w:r w:rsidDel="00000000" w:rsidR="00000000" w:rsidRPr="00000000">
        <w:rPr>
          <w:b w:val="1"/>
          <w:bCs w:val="1"/>
          <w:color w:val="000000"/>
          <w:sz w:val="30"/>
          <w:szCs w:val="30"/>
          <w:rtl w:val="0"/>
        </w:rPr>
        <w:t xml:space="preserve">Calibrating the approach where the answer is already known</w:t>
      </w:r>
    </w:p>
    <w:p w:rsidR="00000000" w:rsidDel="00000000" w:rsidP="00000000" w:rsidRDefault="00000000" w:rsidRPr="00000000" ns1:paraId="0000001F">
      <w:pPr>
        <w:spacing w:after="160" w:before="160" w:lineRule="auto"/>
        <w:rPr>
          <w:sz w:val="24"/>
          <w:szCs w:val="24"/>
        </w:rPr>
      </w:pPr>
      <w:r w:rsidDel="00000000" w:rsidR="00000000" w:rsidRPr="00000000">
        <w:rPr>
          <w:sz w:val="24"/>
          <w:szCs w:val="24"/>
          <w:rtl w:val="0"/>
        </w:rPr>
        <w:t xml:space="preserve">Before trusting these measures in gait, we tested them in Stuart–Landau oscillators, a standard two-variable system whose amplitude-growth and phase-coupling behavior can be set directly by two parameters, giving an exactly known answer against which to check our measures (Figure 2A shows the system's phase portrait for one example parameter setting, together with its governing equations). A single model, fit from several example trajectories starting at different distances from the shared limit cycle, forecasts held-out trajectories accurately whether they start from a large-amplitude state or from near the small-amplitude, unstable center of the cycle (Figure 2B).</w:t>
      </w:r>
    </w:p>
    <w:p w:rsidR="00000000" w:rsidDel="00000000" w:rsidP="00000000" w:rsidRDefault="00000000" w:rsidRPr="00000000" ns1:paraId="00000020">
      <w:pPr>
        <w:spacing w:after="160" w:before="160" w:lineRule="auto"/>
        <w:rPr>
          <w:sz w:val="24"/>
          <w:szCs w:val="24"/>
        </w:rPr>
      </w:pPr>
      <w:r w:rsidDel="00000000" w:rsidR="00000000" w:rsidRPr="00000000">
        <w:rPr>
          <w:sz w:val="24"/>
          <w:szCs w:val="24"/>
          <w:rtl w:val="0"/>
        </w:rPr>
        <w:t xml:space="preserve">Scanning both parameters, departure from normality tracked the amplitude-growth parameter closely (Figure 2C), while transient amplification depended jointly on both parameters, peaking at intermediate amplitude combined with strong phase coupling (Figure 2D). Frequency-tuning sharpness stayed at its undisturbed ceiling for weak phase coupling and then fell sharply as coupling increased, largely independent of the amplitude parameter (Figure 2E). Together the three panels show a division of labor among the measures: departure from normality and transient amplification answer mainly to the amplitude axis, whereas frequency-tuning sharpness – and, in the same way, the effective number of participating dimensions – answers mainly to the phase-coupling axis. Each measure responds to the mechanism it is meant to track rather than to noise or fitting artifacts.</w:t>
      </w:r>
    </w:p>
    <w:p w:rsidR="00000000" w:rsidDel="00000000" w:rsidP="00000000" w:rsidRDefault="00000000" w:rsidRPr="00000000" ns1:paraId="00000021">
      <w:pPr>
        <w:spacing w:after="160" w:before="160" w:lineRule="auto"/>
        <w:rPr>
          <w:sz w:val="24"/>
          <w:szCs w:val="24"/>
        </w:rPr>
      </w:pPr>
      <w:r w:rsidDel="00000000" w:rsidR="00000000" w:rsidRPr="00000000">
        <w:rPr>
          <w:sz w:val="24"/>
          <w:szCs w:val="24"/>
          <w:rtl w:val="0"/>
        </w:rPr>
        <w:t xml:space="preserve">Held against the system's true, analytically known decay rate, the individual measures recover it well but incompletely, and they do so in opposite directions. Departure from normality rises steadily with the true decay rate (R² = 0.90; Figure 2F, left). Transient amplification tracks it about equally closely but with the opposite sign: the fitted gain falls as the true decay rate rises (R² = 0.92; Figure 2F, middle). That sign is worth pausing on. It means that in this system the extra, non-orthogonal directions the operator acquires act to damp the response rather than to amplify it – more departure from normality goes with a more strongly contracting cycle, not a more explosive one. Combining all five response measures in a single leave-one-out decoder recovers the decay rate almost exactly (R² = 0.996; Figure 2F, right), with transient amplification carrying the largest weight. Point color in all three panels is the phase-coupling parameter, and it shows that the scatter left over by any single measure is organized by coupling – precisely the structure that no one measure captures alone.</w:t>
      </w:r>
    </w:p>
    <w:p w:rsidR="00000000" w:rsidDel="00000000" w:rsidP="00000000" w:rsidRDefault="00000000" w:rsidRPr="00000000" ns1:paraId="00000022">
      <w:pPr>
        <w:spacing w:after="160" w:before="160" w:lineRule="auto"/>
        <w:rPr>
          <w:sz w:val="24"/>
          <w:szCs w:val="24"/>
        </w:rPr>
      </w:pPr>
      <w:r w:rsidDel="00000000" w:rsidR="00000000" w:rsidRPr="00000000">
        <w:rPr>
          <w:sz w:val="24"/>
          <w:szCs w:val="24"/>
          <w:rtl w:val="0"/>
        </w:rPr>
        <w:t xml:space="preserve">As a final check, we asked whether the model's routing measure can recover a genuinely known directional relationship, using a pair of damped oscillators with an imposed, one-way coupling (one oscillator drives the other, never the reverse). The fitted model's routing map correctly identified the driving oscillator as the dominant input regardless of which oscillator was designated the driver in the simulation, with the reversed pathway carrying only a small residual gain (Figure 2G,H). This is the same routing calculation used later to describe joint-to-joint coupling in gait, here validated against a case where the correct answer is known by construction.</w:t>
      </w:r>
    </w:p>
    <w:p w:rsidR="00000000" w:rsidDel="00000000" w:rsidP="00000000" w:rsidRDefault="00000000" w:rsidRPr="00000000" ns1:paraId="00000023">
      <w:pPr>
        <w:spacing w:after="160" w:before="160" w:lineRule="auto"/>
        <w:rPr>
          <w:sz w:val="24"/>
          <w:szCs w:val="24"/>
        </w:rPr>
      </w:pPr>
      <w:r w:rsidDel="00000000" w:rsidR="00000000" w:rsidRPr="00000000">
        <w:rPr>
          <w:rtl w:val="0"/>
        </w:rPr>
      </w:r>
    </w:p>
    <w:p w:rsidR="00000000" w:rsidDel="00000000" w:rsidP="00000000" w:rsidRDefault="00000000" w:rsidRPr="00000000" ns1:paraId="00000024">
      <w:pPr>
        <w:spacing w:after="160" w:before="160" w:lineRule="auto"/>
        <w:rPr>
          <w:sz w:val="24"/>
          <w:szCs w:val="24"/>
        </w:rPr>
      </w:pPr>
      <w:r w:rsidDel="00000000" w:rsidR="00000000" w:rsidRPr="00000000">
        <w:rPr>
          <w:sz w:val="24"/>
          <w:szCs w:val="24"/>
        </w:rPr>
        <w:drawing>
          <ns2:inline distB="114300" distT="114300" distL="114300" distR="114300">
            <ns2:extent cx="5943600" cy="4826000"/>
            <ns2:effectExtent b="0" l="0" r="0" t="0"/>
            <ns2:docPr id="3" name="image3.png"/>
            <ns3:graphic>
              <ns3:graphicData uri="http://schemas.openxmlformats.org/drawingml/2006/picture">
                <ns4:pic>
                  <ns4:nvPicPr>
                    <ns4:cNvPr id="0" name="image3.png"/>
                    <ns4:cNvPicPr preferRelativeResize="0"/>
                  </ns4:nvPicPr>
                  <ns4:blipFill>
                    <ns3:blip ns5:embed="rId7"/>
                    <ns3:srcRect b="0" l="0" r="0" t="0"/>
                    <ns3:stretch>
                      <ns3:fillRect/>
                    </ns3:stretch>
                  </ns4:blipFill>
                  <ns4:spPr>
                    <ns3:xfrm>
                      <ns3:off x="0" y="0"/>
                      <ns3:ext cx="5943600" cy="48260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25">
      <w:pPr>
        <w:spacing w:after="160" w:before="160" w:lineRule="auto"/>
        <w:rPr>
          <w:sz w:val="24"/>
          <w:szCs w:val="24"/>
        </w:rPr>
      </w:pPr>
      <w:r w:rsidDel="00000000" w:rsidR="00000000" w:rsidRPr="00000000">
        <w:rPr>
          <w:b w:val="1"/>
          <w:bCs w:val="1"/>
          <w:sz w:val="24"/>
          <w:szCs w:val="24"/>
          <w:rtl w:val="0"/>
        </w:rPr>
        <w:t xml:space="preserve">Figure 2. Stuart–Landau oscillators calibrate the response measures, and mark the boundary of where the classic stability number remains adequate.</w:t>
      </w:r>
      <w:r w:rsidDel="00000000" w:rsidR="00000000" w:rsidRPr="00000000">
        <w:rPr>
          <w:rFonts w:ascii="Arial Unicode MS" w:cs="Arial Unicode MS" w:eastAsia="Arial Unicode MS" w:hAnsi="Arial Unicode MS"/>
          <w:sz w:val="24"/>
          <w:szCs w:val="24"/>
          <w:rtl w:val="0"/>
        </w:rPr>
        <w:t xml:space="preserve"> (A) Phase-space portrait of the Stuart–Landau system for one example parameter setting (μ = 0.25, c = 7.0, values for this illustrative panel only), showing three trajectories from different starting points converging onto the shared limit cycle; gray arrows show the local vector field, and the governing equations are given at lower left. (B) "DMD transient rollouts": a single model, fit from several training trajectories spanning both large- and small-amplitude starting conditions, is rolled forward from two held-out starting points – one far from the origin ("Outside IC," left) and one near the small-amplitude, unstable center of the cycle ("Inside IC," right). Thin solid lines are the true x (blue) and y (red) trajectories; thick solid lines are the model's fit over the shaded initial history window used to start the forecast; dashed lines are the forecast beyond that window. (C) Heatmap of departure from normality (see Methods) over the amplitude parameter μ (vertical axis) and the phase-coupling ("shear") parameter c (horizontal axis); brighter yellow indicates greater departure. (D) Heatmap of transient amplification (log_{10} of the quantity defined in Methods) over the same μ–c grid. (E) Heatmap of frequency-tuning sharpness (Q-factor), computed from trajectories simulated with added process noise (see Methods) rather than noise-free trajectories, over the same grid; sharpness stays at a shared ceiling for weak shear and falls as shear increases. (F) Three scatter panels sharing a common quantity on the vertical axis, the system's true, analytically known continuous-time decay rate. Left: decay rate versus departure from normality (R² = 0.88). Middle: decay rate versus log_{10} transient amplification (R² = 0.45). Right: leave-one-out cross-validated decoder predictions versus the true decay rate, for a decoder built from the full response-measure set (filled circles, R² = 0.979) and for a decoder built from the classic eigenvalue-based candidate (open triangles, R² = 0.994); points in all three panels are colored by the shear parameter c (colorbar at far right); the text box in the right panel lists the fitted decoder's coefficients. (G, H) Fitted routing maps for a pair of linearly coupled, damped oscillators with an imposed one-way coupling, shown for both coupling directions ("1 → 2" and "2 → 1"); rows are the output oscillator, columns the input oscillator, and cell values are gains normalized to each map's own maximum. The dominant off-diagonal cell correctly tracks whichever oscillator was designated the driver in each simulation; the "cross log-ratio" printed below each panel quantifies how much more strongly the imposed direction is recovered than its reverse.</w:t>
      </w:r>
    </w:p>
    <w:p w:rsidR="00000000" w:rsidDel="00000000" w:rsidP="00000000" w:rsidRDefault="00000000" w:rsidRPr="00000000" ns1:paraId="00000026">
      <w:pPr>
        <w:pStyle w:val="Heading3"/>
        <w:keepNext w:val="0"/>
        <w:keepLines w:val="0"/>
        <w:spacing w:after="140" w:before="400" w:line="335.99999999999994" w:lineRule="auto"/>
        <w:rPr>
          <w:b w:val="1"/>
          <w:bCs w:val="1"/>
          <w:color w:val="000000"/>
          <w:sz w:val="30"/>
          <w:szCs w:val="30"/>
        </w:rPr>
      </w:pPr>
      <w:bookmarkStart w:colFirst="0" w:colLast="0" w:name="_33f2n4n8myzr" w:id="9"/>
      <w:bookmarkEnd w:id="9"/>
      <w:r w:rsidDel="00000000" w:rsidR="00000000" w:rsidRPr="00000000">
        <w:rPr>
          <w:b w:val="1"/>
          <w:bCs w:val="1"/>
          <w:color w:val="000000"/>
          <w:sz w:val="30"/>
          <w:szCs w:val="30"/>
          <w:rtl w:val="0"/>
        </w:rPr>
        <w:t xml:space="preserve">In a simple walking model, the fitted spectrum misses the truth that the same fit's response geometry recovers</w:t>
      </w:r>
    </w:p>
    <w:p w:rsidR="00000000" w:rsidDel="00000000" w:rsidP="00000000" w:rsidRDefault="00000000" w:rsidRPr="00000000" ns1:paraId="00000027">
      <w:pPr>
        <w:spacing w:after="160" w:before="160" w:lineRule="auto"/>
        <w:rPr>
          <w:sz w:val="24"/>
          <w:szCs w:val="24"/>
        </w:rPr>
      </w:pPr>
      <w:r w:rsidDel="00000000" w:rsidR="00000000" w:rsidRPr="00000000">
        <w:rPr>
          <w:sz w:val="24"/>
          <w:szCs w:val="24"/>
          <w:rtl w:val="0"/>
        </w:rPr>
        <w:t xml:space="preserve">The spring-loaded inverted pendulum (SLIP) is the simplest widely used mechanical model that actually has a walking-like gait cycle. At each step, the stance leg (Figure 3A, blue then red for successive steps) acts as a spring of fixed stiffness, launching the center of mass at some speed and angle; the return map connecting one step's touchdown state to the next has a stability value, ρ, that can be worked out analytically at every combination of leg stiffness and touchdown angle. We tested 153 combinations that are analytically stable and well-posed, plus three representative combinations – stable (ρ = 0.82), near the stability boundary (ρ = 1.00), and unstable (ρ = 1.12) – used as running examples throughout the figure (consistently colored blue, orange, and red).</w:t>
      </w:r>
    </w:p>
    <w:p w:rsidR="00000000" w:rsidDel="00000000" w:rsidP="00000000" w:rsidRDefault="00000000" w:rsidRPr="00000000" ns1:paraId="00000028">
      <w:pPr>
        <w:spacing w:after="160" w:before="160" w:lineRule="auto"/>
        <w:rPr>
          <w:sz w:val="24"/>
          <w:szCs w:val="24"/>
        </w:rPr>
      </w:pPr>
      <w:r w:rsidDel="00000000" w:rsidR="00000000" w:rsidRPr="00000000">
        <w:rPr>
          <w:sz w:val="24"/>
          <w:szCs w:val="24"/>
          <w:rtl w:val="0"/>
        </w:rPr>
        <w:t xml:space="preserve">The three representative trajectories look qualitatively different even before any model is fit: the stable case settles into a clean, repeating oscillation, the near-boundary case oscillates with only mild drift, and the unstable case grows until the simulated walker falls (Figure 3B). A single model fit to each trajectory's initial history window forecasts several strides ahead accurately in all three regimes, including the unstable one right up to the point of the fall (Figure 3C).</w:t>
      </w:r>
    </w:p>
    <w:p w:rsidR="00000000" w:rsidDel="00000000" w:rsidP="00000000" w:rsidRDefault="00000000" w:rsidRPr="00000000" ns1:paraId="00000029">
      <w:pPr>
        <w:spacing w:after="160" w:before="160" w:lineRule="auto"/>
        <w:rPr>
          <w:sz w:val="24"/>
          <w:szCs w:val="24"/>
        </w:rPr>
      </w:pPr>
      <w:r w:rsidDel="00000000" w:rsidR="00000000" w:rsidRPr="00000000">
        <w:rPr>
          <w:sz w:val="24"/>
          <w:szCs w:val="24"/>
          <w:rtl w:val="0"/>
        </w:rPr>
        <w:t xml:space="preserve">Here the fitted model's own spectrum and its response geometry come apart. Across the full 153-combination grid (Figure 3D shows the region of analytically guaranteed stability as a black contour, with the three representative points marked), the stability value read directly off the fitted operator's spectrum carries essentially no information about the true ρ (cross-validated R² = 0.004). That is not a subtle failure, and it has a simple cause: a limit cycle has neutral directions, so the fitted spectral radius sits at |λ| = 0.9997–0.9999 per sample across the entire grid, tracking the cycle rather than the rate at which disturbances off it decay. Replacing it with the largest eigenvalue away from the unit circle does not help, because the transverse multiplier is not resolved in these fits at all: per step, each fit shows one dominant conjugate pair at 0.96–0.99 and then a gap to 0.01–0.5, with nothing at the true ρ of 0.75–0.99.</w:t>
      </w:r>
    </w:p>
    <w:p w:rsidR="00000000" w:rsidDel="00000000" w:rsidP="00000000" w:rsidRDefault="00000000" w:rsidRPr="00000000" ns1:paraId="00000029">
      <w:pPr>
        <w:spacing w:after="160" w:before="160" w:lineRule="auto"/>
        <w:rPr>
          <w:sz w:val="24"/>
          <w:szCs w:val="24"/>
        </w:rPr>
      </w:pPr>
      <w:r w:rsidDel="00000000" w:rsidR="00000000" w:rsidRPr="00000000">
        <w:rPr>
          <w:sz w:val="24"/>
          <w:szCs w:val="24"/>
          <w:rtl w:val="0"/>
        </w:rPr>
        <w:t xml:space="preserve">The walker's own return map, by contrast, recovers ρ accurately, as it should — this system has an exactly period-matched Poincaré section, which is the setting the classical estimator was designed for. Estimating the Floquet decay rate directly from the return map gives a median absolute error of 0.022, against 0.112 for a decoder built from the full response-measure set and 0.185 for one built from transient amplification alone (Figure 3E). Where such a section exists, the classical estimator is the right tool and we use it as the reference here. Its one failure mode in our hands is short recordings: at 15% of the simulated trial length its median absolute error rises from 0.012 to 0.134, while the operator-based transverse estimate is unchanged at 0.043. Real gait recordings have no exactly period-matched section, which is why we do not apply it to the human data.</w:t>
      </w:r>
    </w:p>
    <w:p w:rsidR="00000000" w:rsidDel="00000000" w:rsidP="00000000" w:rsidRDefault="00000000" w:rsidRPr="00000000" ns1:paraId="00000029">
      <w:pPr>
        <w:spacing w:after="160" w:before="160" w:lineRule="auto"/>
        <w:rPr>
          <w:sz w:val="24"/>
          <w:szCs w:val="24"/>
        </w:rPr>
      </w:pPr>
      <w:r w:rsidDel="00000000" w:rsidR="00000000" w:rsidRPr="00000000">
        <w:rPr>
          <w:sz w:val="24"/>
          <w:szCs w:val="24"/>
          <w:rtl w:val="0"/>
        </w:rPr>
        <w:t xml:space="preserve">What the response measures add is that they carry information the spectrum of the same fit does not. Departure from normality (Figure 3F) and the model's frequency response (Figure 3G, which also shows the unstable regime's gain staying elevated across a wider range of stride-related rhythms than the stable regime's), transient amplification (Figure 3H) and coordination dimensionality (Figure 3I) each recover part of the variation in the true decay rate, and combined into a single decoder they reach R² = 0.42 (Figure 3J, rightmost) — from a fit whose spectral radius reaches 0.004. The fitted model does contain accurate information about how stable this walker is; that information simply is not in its eigenvalues.</w:t>
      </w:r>
    </w:p>
    <w:p w:rsidR="00000000" w:rsidDel="00000000" w:rsidP="00000000" w:rsidRDefault="00000000" w:rsidRPr="00000000" ns1:paraId="0000002A">
      <w:pPr>
        <w:spacing w:after="160" w:before="160" w:lineRule="auto"/>
        <w:rPr>
          <w:sz w:val="24"/>
          <w:szCs w:val="24"/>
        </w:rPr>
      </w:pPr>
      <w:r w:rsidDel="00000000" w:rsidR="00000000" w:rsidRPr="00000000">
        <w:rPr>
          <w:sz w:val="24"/>
          <w:szCs w:val="24"/>
        </w:rPr>
        <w:drawing>
          <ns2:inline distB="114300" distT="114300" distL="114300" distR="114300">
            <ns2:extent cx="5943600" cy="5524500"/>
            <ns2:effectExtent b="0" l="0" r="0" t="0"/>
            <ns2:docPr id="6" name="image2.png"/>
            <ns3:graphic>
              <ns3:graphicData uri="http://schemas.openxmlformats.org/drawingml/2006/picture">
                <ns4:pic>
                  <ns4:nvPicPr>
                    <ns4:cNvPr id="0" name="image2.png"/>
                    <ns4:cNvPicPr preferRelativeResize="0"/>
                  </ns4:nvPicPr>
                  <ns4:blipFill>
                    <ns3:blip ns5:embed="rId8"/>
                    <ns3:srcRect b="0" l="0" r="0" t="0"/>
                    <ns3:stretch>
                      <ns3:fillRect/>
                    </ns3:stretch>
                  </ns4:blipFill>
                  <ns4:spPr>
                    <ns3:xfrm>
                      <ns3:off x="0" y="0"/>
                      <ns3:ext cx="5943600" cy="55245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2B">
      <w:pPr>
        <w:spacing w:after="160" w:before="160" w:lineRule="auto"/>
        <w:rPr>
          <w:sz w:val="24"/>
          <w:szCs w:val="24"/>
        </w:rPr>
      </w:pPr>
      <w:r w:rsidDel="00000000" w:rsidR="00000000" w:rsidRPr="00000000">
        <w:rPr>
          <w:b w:val="1"/>
          <w:bCs w:val="1"/>
          <w:sz w:val="24"/>
          <w:szCs w:val="24"/>
          <w:rtl w:val="0"/>
        </w:rPr>
        <w:t xml:space="preserve">Figure 3. In a simple mechanical walking model (SLIP), the fitted operator's spectrum carries almost no information about stability while its response geometry does — even though the walker's own return map recovers it accurately. (A) Schematic of one return-map step: the stance leg (blue) launches the center of mass at the recorded speed and angle, becoming the next step's stance leg (red) at its own touchdown angle; k̃ labels the leg's dimensionless stiffness, and the return map itself is written at top. (B) Example center-of-mass paths for three representative regimes – stable (blue, ρ = 0.82), near the stability boundary (orange, ρ = 1.00), and unstable (red, ρ = 1.12, ending in a fall marked by the red burst of oscillation at right). (C) The same three regimes' vertical center-of-mass state (traces offset vertically for visual clarity) over time, with each trace's model fit over the shaded initial history window (solid) and forecast beyond it (dashed) overlaid on the true data. (D) Heatmap of the analytically computed return-map stability value ρ (diverging color scale) over angle of attack (horizontal axis) and dimensionless leg stiffness k̃ (vertical axis); the black contour marks the analytical stability boundary ρ = 1, dark maroon/white regions are combinations without a valid periodic gait, and the three colored squares mark the representative points from B and C. (E) Absolute decoding error for the true continuous-time Floquet decay rate, compared across three methods: a decoder built from transient amplification alone ("TG decoder"), a decoder built from the full response-measure set ("response set"), and direct estimation from the walker's own return map ("Return map"); horizontal bars mark each method's median. (F) Heatmap of departure from normality across the same grid as D, restricted to the analytically stable region (black contour), with the same three representative points marked. (G) Pooled frequency-response curves for the three representative regimes (colors as in B/C), showing gain relative to its value at the fundamental as a function of frequency divided by stride frequency; the unstable regime's gain stays elevated across a wider range of stride-related rhythms than the stable regime's. (H) Heatmap of transient amplification (log_{10} scale) across the same grid as D/F. (I) Heatmap of coordination dimensionality (participation ratio) across the same grid. (J) Five scatter panels sharing a common vertical axis, the true continuous-time Floquet decay rate: against the return-map decay estimate (leftmost; dashed line marks perfect agreement; ρ = 0.95, identity R² = 0.91), against departure from normality (ρ = 0.23), against transient amplification on a logarithmic horizontal axis (ρ = −0.61), against coordination dimensionality (ρ = 0.48), and against the combined response-set decoder's prediction (rightmost; dashed line marks perfect agreement; R² = 0.42); red lines are least-squares fits.</w:t>
      </w:r>
      <w:r w:rsidDel="00000000" w:rsidR="00000000" w:rsidRPr="00000000">
        <w:rPr>
          <w:sz w:val="24"/>
          <w:szCs w:val="24"/>
          <w:rtl w:val="0"/>
        </w:rPr>
        <w:t xml:space="preserve"/>
      </w:r>
    </w:p>
    <w:p w:rsidR="00000000" w:rsidDel="00000000" w:rsidP="00000000" w:rsidRDefault="00000000" w:rsidRPr="00000000" ns1:paraId="0000002C">
      <w:pPr>
        <w:pStyle w:val="Heading3"/>
        <w:keepNext w:val="0"/>
        <w:keepLines w:val="0"/>
        <w:spacing w:after="140" w:before="400" w:line="335.99999999999994" w:lineRule="auto"/>
        <w:rPr>
          <w:b w:val="1"/>
          <w:bCs w:val="1"/>
          <w:color w:val="000000"/>
          <w:sz w:val="30"/>
          <w:szCs w:val="30"/>
        </w:rPr>
      </w:pPr>
      <w:bookmarkStart w:colFirst="0" w:colLast="0" w:name="_57cdgowwra41" w:id="10"/>
      <w:bookmarkEnd w:id="10"/>
      <w:r w:rsidDel="00000000" w:rsidR="00000000" w:rsidRPr="00000000">
        <w:rPr>
          <w:b w:val="1"/>
          <w:bCs w:val="1"/>
          <w:color w:val="000000"/>
          <w:sz w:val="30"/>
          <w:szCs w:val="30"/>
          <w:rtl w:val="0"/>
        </w:rPr>
        <w:t xml:space="preserve">Three walking robots: accurate forecasts, an uninformative stability number, and interpretable routing</w:t>
      </w:r>
    </w:p>
    <w:p w:rsidR="00000000" w:rsidDel="00000000" w:rsidP="00000000" w:rsidRDefault="00000000" w:rsidRPr="00000000" ns1:paraId="0000002D">
      <w:pPr>
        <w:spacing w:after="160" w:before="160" w:lineRule="auto"/>
        <w:rPr>
          <w:sz w:val="24"/>
          <w:szCs w:val="24"/>
        </w:rPr>
      </w:pPr>
      <w:r w:rsidDel="00000000" w:rsidR="00000000" w:rsidRPr="00000000">
        <w:rPr>
          <w:sz w:val="24"/>
          <w:szCs w:val="24"/>
          <w:rtl w:val="0"/>
        </w:rPr>
        <w:t xml:space="preserve">Moving to real, multi-joint kinematics with known mechanics and control, we fit models to motion-capture recordings from three bipedal robots – Unitree H1, Boston Dynamics Atlas, and Unitree G1 – walking, running, and performing other locomotor behaviors on a shared set of ten joint angles (Figure 4A). An example held-out walking trial for one robot (Figure 4B) shows the fitted model's forecast tracking two of its ten joint angles closely for several strides beyond the initial history window. Across the full set of forecast horizons tested, the fitted models beat a strong phase-averaged baseline at 95% of the horizons tested for both walking and running gaits – by a factor of roughly two at half a second ahead, and still by two-thirds at four and a half seconds ahead, about four stride cycles (Figure 4C).</w:t>
      </w:r>
    </w:p>
    <w:p w:rsidR="00000000" w:rsidDel="00000000" w:rsidP="00000000" w:rsidRDefault="00000000" w:rsidRPr="00000000" ns1:paraId="0000002E">
      <w:pPr>
        <w:spacing w:after="160" w:before="160" w:lineRule="auto"/>
        <w:rPr>
          <w:sz w:val="24"/>
          <w:szCs w:val="24"/>
        </w:rPr>
      </w:pPr>
      <w:r w:rsidDel="00000000" w:rsidR="00000000" w:rsidRPr="00000000">
        <w:rPr>
          <w:sz w:val="24"/>
          <w:szCs w:val="24"/>
          <w:rtl w:val="0"/>
        </w:rPr>
        <w:t xml:space="preserve">Comparing the three robots directly, transient amplification during walking cleanly separates the three machines (Figure 4D) in a direction consistent with their differing mechanics and control software. (The classic stability number, by contrast, carries essentially zero information here: after the standard numerical safeguard used throughout this paper, it comes out equal to its theoretical maximum for every robot, on every recording – a result computed directly from the same fits underlying Figure 4D but not itself informative enough to plot.) Joint-to-joint routing at the shared stride frequency is qualitatively similar across all three machines, with the largest response concentrated in hip-flexion pathways on both sides regardless of platform (Figure 4E). Restricting to the two most directly comparable robots, routing is quantitatively similar as well – correlated at r = 0.91 across all 100 possible joint pathways, with no overall shift in how much total gain is routed (Figure 4F) – and the differences that do exist are redistributions concentrated in named hip-flexion and hip-rotation pathways, consistent with how the two platforms actuate the hip differently (Figure 4G).</w:t>
      </w:r>
    </w:p>
    <w:p w:rsidR="00000000" w:rsidDel="00000000" w:rsidP="00000000" w:rsidRDefault="00000000" w:rsidRPr="00000000" ns1:paraId="0000002F">
      <w:pPr>
        <w:spacing w:after="160" w:before="160" w:lineRule="auto"/>
        <w:rPr>
          <w:sz w:val="24"/>
          <w:szCs w:val="24"/>
        </w:rPr>
      </w:pPr>
      <w:r w:rsidDel="00000000" w:rsidR="00000000" w:rsidRPr="00000000">
        <w:rPr>
          <w:rtl w:val="0"/>
        </w:rPr>
      </w:r>
    </w:p>
    <w:p w:rsidR="00000000" w:rsidDel="00000000" w:rsidP="00000000" w:rsidRDefault="00000000" w:rsidRPr="00000000" ns1:paraId="00000030">
      <w:pPr>
        <w:spacing w:after="160" w:before="160" w:lineRule="auto"/>
        <w:rPr>
          <w:sz w:val="24"/>
          <w:szCs w:val="24"/>
        </w:rPr>
      </w:pPr>
      <w:r w:rsidDel="00000000" w:rsidR="00000000" w:rsidRPr="00000000">
        <w:rPr>
          <w:sz w:val="24"/>
          <w:szCs w:val="24"/>
        </w:rPr>
        <w:drawing>
          <ns2:inline distB="114300" distT="114300" distL="114300" distR="114300">
            <ns2:extent cx="5943600" cy="4673600"/>
            <ns2:effectExtent b="0" l="0" r="0" t="0"/>
            <ns2:docPr id="7" name="image5.png"/>
            <ns3:graphic>
              <ns3:graphicData uri="http://schemas.openxmlformats.org/drawingml/2006/picture">
                <ns4:pic>
                  <ns4:nvPicPr>
                    <ns4:cNvPr id="0" name="image5.png"/>
                    <ns4:cNvPicPr preferRelativeResize="0"/>
                  </ns4:nvPicPr>
                  <ns4:blipFill>
                    <ns3:blip ns5:embed="rId9"/>
                    <ns3:srcRect b="0" l="0" r="0" t="0"/>
                    <ns3:stretch>
                      <ns3:fillRect/>
                    </ns3:stretch>
                  </ns4:blipFill>
                  <ns4:spPr>
                    <ns3:xfrm>
                      <ns3:off x="0" y="0"/>
                      <ns3:ext cx="5943600" cy="46736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31">
      <w:pPr>
        <w:spacing w:after="160" w:before="160" w:lineRule="auto"/>
        <w:rPr>
          <w:sz w:val="24"/>
          <w:szCs w:val="24"/>
        </w:rPr>
      </w:pPr>
      <w:r w:rsidDel="00000000" w:rsidR="00000000" w:rsidRPr="00000000">
        <w:rPr>
          <w:b w:val="1"/>
          <w:bCs w:val="1"/>
          <w:sz w:val="24"/>
          <w:szCs w:val="24"/>
          <w:rtl w:val="0"/>
        </w:rPr>
        <w:t xml:space="preserve">Figure 4. Three walking robots: accurate multi-cycle forecasts, a classic stability number that carries no information at all, and joint-routing differences consistent with known differences between the machines.</w:t>
      </w:r>
      <w:r w:rsidDel="00000000" w:rsidR="00000000" w:rsidRPr="00000000">
        <w:rPr>
          <w:sz w:val="24"/>
          <w:szCs w:val="24"/>
          <w:rtl w:val="0"/>
        </w:rPr>
        <w:t xml:space="preserve"> (A) Schematic of the validation setup: locomotor behaviors tested (walk, run, random walk, step-in-place) and the three robots' mechanics (Unitree H1, ten degrees of freedom per leg; Boston Dynamics Atlas, which additionally has ankle abduction; Unitree G1), illustrated with a simplified stick figure showing the shared knee (blue/red) and ankle joints. (B) An example held-out walking trial for one robot: hip flexion (blue) and knee flexion (red) joint angles over time, true data (solid) versus the model's forecast (dashed), with the initial history window shaded. (C) Forecast accuracy (normalized RMSE) versus forecast horizon for walking (blue) and running (green); solid lines are the fitted model's rollout, dotted lines are a training-derived phase-average template baseline for the same two conditions. (D) Transient amplification (log_{10} scale) during walking for each of the three robots, individual trials shown as jittered points with the group mean ± SEM overlaid. (E) Joint-routing heatmaps at the shared stride frequency for all three robots, on a common ego-centered set of ten joint labels (hip rotation, adduction, and flexion; knee; ankle pitch; bilaterally); color indicates each pathway's gain as a fraction of that robot's total routed gain. (F) Scatter of all 100 shared joint-to-joint pathways' routed gain, Atlas versus Unitree H1; gray circles are cross-joint pathways, dark diamonds are self-pathways (a joint's output as driven by its own input), and the eight numbered, colored points are the largest-magnitude differences between the two robots (blue = H1 routes more, red = Atlas routes more), matching the numbering in G; the dashed line marks equal routing in both robots. (G) The same eight pathways, named, as signed differences (Atlas minus H1); blue bars indicate H1 routes more along that pathway, red bars indicate Atlas routes more.</w:t>
      </w:r>
    </w:p>
    <w:p w:rsidR="00000000" w:rsidDel="00000000" w:rsidP="00000000" w:rsidRDefault="00000000" w:rsidRPr="00000000" ns1:paraId="00000032">
      <w:pPr>
        <w:pStyle w:val="Heading3"/>
        <w:keepNext w:val="0"/>
        <w:keepLines w:val="0"/>
        <w:spacing w:after="140" w:before="400" w:line="335.99999999999994" w:lineRule="auto"/>
        <w:rPr>
          <w:b w:val="1"/>
          <w:bCs w:val="1"/>
          <w:color w:val="000000"/>
          <w:sz w:val="30"/>
          <w:szCs w:val="30"/>
        </w:rPr>
      </w:pPr>
      <w:bookmarkStart w:colFirst="0" w:colLast="0" w:name="_hukolh6sude1" w:id="11"/>
      <w:bookmarkEnd w:id="11"/>
      <w:r w:rsidDel="00000000" w:rsidR="00000000" w:rsidRPr="00000000">
        <w:rPr>
          <w:b w:val="1"/>
          <w:bCs w:val="1"/>
          <w:color w:val="000000"/>
          <w:sz w:val="30"/>
          <w:szCs w:val="30"/>
          <w:rtl w:val="0"/>
        </w:rPr>
        <w:t xml:space="preserve">Able-bodied human walking: accurate models with systematic speed dependence</w:t>
      </w:r>
    </w:p>
    <w:p w:rsidR="00000000" w:rsidDel="00000000" w:rsidP="00000000" w:rsidRDefault="00000000" w:rsidRPr="00000000" ns1:paraId="00000033">
      <w:pPr>
        <w:spacing w:after="160" w:before="160" w:lineRule="auto"/>
        <w:rPr>
          <w:i w:val="1"/>
          <w:iCs w:val="1"/>
          <w:sz w:val="24"/>
          <w:szCs w:val="24"/>
        </w:rPr>
      </w:pPr>
      <w:r w:rsidDel="00000000" w:rsidR="00000000" w:rsidRPr="00000000">
        <w:rPr>
          <w:sz w:val="24"/>
          <w:szCs w:val="24"/>
          <w:rtl w:val="0"/>
        </w:rPr>
        <w:t xml:space="preserve">We fit models to 150 treadmill-walking recordings from 17 healthy young adults spanning a wide range of speeds (Figure 5A).</w:t>
      </w:r>
      <w:r w:rsidDel="00000000" w:rsidR="00000000" w:rsidRPr="00000000">
        <w:rPr>
          <w:rtl w:val="0"/>
        </w:rPr>
      </w:r>
    </w:p>
    <w:p w:rsidR="00000000" w:rsidDel="00000000" w:rsidP="00000000" w:rsidRDefault="00000000" w:rsidRPr="00000000" ns1:paraId="00000034">
      <w:pPr>
        <w:spacing w:after="160" w:before="160" w:lineRule="auto"/>
        <w:rPr>
          <w:sz w:val="24"/>
          <w:szCs w:val="24"/>
        </w:rPr>
      </w:pPr>
      <w:r w:rsidDel="00000000" w:rsidR="00000000" w:rsidRPr="00000000">
        <w:rPr>
          <w:sz w:val="24"/>
          <w:szCs w:val="24"/>
          <w:rtl w:val="0"/>
        </w:rPr>
        <w:t xml:space="preserve">The fitted models are genuinely useful forecasting tools, not just descriptive summaries. An example held-out trial (Figure 5B) shows the forecast tracking three joint angles closely well beyond the initial history window. Rolling a model forward from that window, forecast error on unseen data remains small through roughly two full stride cycles and stays modest even ten stride cycles ahead; the models also outperform a carefully constructed phase-averaged baseline at every forecast horizon tested, by a margin of roughly 60% at short horizons narrowing to about 25% at the longest horizon tested (Figure 5C; statistically decisive at every horizon, and the fitted model was more accurate than the baseline for the large majority of subjects at the longest horizon). A phase-averaged template is a static picture of the average stride; it cannot be perturbed, forced, or asked about which joint drives which. The fitted model is a genuine dynamical description that forecasts at least as well and additionally supports every analysis that follows.</w:t>
      </w:r>
    </w:p>
    <w:p w:rsidR="00000000" w:rsidDel="00000000" w:rsidP="00000000" w:rsidRDefault="00000000" w:rsidRPr="00000000" ns1:paraId="00000035">
      <w:pPr>
        <w:spacing w:after="160" w:before="160" w:lineRule="auto"/>
        <w:rPr>
          <w:sz w:val="24"/>
          <w:szCs w:val="24"/>
        </w:rPr>
      </w:pPr>
      <w:r w:rsidDel="00000000" w:rsidR="00000000" w:rsidRPr="00000000">
        <w:rPr>
          <w:sz w:val="24"/>
          <w:szCs w:val="24"/>
          <w:rtl w:val="0"/>
        </w:rPr>
        <w:t xml:space="preserve">The response profile itself shifts with walking speed in a way that is consistent within each person. As people walk faster, transient amplification and coordination dimensionality both systematically decrease, while departure from normality shows the same downward trend less consistently (Figure 5D, left to right); at the same time, frequency-tuning sharpness increases with speed (Figure 5F). Consistent with sharper tuning, the model's pooled frequency response is broader and more variable at slow speeds and tightens visibly around the stride rhythm and its harmonics at fast speeds (Figure 5E). In plain terms: faster walking is associated with a model that recruits fewer independent coordination patterns, amplifies disturbances less, and is more narrowly tuned to the stride rhythm.</w:t>
      </w:r>
    </w:p>
    <w:p w:rsidR="00000000" w:rsidDel="00000000" w:rsidP="00000000" w:rsidRDefault="00000000" w:rsidRPr="00000000" ns1:paraId="00000036">
      <w:pPr>
        <w:spacing w:after="160" w:before="160" w:lineRule="auto"/>
        <w:rPr>
          <w:sz w:val="24"/>
          <w:szCs w:val="24"/>
        </w:rPr>
      </w:pPr>
      <w:r w:rsidDel="00000000" w:rsidR="00000000" w:rsidRPr="00000000">
        <w:rPr>
          <w:sz w:val="24"/>
          <w:szCs w:val="24"/>
          <w:rtl w:val="0"/>
        </w:rPr>
        <w:t xml:space="preserve">Joint routing shifts in parallel. Pooled across every trial regardless of speed, the largest routing pathways run into the hips and knees on both sides, with comparatively little response reaching the ankles (Figure 5G); this pooled map is the baseline against which speed-related shifts in individual pathways can be read. Selecting the pathways whose gain changes most from slow to fast walking, several of the largest increases run into the hips while several of the largest decreases run into the knees, so that the balance of routing moves from knee-driven toward hip-driven as speed increases (Figure 5H).</w:t>
      </w:r>
    </w:p>
    <w:p w:rsidR="00000000" w:rsidDel="00000000" w:rsidP="00000000" w:rsidRDefault="00000000" w:rsidRPr="00000000" ns1:paraId="00000037">
      <w:pPr>
        <w:spacing w:after="160" w:before="160" w:lineRule="auto"/>
        <w:rPr>
          <w:sz w:val="24"/>
          <w:szCs w:val="24"/>
        </w:rPr>
      </w:pPr>
      <w:r w:rsidDel="00000000" w:rsidR="00000000" w:rsidRPr="00000000">
        <w:rPr>
          <w:rtl w:val="0"/>
        </w:rPr>
      </w:r>
    </w:p>
    <w:p w:rsidR="00000000" w:rsidDel="00000000" w:rsidP="00000000" w:rsidRDefault="00000000" w:rsidRPr="00000000" ns1:paraId="00000038">
      <w:pPr>
        <w:spacing w:after="160" w:before="160" w:lineRule="auto"/>
        <w:rPr>
          <w:sz w:val="24"/>
          <w:szCs w:val="24"/>
        </w:rPr>
      </w:pPr>
      <w:r w:rsidDel="00000000" w:rsidR="00000000" w:rsidRPr="00000000">
        <w:rPr>
          <w:sz w:val="24"/>
          <w:szCs w:val="24"/>
        </w:rPr>
        <w:drawing>
          <ns2:inline distB="114300" distT="114300" distL="114300" distR="114300">
            <ns2:extent cx="5943600" cy="5029200"/>
            <ns2:effectExtent b="0" l="0" r="0" t="0"/>
            <ns2:docPr id="1" name="image4.png"/>
            <ns3:graphic>
              <ns3:graphicData uri="http://schemas.openxmlformats.org/drawingml/2006/picture">
                <ns4:pic>
                  <ns4:nvPicPr>
                    <ns4:cNvPr id="0" name="image4.png"/>
                    <ns4:cNvPicPr preferRelativeResize="0"/>
                  </ns4:nvPicPr>
                  <ns4:blipFill>
                    <ns3:blip ns5:embed="rId10"/>
                    <ns3:srcRect b="0" l="0" r="0" t="0"/>
                    <ns3:stretch>
                      <ns3:fillRect/>
                    </ns3:stretch>
                  </ns4:blipFill>
                  <ns4:spPr>
                    <ns3:xfrm>
                      <ns3:off x="0" y="0"/>
                      <ns3:ext cx="5943600" cy="50292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39">
      <w:pPr>
        <w:spacing w:after="160" w:before="160" w:lineRule="auto"/>
        <w:rPr>
          <w:sz w:val="24"/>
          <w:szCs w:val="24"/>
        </w:rPr>
      </w:pPr>
      <w:r w:rsidDel="00000000" w:rsidR="00000000" w:rsidRPr="00000000">
        <w:rPr>
          <w:b w:val="1"/>
          <w:bCs w:val="1"/>
          <w:sz w:val="24"/>
          <w:szCs w:val="24"/>
          <w:rtl w:val="0"/>
        </w:rPr>
        <w:t xml:space="preserve">Figure 5. Able-bodied human walking: accurate forecasts and systematic, reproducible speed-related shifts in the response profile and joint routing.</w:t>
      </w:r>
      <w:r w:rsidDel="00000000" w:rsidR="00000000" w:rsidRPr="00000000">
        <w:rPr>
          <w:sz w:val="24"/>
          <w:szCs w:val="24"/>
          <w:rtl w:val="0"/>
        </w:rPr>
        <w:t xml:space="preserve"> (A) Schematic of the analysis pipeline applied to 150 able-bodied walking trials from 17 subjects (Healthy Young Adult study only; see Methods). (B) An example held-out trial: left hip (blue), knee (red), and ankle (green) joint angles over time, true data (solid) versus the model's forecast (dashed), with the initial history window shaded. (C) Forecast accuracy (normalized RMSE, mean ± across-subject band) versus forecast horizon for the fitted model (blue) and a phase-averaged template baseline (dashed black). (D) Three scatter/line panels – departure from normality, transient amplification (log_{10} scale), and coordination dimensionality – each plotted against walking speed, with each subject's trials connected by a thin line and colored by subject identity. (E) Frequency-response curves, each normalized by its own value at the stride frequency, pooled within three speed bins (slow, middle, fast); shaded bands are SEM; vertical dashed lines mark integer multiples of the stride frequency. (F) Frequency-tuning sharpness (Q-factor) versus walking speed, same per-subject styling as D; axis capped at 125 for readability (noted on the panel). (G) Heatmap of joint-to-joint routing (mean normalized gain) pooled across every trial in this figure, regardless of speed – the baseline against which the speed-related shifts in H are read. (H) The six joint-to-joint pathways whose routed gain changes most from slow to fast walking, plotted as mean normalized gain (± SEM) across the three speed bins; solid versus dashed lines and the color key distinguish the six named pathways.</w:t>
      </w:r>
    </w:p>
    <w:p w:rsidR="00000000" w:rsidDel="00000000" w:rsidP="00000000" w:rsidRDefault="00000000" w:rsidRPr="00000000" ns1:paraId="0000003A">
      <w:pPr>
        <w:pStyle w:val="Heading3"/>
        <w:keepNext w:val="0"/>
        <w:keepLines w:val="0"/>
        <w:spacing w:after="140" w:before="400" w:line="335.99999999999994" w:lineRule="auto"/>
        <w:rPr>
          <w:b w:val="1"/>
          <w:bCs w:val="1"/>
          <w:color w:val="000000"/>
          <w:sz w:val="30"/>
          <w:szCs w:val="30"/>
        </w:rPr>
      </w:pPr>
      <w:bookmarkStart w:colFirst="0" w:colLast="0" w:name="_mfum1qjad0mg" w:id="12"/>
      <w:bookmarkEnd w:id="12"/>
      <w:r w:rsidDel="00000000" w:rsidR="00000000" w:rsidRPr="00000000">
        <w:rPr>
          <w:b w:val="1"/>
          <w:bCs w:val="1"/>
          <w:color w:val="000000"/>
          <w:sz w:val="30"/>
          <w:szCs w:val="30"/>
          <w:rtl w:val="0"/>
        </w:rPr>
        <w:t xml:space="preserve">Post-stroke walking: a graded routing change centered on the paretic knee</w:t>
      </w:r>
    </w:p>
    <w:p w:rsidR="00000000" w:rsidDel="00000000" w:rsidP="00000000" w:rsidRDefault="00000000" w:rsidRPr="00000000" ns1:paraId="0000003B">
      <w:pPr>
        <w:spacing w:after="160" w:before="160" w:lineRule="auto"/>
        <w:rPr>
          <w:sz w:val="24"/>
          <w:szCs w:val="24"/>
        </w:rPr>
      </w:pPr>
      <w:r w:rsidDel="00000000" w:rsidR="00000000" w:rsidRPr="00000000">
        <w:rPr>
          <w:sz w:val="24"/>
          <w:szCs w:val="24"/>
          <w:rtl w:val="0"/>
        </w:rPr>
        <w:t xml:space="preserve">We applied the identical measures to 149 recordings from a post-stroke gait study: 30 able-bodied control trials, 65 trials from higher-functioning stroke survivors, and 54 from lower-functioning stroke survivors.</w:t>
      </w:r>
    </w:p>
    <w:p w:rsidR="00000000" w:rsidDel="00000000" w:rsidP="00000000" w:rsidRDefault="00000000" w:rsidRPr="00000000" ns1:paraId="0000003C">
      <w:pPr>
        <w:spacing w:after="160" w:before="160" w:lineRule="auto"/>
        <w:rPr>
          <w:sz w:val="24"/>
          <w:szCs w:val="24"/>
        </w:rPr>
      </w:pPr>
      <w:r w:rsidDel="00000000" w:rsidR="00000000" w:rsidRPr="00000000">
        <w:rPr>
          <w:sz w:val="24"/>
          <w:szCs w:val="24"/>
          <w:rtl w:val="0"/>
        </w:rPr>
        <w:t xml:space="preserve">In this cohort, transient amplification is graded by walking ability: it is clearly elevated in lower-functioning stroke survivors relative to both higher-functioning survivors and able-bodied controls, while higher-functioning survivors are not reliably distinguishable from the able-bodied controls in this measure (Figure 6A, middle panel). Departure from normality and coordination dimensionality (Figure 6A, left and right panels) show a broadly similar ordering across groups. Two caveats belong alongside this result: the three groups differ substantially in their walking speeds (with essentially no overlap between the able-bodied and lower-functioning groups), so speed and impairment cannot be fully separated in this comparison; and the able-bodied reference group here is only five subjects.</w:t>
      </w:r>
    </w:p>
    <w:p w:rsidR="00000000" w:rsidDel="00000000" w:rsidP="00000000" w:rsidRDefault="00000000" w:rsidRPr="00000000" ns1:paraId="0000003D">
      <w:pPr>
        <w:spacing w:after="160" w:before="160" w:lineRule="auto"/>
        <w:rPr>
          <w:sz w:val="24"/>
          <w:szCs w:val="24"/>
        </w:rPr>
      </w:pPr>
      <w:r w:rsidDel="00000000" w:rsidR="00000000" w:rsidRPr="00000000">
        <w:rPr>
          <w:sz w:val="24"/>
          <w:szCs w:val="24"/>
          <w:rtl w:val="0"/>
        </w:rPr>
        <w:t xml:space="preserve">The group-averaged frequency response (Figure 6B) is elevated across the stride fundamental and its first several harmonics in both stroke groups relative to able-bodied controls, most prominently in the lower-functioning group. Frequency-tuning sharpness, by contrast, did not differ reliably between groups in this comparison (Figure 6C).</w:t>
      </w:r>
    </w:p>
    <w:p w:rsidR="00000000" w:rsidDel="00000000" w:rsidP="00000000" w:rsidRDefault="00000000" w:rsidRPr="00000000" ns1:paraId="0000003E">
      <w:pPr>
        <w:spacing w:after="160" w:before="160" w:lineRule="auto"/>
        <w:rPr>
          <w:sz w:val="24"/>
          <w:szCs w:val="24"/>
        </w:rPr>
      </w:pPr>
      <w:r w:rsidDel="00000000" w:rsidR="00000000" w:rsidRPr="00000000">
        <w:rPr>
          <w:sz w:val="24"/>
          <w:szCs w:val="24"/>
          <w:rtl w:val="0"/>
        </w:rPr>
        <w:t xml:space="preserve">Joint routing localizes where this reorganization happens. The able-bodied group's mean routing map (Figure 6D) is broadly similar in shape to the group-averaged map already shown for this population in Figure 5G. The higher-functioning stroke group's map (Figure 6E) is qualitatively similar in shape but shifted toward the non-paretic knee as an input, with non-paretic-knee input rising 19–28% above able-bodied across its paretic-knee, paretic-ankle and non-paretic-ankle targets — the signature one would expect if the sound limb were being loaded more heavily to absorb what the paretic limb does not. The lower-functioning group's map (Figure 6F) shows this shift most strongly, with the largest single response in the entire figure concentrated at non-paretic-knee input driving non-paretic-knee and non-paretic-hip output, and comparatively little reaching the paretic side at all. That group also routes more strongly out of the paretic hip and into the non-paretic limb — paretic-hip-to-non-paretic-knee at 1.36 times the able-bodied value and paretic-hip-to-non-paretic-hip at 1.14 — where the higher-functioning group shows no such elevation (1.00 and 0.93 respectively). This is what a hip-hiking or circumduction strategy would look like in routing terms: disturbances arising at the paretic hip are passed across to the sound side to be handled there rather than resolved locally.</w:t>
      </w:r>
    </w:p>
    <w:p w:rsidR="00000000" w:rsidDel="00000000" w:rsidP="00000000" w:rsidRDefault="00000000" w:rsidRPr="00000000" ns1:paraId="0000003F">
      <w:pPr>
        <w:spacing w:after="160" w:before="160" w:lineRule="auto"/>
        <w:rPr>
          <w:sz w:val="24"/>
          <w:szCs w:val="24"/>
        </w:rPr>
      </w:pPr>
      <w:r w:rsidDel="00000000" w:rsidR="00000000" w:rsidRPr="00000000">
        <w:rPr>
          <w:sz w:val="24"/>
          <w:szCs w:val="24"/>
          <w:rtl w:val="0"/>
        </w:rPr>
        <w:t xml:space="preserve">Because each routing map in Figure 6D–F is expressed as a proportion of that group's own total response rather than in absolute units, this reorganization is not simply a rescaling of the same pattern — it is a genuine redistribution, made explicit in Figure 6G and 6H. Comparing how much of the routed response arrives at the paretic versus the non-paretic side, the paretic limb consistently receives less, and does so more severely with worse function — an effect concentrated specifically at the knee rather than distributed evenly across the limb, while ankle routing shows no group difference at all (Figure 6G). Breaking this down by specific hip and knee pathways (Figure 6H), both stroke groups show reduced routing along the two pathways originating at the hip (hip-to-hip and hip-to-knee), while pathways originating at the knee diverge by severity: the higher-functioning group shows slightly increased knee-to-hip and knee-to-knee routing relative to able-bodied controls, while the lower-functioning group shows a reduction specifically along the knee-to-hip pathway. The higher-functioning group's paretic-side deficit in Figure 6G was roughly a third the size of the lower-functioning group's, and the difference between the two stroke groups was itself statistically reliable.</w:t>
      </w:r>
    </w:p>
    <w:p w:rsidR="00000000" w:rsidDel="00000000" w:rsidP="00000000" w:rsidRDefault="00000000" w:rsidRPr="00000000" ns1:paraId="00000040">
      <w:pPr>
        <w:spacing w:after="160" w:before="160" w:lineRule="auto"/>
        <w:rPr>
          <w:sz w:val="24"/>
          <w:szCs w:val="24"/>
        </w:rPr>
      </w:pPr>
      <w:r w:rsidDel="00000000" w:rsidR="00000000" w:rsidRPr="00000000">
        <w:rPr>
          <w:sz w:val="24"/>
          <w:szCs w:val="24"/>
          <w:rtl w:val="0"/>
        </w:rPr>
        <w:t xml:space="preserve">We also screened whether any single response measure predicted standard clinical balance and impairment scores (the Berg Balance Scale and the Fugl-Meyer assessment) better than a simple walking-speed baseline (Figure 6I). Walking speed alone was a moderate predictor of the Berg Balance Scale (r = 0.70) and a weak predictor of the Fugl-Meyer assessment (Figure 6I, top row). Among the screened response measures, the strongest association with the Berg Balance Scale was the change with walking speed in paretic-hip-to-non-paretic-hip routing — the same cross-body pathway elevated in the lower-functioning group above — which modestly exceeded the speed baseline (r = 0.71); the strongest association with the Fugl-Meyer assessment was a change in a knee-to-hip routing pathway, which exceeded its own speed baseline by a wider margin but remained weak in absolute terms (Figure 6I, bottom row). As the figure's own footnote states, each was the strongest of 46 candidate measures screened, so those associations are optimistic and none survived correction for that screen. We report this directly, as a benchmark for future, larger, purpose-designed studies rather than as an established clinical marker.</w:t>
      </w:r>
    </w:p>
    <w:p w:rsidR="00000000" w:rsidDel="00000000" w:rsidP="00000000" w:rsidRDefault="00000000" w:rsidRPr="00000000" ns1:paraId="00000041">
      <w:pPr>
        <w:spacing w:after="160" w:before="160" w:lineRule="auto"/>
        <w:rPr>
          <w:sz w:val="24"/>
          <w:szCs w:val="24"/>
        </w:rPr>
      </w:pPr>
      <w:r w:rsidDel="00000000" w:rsidR="00000000" w:rsidRPr="00000000">
        <w:rPr>
          <w:rtl w:val="0"/>
        </w:rPr>
      </w:r>
    </w:p>
    <w:p w:rsidR="00000000" w:rsidDel="00000000" w:rsidP="00000000" w:rsidRDefault="00000000" w:rsidRPr="00000000" ns1:paraId="00000042">
      <w:pPr>
        <w:spacing w:after="160" w:before="160" w:lineRule="auto"/>
        <w:rPr>
          <w:sz w:val="24"/>
          <w:szCs w:val="24"/>
        </w:rPr>
      </w:pPr>
      <w:r w:rsidDel="00000000" w:rsidR="00000000" w:rsidRPr="00000000">
        <w:rPr>
          <w:sz w:val="24"/>
          <w:szCs w:val="24"/>
        </w:rPr>
        <w:drawing>
          <ns2:inline distB="114300" distT="114300" distL="114300" distR="114300">
            <ns2:extent cx="5943600" cy="7734300"/>
            <ns2:effectExtent b="0" l="0" r="0" t="0"/>
            <ns2:docPr id="5" name="image6.png"/>
            <ns3:graphic>
              <ns3:graphicData uri="http://schemas.openxmlformats.org/drawingml/2006/picture">
                <ns4:pic>
                  <ns4:nvPicPr>
                    <ns4:cNvPr id="0" name="image6.png"/>
                    <ns4:cNvPicPr preferRelativeResize="0"/>
                  </ns4:nvPicPr>
                  <ns4:blipFill>
                    <ns3:blip ns5:embed="rId11"/>
                    <ns3:srcRect b="0" l="0" r="0" t="0"/>
                    <ns3:stretch>
                      <ns3:fillRect/>
                    </ns3:stretch>
                  </ns4:blipFill>
                  <ns4:spPr>
                    <ns3:xfrm>
                      <ns3:off x="0" y="0"/>
                      <ns3:ext cx="5943600" cy="77343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43">
      <w:pPr>
        <w:spacing w:after="160" w:before="160" w:lineRule="auto"/>
        <w:rPr>
          <w:sz w:val="24"/>
          <w:szCs w:val="24"/>
        </w:rPr>
      </w:pPr>
      <w:r w:rsidDel="00000000" w:rsidR="00000000" w:rsidRPr="00000000">
        <w:rPr>
          <w:b w:val="1"/>
          <w:bCs w:val="1"/>
          <w:sz w:val="24"/>
          <w:szCs w:val="24"/>
          <w:rtl w:val="0"/>
        </w:rPr>
        <w:t xml:space="preserve">Figure 6. Post-stroke walking: severity-graded transient amplification and frequency response, joint-routing maps, and a paretic-limb routing deficit concentrated at the knee.</w:t>
      </w:r>
      <w:r w:rsidDel="00000000" w:rsidR="00000000" w:rsidRPr="00000000">
        <w:rPr>
          <w:sz w:val="24"/>
          <w:szCs w:val="24"/>
          <w:rtl w:val="0"/>
        </w:rPr>
        <w:t xml:space="preserve"> (A) Three scatter/line panels – departure from normality, transient amplification (log_{10} scale), and coordination dimensionality – each plotted against walking speed, colored by group (able-bodied, blue; higher-functioning stroke, orange; lower-functioning stroke, purple; legend in the left panel). (B) Group-mean frequency-response curves (log scale), each group's shaded band showing SEM across trials; vertical dashed lines mark integer multiples of the stride frequency. (C) Frequency-tuning sharpness (Q-factor) versus walking speed, colored by group as in A; axis capped at 125. (D–F) Mean joint-routing heatmaps, on a shared color scale, for the able-bodied (D), higher-functioning stroke (E), and lower-functioning stroke (F) groups; joints are labeled paretic (P) or non-paretic (NP) hip, knee, and ankle (able-bodied trials use an assumed right/left-as-non-dominant convention; see Methods). (G) Paretic-minus-non-paretic routed gain by output joint (hip, knee, ankle), for the higher-functioning (orange) and lower-functioning (purple) groups, with error bars; values below zero indicate reduced output from the paretic side. (H) Change in routed gain relative to the able-bodied mean, for four named hip- and knee-related input-to-output pathways, colored by group as in G. (I) Clinical-association screen, titled to reflect its exploratory status. Top row: Berg Balance Scale (left) and Fugl-Meyer assessment (right) against each subject's median walking speed, with Pearson r and R² annotated. Bottom row: each scale against its single best-screened response measure – a harmonic balance slope for Berg (orange), a knee-to-hip routing-pathway rank for Fugl-Meyer (purple) – with the same statistics annotated; the panel's footnote states that each was selected from 44 screened candidate measures and none survives correction for that screen.</w:t>
      </w:r>
    </w:p>
    <w:p w:rsidR="00000000" w:rsidDel="00000000" w:rsidP="00000000" w:rsidRDefault="00000000" w:rsidRPr="00000000" ns1:paraId="00000044">
      <w:pPr>
        <w:pStyle w:val="Heading3"/>
        <w:keepNext w:val="0"/>
        <w:keepLines w:val="0"/>
        <w:spacing w:after="140" w:before="400" w:line="335.99999999999994" w:lineRule="auto"/>
        <w:rPr>
          <w:b w:val="1"/>
          <w:bCs w:val="1"/>
          <w:color w:val="000000"/>
          <w:sz w:val="30"/>
          <w:szCs w:val="30"/>
        </w:rPr>
      </w:pPr>
      <w:bookmarkStart w:colFirst="0" w:colLast="0" w:name="_nbip2ertf8mx" w:id="13"/>
      <w:bookmarkEnd w:id="13"/>
      <w:r w:rsidDel="00000000" w:rsidR="00000000" w:rsidRPr="00000000">
        <w:rPr>
          <w:b w:val="1"/>
          <w:bCs w:val="1"/>
          <w:color w:val="000000"/>
          <w:sz w:val="30"/>
          <w:szCs w:val="30"/>
          <w:rtl w:val="0"/>
        </w:rPr>
        <w:t xml:space="preserve">Individual walking signatures</w:t>
      </w:r>
    </w:p>
    <w:p w:rsidR="00000000" w:rsidDel="00000000" w:rsidP="00000000" w:rsidRDefault="00000000" w:rsidRPr="00000000" ns1:paraId="00000045">
      <w:pPr>
        <w:spacing w:after="160" w:before="160" w:lineRule="auto"/>
        <w:rPr>
          <w:sz w:val="24"/>
          <w:szCs w:val="24"/>
        </w:rPr>
      </w:pPr>
      <w:r w:rsidDel="00000000" w:rsidR="00000000" w:rsidRPr="00000000">
        <w:rPr>
          <w:sz w:val="24"/>
          <w:szCs w:val="24"/>
          <w:rtl w:val="0"/>
        </w:rPr>
        <w:t xml:space="preserve">The group-level comparisons above ask whether stroke survivors differ from healthy controls on average. The more clinically useful question is different: given one person's recording, how far is their control routing from what is typical, which specific pathways explain that difference, and is that description specific enough to identify them – not just their diagnosis?</w:t>
      </w:r>
    </w:p>
    <w:p w:rsidR="00000000" w:rsidDel="00000000" w:rsidP="00000000" w:rsidRDefault="00000000" w:rsidRPr="00000000" ns1:paraId="00000046">
      <w:pPr>
        <w:spacing w:after="160" w:before="160" w:lineRule="auto"/>
        <w:rPr>
          <w:sz w:val="24"/>
          <w:szCs w:val="24"/>
        </w:rPr>
      </w:pPr>
      <w:r w:rsidDel="00000000" w:rsidR="00000000" w:rsidRPr="00000000">
        <w:rPr>
          <w:sz w:val="24"/>
          <w:szCs w:val="24"/>
          <w:rtl w:val="0"/>
        </w:rPr>
        <w:t xml:space="preserve">To ask this, we pooled every human recording from both source studies – 299 trials from 42 subjects in total – using only the joint-to-joint routing pattern, expressed as a proportion of each trial's own total response. Plotting every subject along the two directions described below, the two able-bodied cohorts (filled versus open circles in Figure 7A) sit far closer to each other than either does to the stroke groups, and do not separate from one another on either axis (annotated directly on the panel).</w:t>
      </w:r>
    </w:p>
    <w:p w:rsidR="00000000" w:rsidDel="00000000" w:rsidP="00000000" w:rsidRDefault="00000000" w:rsidRPr="00000000" ns1:paraId="00000047">
      <w:pPr>
        <w:spacing w:after="160" w:before="160" w:lineRule="auto"/>
        <w:rPr>
          <w:sz w:val="24"/>
          <w:szCs w:val="24"/>
        </w:rPr>
      </w:pPr>
      <w:r w:rsidDel="00000000" w:rsidR="00000000" w:rsidRPr="00000000">
        <w:rPr>
          <w:sz w:val="24"/>
          <w:szCs w:val="24"/>
          <w:rtl w:val="0"/>
        </w:rPr>
        <w:t xml:space="preserve">Each person's routing pattern is then expressed as a deviation from a healthy-adult reference, in units of how much healthy adults typically vary on each pathway. The size of that deviation is an individual abnormality score, plotted by group in Figure 7B; it is cleanly graded by walking ability, rising from healthy adults through higher- to lower-functioning stroke survivors, and, again, the two source studies' healthy-adult cohorts do not differ from one another on this score.</w:t>
      </w:r>
    </w:p>
    <w:p w:rsidR="00000000" w:rsidDel="00000000" w:rsidP="00000000" w:rsidRDefault="00000000" w:rsidRPr="00000000" ns1:paraId="00000048">
      <w:pPr>
        <w:spacing w:after="160" w:before="160" w:lineRule="auto"/>
        <w:rPr>
          <w:sz w:val="24"/>
          <w:szCs w:val="24"/>
        </w:rPr>
      </w:pPr>
      <w:r w:rsidDel="00000000" w:rsidR="00000000" w:rsidRPr="00000000">
        <w:rPr>
          <w:sz w:val="24"/>
          <w:szCs w:val="24"/>
          <w:rtl w:val="0"/>
        </w:rPr>
        <w:t xml:space="preserve">Decomposing the direction of each person's deviation, a single shared pattern accounts for nearly half of the variation among stroke survivors' deviations (Figure 7C) and is dominated by reduced routing specifically into the paretic knee – the same finding as the direct group comparison in Figure 6G. A second, independent pattern (Figure 7D) describes how much control transfers across the two limbs, and it is not graded by severity – it distinguishes patients who share the same overall abnormality score, which is exactly the kind of information a single severity number cannot provide.</w:t>
      </w:r>
    </w:p>
    <w:p w:rsidR="00000000" w:rsidDel="00000000" w:rsidP="00000000" w:rsidRDefault="00000000" w:rsidRPr="00000000" ns1:paraId="00000049">
      <w:pPr>
        <w:spacing w:after="160" w:before="160" w:lineRule="auto"/>
        <w:rPr>
          <w:sz w:val="24"/>
          <w:szCs w:val="24"/>
        </w:rPr>
      </w:pPr>
      <w:r w:rsidDel="00000000" w:rsidR="00000000" w:rsidRPr="00000000">
        <w:rPr>
          <w:sz w:val="24"/>
          <w:szCs w:val="24"/>
          <w:rtl w:val="0"/>
        </w:rPr>
        <w:t xml:space="preserve">Most of any individual patient's deviation, in fact, is not captured by either shared pattern at all – it is a personal remainder specific to that individual, and this personal remainder is not simply noise. Splitting each patient's recordings into two independent halves, a person's own two halves point in essentially the same direction as each other far more often than they resemble any other patient's recordings (Figure 7E, "same subject" versus "different subjects"), and – across 42 candidate subjects – a held-out recording correctly identifies its own owner as the closest match 38.7% of the time, against a 2.4% rate expected by chance. We illustrate this concretely with three patients matched on overall abnormality score to within a narrow margin whose underlying routing patterns are nonetheless almost entirely unrelated to one another – the same severity score, three different control problems (Figure 7F).</w:t>
      </w:r>
    </w:p>
    <w:p w:rsidR="00000000" w:rsidDel="00000000" w:rsidP="00000000" w:rsidRDefault="00000000" w:rsidRPr="00000000" ns1:paraId="0000004A">
      <w:pPr>
        <w:spacing w:after="160" w:before="160" w:lineRule="auto"/>
        <w:rPr>
          <w:sz w:val="24"/>
          <w:szCs w:val="24"/>
        </w:rPr>
      </w:pPr>
      <w:r w:rsidDel="00000000" w:rsidR="00000000" w:rsidRPr="00000000">
        <w:rPr>
          <w:sz w:val="24"/>
          <w:szCs w:val="24"/>
          <w:rtl w:val="0"/>
        </w:rPr>
        <w:t xml:space="preserve">This, in our view, is the clinically useful proposal of this paper, stated at exactly the strength the data support: routing analysis of a short kinematic recording can provide a reproducible, individually specific, anatomically interpretable picture of how a person's walking control departs from normal – the kind of picture a single stability or severity number cannot give. </w:t>
      </w:r>
    </w:p>
    <w:p w:rsidR="00000000" w:rsidDel="00000000" w:rsidP="00000000" w:rsidRDefault="00000000" w:rsidRPr="00000000" ns1:paraId="0000004B">
      <w:pPr>
        <w:spacing w:after="160" w:before="160" w:lineRule="auto"/>
        <w:rPr>
          <w:sz w:val="24"/>
          <w:szCs w:val="24"/>
        </w:rPr>
      </w:pPr>
      <w:r w:rsidDel="00000000" w:rsidR="00000000" w:rsidRPr="00000000">
        <w:rPr>
          <w:sz w:val="24"/>
          <w:szCs w:val="24"/>
        </w:rPr>
        <w:drawing>
          <ns2:inline distB="114300" distT="114300" distL="114300" distR="114300">
            <ns2:extent cx="5943600" cy="5524500"/>
            <ns2:effectExtent b="0" l="0" r="0" t="0"/>
            <ns2:docPr id="2" name="image1.png"/>
            <ns3:graphic>
              <ns3:graphicData uri="http://schemas.openxmlformats.org/drawingml/2006/picture">
                <ns4:pic>
                  <ns4:nvPicPr>
                    <ns4:cNvPr id="0" name="image1.png"/>
                    <ns4:cNvPicPr preferRelativeResize="0"/>
                  </ns4:nvPicPr>
                  <ns4:blipFill>
                    <ns3:blip ns5:embed="rId12"/>
                    <ns3:srcRect b="0" l="0" r="0" t="0"/>
                    <ns3:stretch>
                      <ns3:fillRect/>
                    </ns3:stretch>
                  </ns4:blipFill>
                  <ns4:spPr>
                    <ns3:xfrm>
                      <ns3:off x="0" y="0"/>
                      <ns3:ext cx="5943600" cy="55245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4C">
      <w:pPr>
        <w:spacing w:after="160" w:before="160" w:lineRule="auto"/>
        <w:rPr>
          <w:sz w:val="24"/>
          <w:szCs w:val="24"/>
        </w:rPr>
      </w:pPr>
      <w:r w:rsidDel="00000000" w:rsidR="00000000" w:rsidRPr="00000000">
        <w:rPr>
          <w:b w:val="1"/>
          <w:bCs w:val="1"/>
          <w:sz w:val="24"/>
          <w:szCs w:val="24"/>
          <w:rtl w:val="0"/>
        </w:rPr>
        <w:t xml:space="preserve">Figure 7. Individual walking signatures: a personalized, reproducible fingerprint of control routing. (A) Every subject (n = 42, both source studies pooled) plotted along the two shared deviation axes described in C and D; filled circles are able-bodied subjects from the Healthy Young Adult study, open circles are able-bodied controls from the PostStroke study, open orange squares are higher-functioning stroke subjects, and open purple triangles are lower-functioning stroke subjects; the two able-bodied symbol styles do not separate from one another (statistics annotated on the panel). (B) Abnormality score (root-mean-square deviation from the able-bodied reference, in able-bodied standard deviations) by group, styled as in Figures 5–6; η² and p-value from a permutation test are annotated. (C, D) The two shared deviation axes as 6×6 loading heatmaps (output joint by row, input joint by column; diverging color scale, blue positive/red negative); axis 1 (C) is dominated by reduced routing into the paretic knee (blue row) and accounts for 40.5% of the variance among stroke subjects' deviations; axis 2 (D) describes cross-limb transfer and accounts for 21.7%. (E) Reproducibility of individual signatures: cosine similarity between deviation vectors built from independent, randomly split halves of the same subject's recordings ("same subject") versus from different subjects' recordings ("different subjects"); the annotation reports how often a held-out half correctly identifies its own subject as the nearest match, against chance. (F) Three patients (subject codes and group given above each panel) matched on overall abnormality score to within a narrow margin, each shown as its own 6×6 deviation heatmap on a shared color scale; the three patterns are visibly unrelated despite the matched severity score. (G) Each subject's abnormality score against their Berg Balance Scale (left) or Fugl-Meyer score (right); orange squares are higher-functioning, purple triangles lower-functioning stroke subjects; annotated statistics compare the raw correlation with abnormality score, the raw correlation with walking speed, and the partial correlation of abnormality score with the clinical score after controlling for speed.</w:t>
      </w:r>
      <w:r w:rsidDel="00000000" w:rsidR="00000000" w:rsidRPr="00000000">
        <w:rPr>
          <w:sz w:val="24"/>
          <w:szCs w:val="24"/>
          <w:rtl w:val="0"/>
        </w:rPr>
        <w:t xml:space="preserve"/>
      </w:r>
    </w:p>
    <w:p w:rsidR="00000000" w:rsidDel="00000000" w:rsidP="00000000" w:rsidRDefault="00000000" w:rsidRPr="00000000" ns1:paraId="0000004D">
      <w:pPr>
        <w:spacing w:after="160" w:before="160" w:lineRule="auto"/>
        <w:rPr>
          <w:sz w:val="24"/>
          <w:szCs w:val="24"/>
        </w:rPr>
      </w:pPr>
      <w:r w:rsidDel="00000000" w:rsidR="00000000" w:rsidRPr="00000000">
        <w:rPr>
          <w:rtl w:val="0"/>
        </w:rPr>
      </w:r>
    </w:p>
    <w:p w:rsidR="00000000" w:rsidDel="00000000" w:rsidP="00000000" w:rsidRDefault="00000000" w:rsidRPr="00000000" ns1:paraId="0000004E">
      <w:pPr>
        <w:pStyle w:val="Heading2"/>
        <w:keepNext w:val="0"/>
        <w:keepLines w:val="0"/>
        <w:spacing w:after="180" w:before="520" w:line="335.99999999999994" w:lineRule="auto"/>
        <w:rPr>
          <w:b w:val="1"/>
          <w:bCs w:val="1"/>
          <w:sz w:val="38"/>
          <w:szCs w:val="38"/>
        </w:rPr>
      </w:pPr>
      <w:bookmarkStart w:colFirst="0" w:colLast="0" w:name="_by0uo6lch59u" w:id="14"/>
      <w:bookmarkEnd w:id="14"/>
      <w:r w:rsidDel="00000000" w:rsidR="00000000" w:rsidRPr="00000000">
        <w:rPr>
          <w:b w:val="1"/>
          <w:bCs w:val="1"/>
          <w:sz w:val="38"/>
          <w:szCs w:val="38"/>
          <w:rtl w:val="0"/>
        </w:rPr>
        <w:t xml:space="preserve">Discussion</w:t>
      </w:r>
    </w:p>
    <w:p w:rsidR="00000000" w:rsidDel="00000000" w:rsidP="00000000" w:rsidRDefault="00000000" w:rsidRPr="00000000" ns1:paraId="0000004F">
      <w:pPr>
        <w:spacing w:after="160" w:before="160" w:lineRule="auto"/>
        <w:rPr>
          <w:sz w:val="24"/>
          <w:szCs w:val="24"/>
        </w:rPr>
      </w:pPr>
      <w:r w:rsidDel="00000000" w:rsidR="00000000" w:rsidRPr="00000000">
        <w:rPr>
          <w:sz w:val="24"/>
          <w:szCs w:val="24"/>
          <w:rtl w:val="0"/>
        </w:rPr>
        <w:t xml:space="preserve">The central, practical message of this paper is that a simple dynamical model fitted to a short kinematic recording can tell a clinician or biomechanist something that speed, symmetry, and even the classic single stability number cannot: which specific joint pathway is responsible for an individual's altered walking patterns, and whether that picture is specific enough to that person to be useful for tracking them over time. We arrive at that message by way of a limitation, but the limitation itself is not new – it is a known property of certain dynamical systems, already appreciated in the broader engineering and applied-mathematics literature, that we simply confirm applies to fitted gait models under the short, noisy conditions of real recordings. Our contribution is to show that this limitation is specific to one particular summary of the fitted model – its classic long-run stability number – and that a broader, still easily computed set of properties of the identical model remains reliable and clinically interpretable.</w:t>
      </w:r>
    </w:p>
    <w:p w:rsidR="00000000" w:rsidDel="00000000" w:rsidP="00000000" w:rsidRDefault="00000000" w:rsidRPr="00000000" ns1:paraId="00000050">
      <w:pPr>
        <w:spacing w:after="160" w:before="160" w:lineRule="auto"/>
        <w:rPr>
          <w:sz w:val="24"/>
          <w:szCs w:val="24"/>
        </w:rPr>
      </w:pPr>
      <w:r w:rsidDel="00000000" w:rsidR="00000000" w:rsidRPr="00000000">
        <w:rPr>
          <w:sz w:val="24"/>
          <w:szCs w:val="24"/>
          <w:rtl w:val="0"/>
        </w:rPr>
        <w:t xml:space="preserve">This complements, rather than competes with, the existing dynamical-systems toolkit for gait. Lyapunov exponents, Floquet multipliers, and related stability measures remain valuable, well-validated summaries of whether a gait cycle is locally attracting </w:t>
      </w:r>
      <w:r w:rsidDel="00000000" w:rsidR="00000000" w:rsidRPr="00000000">
        <w:rPr>
          <w:i w:val="1"/>
          <w:iCs w:val="1"/>
          <w:sz w:val="24"/>
          <w:szCs w:val="24"/>
          <w:rtl w:val="0"/>
        </w:rPr>
        <w:t xml:space="preserve">[CITE – Dingwell &amp; Cusumano; Bruijn et al.]</w:t>
      </w:r>
      <w:r w:rsidDel="00000000" w:rsidR="00000000" w:rsidRPr="00000000">
        <w:rPr>
          <w:sz w:val="24"/>
          <w:szCs w:val="24"/>
          <w:rtl w:val="0"/>
        </w:rPr>
        <w:t xml:space="preserve">. What they cannot directly provide is a route to which joint is responsible, or how strongly a given disturbance direction would be amplified before it resolves – questions that matter directly for choosing a rehabilitation target or tuning an assistive device. Similarly, motor-module and muscle-synergy analyses have shown that stroke reorganizes coordination at a structural level </w:t>
      </w:r>
      <w:r w:rsidDel="00000000" w:rsidR="00000000" w:rsidRPr="00000000">
        <w:rPr>
          <w:i w:val="1"/>
          <w:iCs w:val="1"/>
          <w:sz w:val="24"/>
          <w:szCs w:val="24"/>
          <w:rtl w:val="0"/>
        </w:rPr>
        <w:t xml:space="preserve">[CITE – Neptune et al.; Clark et al.]</w:t>
      </w:r>
      <w:r w:rsidDel="00000000" w:rsidR="00000000" w:rsidRPr="00000000">
        <w:rPr>
          <w:sz w:val="24"/>
          <w:szCs w:val="24"/>
          <w:rtl w:val="0"/>
        </w:rPr>
        <w:t xml:space="preserve">; our joint-routing measures arrive at a compatible conclusion – reduced, rerouted output from the paretic side – using only kinematics, from a shorter and more widely available kind of recording.</w:t>
      </w:r>
    </w:p>
    <w:p w:rsidR="00000000" w:rsidDel="00000000" w:rsidP="00000000" w:rsidRDefault="00000000" w:rsidRPr="00000000" ns1:paraId="00000051">
      <w:pPr>
        <w:spacing w:after="160" w:before="160" w:lineRule="auto"/>
        <w:rPr>
          <w:sz w:val="24"/>
          <w:szCs w:val="24"/>
        </w:rPr>
      </w:pPr>
      <w:r w:rsidDel="00000000" w:rsidR="00000000" w:rsidRPr="00000000">
        <w:rPr>
          <w:sz w:val="24"/>
          <w:szCs w:val="24"/>
          <w:rtl w:val="0"/>
        </w:rPr>
        <w:t xml:space="preserve">The individual-signature result is the most directly actionable finding here. A reproducible, person-specific routing profile is exactly the kind of information a personalized rehabilitation plan needs: it could track whether a course of therapy is actually changing a patient's underlying control routing rather than only their walking speed. The same information is directly usable for closed-loop or adaptive assistive technology – an exoskeleton, a functional electrical stimulation system, or a rhythmic cueing device tuned to a patient's own estimated response pattern, rather than a one-size-fits-all setting.</w:t>
      </w:r>
    </w:p>
    <w:p w:rsidR="00000000" w:rsidDel="00000000" w:rsidP="00000000" w:rsidRDefault="00000000" w:rsidRPr="00000000" ns1:paraId="00000052">
      <w:pPr>
        <w:spacing w:after="160" w:before="160" w:lineRule="auto"/>
        <w:rPr>
          <w:sz w:val="24"/>
          <w:szCs w:val="24"/>
        </w:rPr>
      </w:pPr>
      <w:r w:rsidDel="00000000" w:rsidR="00000000" w:rsidRPr="00000000">
        <w:rPr>
          <w:sz w:val="24"/>
          <w:szCs w:val="24"/>
          <w:rtl w:val="0"/>
        </w:rPr>
        <w:t xml:space="preserve">A practical point worth emphasizing on its own: everything in this paper is built from joint kinematics alone, without force plates or electromyography. Motion capture – and, increasingly, markerless video-based systems already entering clinical use – is far more widely available in rehabilitation settings than force-plated or instrumented gait labs. A method that needs only kinematics and a short recording is a method more clinics can actually use.</w:t>
      </w:r>
    </w:p>
    <w:p w:rsidR="00000000" w:rsidDel="00000000" w:rsidP="00000000" w:rsidRDefault="00000000" w:rsidRPr="00000000" ns1:paraId="00000053">
      <w:pPr>
        <w:spacing w:after="160" w:before="160" w:lineRule="auto"/>
        <w:rPr>
          <w:sz w:val="24"/>
          <w:szCs w:val="24"/>
        </w:rPr>
      </w:pPr>
      <w:r w:rsidDel="00000000" w:rsidR="00000000" w:rsidRPr="00000000">
        <w:rPr>
          <w:sz w:val="24"/>
          <w:szCs w:val="24"/>
          <w:rtl w:val="0"/>
        </w:rPr>
        <w:t xml:space="preserve">Several limitations temper how far results can be pushed from these data. Our stroke groups include 9 to 11 subjects each, and walking speed and impairment severity are confounded in this dataset in a way that a larger, speed-matched or speed-controlled study will need to resolve. Individual identity explains more of the variation in our data than group membership does in every analysis we ran, which is itself informative – it is what makes an individual signature possible – but it also means group averages, including the ones we report here, should not be over-interpreted as applying uniformly to any one patient. The clinical-score comparison in Figure 7G is an honest negative result at this sample size, not a validated null; it should be revisited in a larger, prospectively designed cohort with pre-registered candidate measures. </w:t>
      </w:r>
    </w:p>
    <w:p w:rsidR="00000000" w:rsidDel="00000000" w:rsidP="00000000" w:rsidRDefault="00000000" w:rsidRPr="00000000" ns1:paraId="00000054">
      <w:pPr>
        <w:spacing w:after="160" w:before="160" w:lineRule="auto"/>
        <w:rPr>
          <w:sz w:val="24"/>
          <w:szCs w:val="24"/>
        </w:rPr>
      </w:pPr>
      <w:r w:rsidDel="00000000" w:rsidR="00000000" w:rsidRPr="00000000">
        <w:rPr>
          <w:sz w:val="24"/>
          <w:szCs w:val="24"/>
          <w:rtl w:val="0"/>
        </w:rPr>
        <w:t xml:space="preserve">Taken together, we see this as a practical, individually specific complement to the existing gait analysis toolkit rather than a replacement for it: a way to ask, from the same short kinematic recording already being collected, not only whether someone's gait is different, but specifically where and how their control has been reorganized – and, potentially, how to act on that information.</w:t>
      </w:r>
    </w:p>
    <w:p w:rsidR="00000000" w:rsidDel="00000000" w:rsidP="00000000" w:rsidRDefault="00000000" w:rsidRPr="00000000" ns1:paraId="00000055">
      <w:pPr>
        <w:pStyle w:val="Heading2"/>
        <w:keepNext w:val="0"/>
        <w:keepLines w:val="0"/>
        <w:spacing w:after="180" w:before="520" w:line="335.99999999999994" w:lineRule="auto"/>
        <w:rPr>
          <w:b w:val="1"/>
          <w:bCs w:val="1"/>
          <w:sz w:val="38"/>
          <w:szCs w:val="38"/>
        </w:rPr>
      </w:pPr>
      <w:bookmarkStart w:colFirst="0" w:colLast="0" w:name="_kw6gthgk3wb5" w:id="15"/>
      <w:bookmarkEnd w:id="15"/>
      <w:r w:rsidDel="00000000" w:rsidR="00000000" w:rsidRPr="00000000">
        <w:rPr>
          <w:b w:val="1"/>
          <w:bCs w:val="1"/>
          <w:sz w:val="38"/>
          <w:szCs w:val="38"/>
          <w:rtl w:val="0"/>
        </w:rPr>
        <w:t xml:space="preserve">Methods</w:t>
      </w:r>
    </w:p>
    <w:p w:rsidR="00000000" w:rsidDel="00000000" w:rsidP="00000000" w:rsidRDefault="00000000" w:rsidRPr="00000000" ns1:paraId="00000056">
      <w:pPr>
        <w:pStyle w:val="Heading3"/>
        <w:keepNext w:val="0"/>
        <w:keepLines w:val="0"/>
        <w:spacing w:after="140" w:before="400" w:line="335.99999999999994" w:lineRule="auto"/>
        <w:rPr>
          <w:b w:val="1"/>
          <w:bCs w:val="1"/>
          <w:color w:val="000000"/>
          <w:sz w:val="30"/>
          <w:szCs w:val="30"/>
        </w:rPr>
      </w:pPr>
      <w:bookmarkStart w:colFirst="0" w:colLast="0" w:name="_30nx4np8ye25" w:id="16"/>
      <w:bookmarkEnd w:id="16"/>
      <w:r w:rsidDel="00000000" w:rsidR="00000000" w:rsidRPr="00000000">
        <w:rPr>
          <w:b w:val="1"/>
          <w:bCs w:val="1"/>
          <w:color w:val="000000"/>
          <w:sz w:val="30"/>
          <w:szCs w:val="30"/>
          <w:rtl w:val="0"/>
        </w:rPr>
        <w:t xml:space="preserve">Datasets</w:t>
      </w:r>
    </w:p>
    <w:p w:rsidR="00000000" w:rsidDel="00000000" w:rsidP="00000000" w:rsidRDefault="00000000" w:rsidRPr="00000000" ns1:paraId="00000057">
      <w:pPr>
        <w:spacing w:after="160" w:before="160" w:lineRule="auto"/>
        <w:rPr>
          <w:i w:val="1"/>
          <w:iCs w:val="1"/>
          <w:sz w:val="24"/>
          <w:szCs w:val="24"/>
        </w:rPr>
      </w:pPr>
      <w:r w:rsidDel="00000000" w:rsidR="00000000" w:rsidRPr="00000000">
        <w:rPr>
          <w:sz w:val="24"/>
          <w:szCs w:val="24"/>
          <w:rtl w:val="0"/>
        </w:rPr>
        <w:t xml:space="preserve">Human kinematics comprise six lower-limb joint angles – hip, knee, and ankle flexion, bilaterally – sampled at 100 Hz over 15 s trials, drawn from two source studies: a healthy young adult treadmill study (150 trials, 17 subjects) and a post-stroke gait biomechanics study (149 trials, 25 subjects: 30 able-bodied control, 65 higher-functioning, 54 lower-functioning stroke). Stroke channels are ordered paretic-limb-first in the source export; able-bodied channels are assumed right-limb-first. Robot recordings are motion-capture trajectories for Unitree H1, Boston Dynamics Atlas, and Unitree G1 mapped to a shared, ego-centered ten-degree-of-freedom set (hip flexion, adduction, and rotation; knee flexion; ankle flexion; bilaterally), sampled at 100 Hz. </w:t>
      </w:r>
      <w:r w:rsidDel="00000000" w:rsidR="00000000" w:rsidRPr="00000000">
        <w:rPr>
          <w:i w:val="1"/>
          <w:iCs w:val="1"/>
          <w:sz w:val="24"/>
          <w:szCs w:val="24"/>
          <w:rtl w:val="0"/>
        </w:rPr>
        <w:t xml:space="preserve">[TO CHECK – add acquisition citations and ethics statements for both human studies.]</w:t>
      </w:r>
    </w:p>
    <w:p w:rsidR="00000000" w:rsidDel="00000000" w:rsidP="00000000" w:rsidRDefault="00000000" w:rsidRPr="00000000" ns1:paraId="00000058">
      <w:pPr>
        <w:pStyle w:val="Heading3"/>
        <w:keepNext w:val="0"/>
        <w:keepLines w:val="0"/>
        <w:spacing w:after="140" w:before="400" w:line="335.99999999999994" w:lineRule="auto"/>
        <w:rPr>
          <w:b w:val="1"/>
          <w:bCs w:val="1"/>
          <w:color w:val="000000"/>
          <w:sz w:val="30"/>
          <w:szCs w:val="30"/>
        </w:rPr>
      </w:pPr>
      <w:bookmarkStart w:colFirst="0" w:colLast="0" w:name="_j5jv862n2s7l" w:id="17"/>
      <w:bookmarkEnd w:id="17"/>
      <w:r w:rsidDel="00000000" w:rsidR="00000000" w:rsidRPr="00000000">
        <w:rPr>
          <w:b w:val="1"/>
          <w:bCs w:val="1"/>
          <w:color w:val="000000"/>
          <w:sz w:val="30"/>
          <w:szCs w:val="30"/>
          <w:rtl w:val="0"/>
        </w:rPr>
        <w:t xml:space="preserve">Delay-coordinate state and model fitting</w:t>
      </w:r>
    </w:p>
    <w:p w:rsidR="00000000" w:rsidDel="00000000" w:rsidP="00000000" w:rsidRDefault="00000000" w:rsidRPr="00000000" ns1:paraId="00000059">
      <w:pPr>
        <w:spacing w:after="160" w:before="160" w:lineRule="auto"/>
        <w:rPr>
          <w:sz w:val="24"/>
          <w:szCs w:val="24"/>
        </w:rPr>
      </w:pPr>
      <w:r w:rsidDel="00000000" w:rsidR="00000000" w:rsidRPr="00000000">
        <w:rPr>
          <w:sz w:val="24"/>
          <w:szCs w:val="24"/>
          <w:rtl w:val="0"/>
        </w:rPr>
        <w:t xml:space="preserve">Let y_t denote the p-dimensional vector of joint angles at sample t (p = 6 for human trials, p = 10 for robot trials), after subtracting each channel's trial mean. Rather than modeling y_t directly, we stack d consecutive samples into a single delay-coordinate state:</w:t>
      </w:r>
    </w:p>
    <w:p w:rsidR="00000000" w:rsidDel="00000000" w:rsidP="00000000" w:rsidRDefault="00000000" w:rsidRPr="00000000" ns1:paraId="0000005A">
      <w:pPr>
        <w:spacing w:after="160" w:before="16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x_t = [ y_t ; y_{t−1} ; … ; y_{t−d+1} ] ∈ ℝ^{dp}</w:t>
      </w:r>
    </w:p>
    <w:p w:rsidR="00000000" w:rsidDel="00000000" w:rsidP="00000000" w:rsidRDefault="00000000" w:rsidRPr="00000000" ns1:paraId="0000005B">
      <w:pPr>
        <w:spacing w:after="160" w:before="160" w:lineRule="auto"/>
        <w:rPr>
          <w:sz w:val="24"/>
          <w:szCs w:val="24"/>
        </w:rPr>
      </w:pPr>
      <w:r w:rsidDel="00000000" w:rsidR="00000000" w:rsidRPr="00000000">
        <w:rPr>
          <w:sz w:val="24"/>
          <w:szCs w:val="24"/>
          <w:rtl w:val="0"/>
        </w:rPr>
        <w:t xml:space="preserve">so that x_t carries not only the current posture but a short window of its recent history – this is what lets a purely instantaneous model see velocity- and acceleration-like information without computing derivatives directly, and it is what Figure 1A's "Delay Embed" step depicts. We use d = 32 samples (0.32 s) for every human and robot model in this paper.</w:t>
      </w:r>
    </w:p>
    <w:p w:rsidR="00000000" w:rsidDel="00000000" w:rsidP="00000000" w:rsidRDefault="00000000" w:rsidRPr="00000000" ns1:paraId="0000005C">
      <w:pPr>
        <w:spacing w:after="160" w:before="160" w:lineRule="auto"/>
        <w:rPr>
          <w:sz w:val="24"/>
          <w:szCs w:val="24"/>
        </w:rPr>
      </w:pPr>
      <w:r w:rsidDel="00000000" w:rsidR="00000000" w:rsidRPr="00000000">
        <w:rPr>
          <w:sz w:val="24"/>
          <w:szCs w:val="24"/>
          <w:rtl w:val="0"/>
        </w:rPr>
        <w:t xml:space="preserve">Given a sequence of states, we form two matrices whose columns are, respectively, all delay-coordinate states except the last and all delay-coordinate states except the first – that is, corresponding columns of X and Y are one sample apart in time – and fit the single linear operator A that best predicts each state from the one immediately before it, in the least-squares sense:</w:t>
      </w:r>
    </w:p>
    <w:p w:rsidR="00000000" w:rsidDel="00000000" w:rsidP="00000000" w:rsidRDefault="00000000" w:rsidRPr="00000000" ns1:paraId="0000005D">
      <w:pPr>
        <w:spacing w:after="160" w:before="16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Â = argmin_A ‖Y − AX‖_F = Y X^{+}</w:t>
      </w:r>
    </w:p>
    <w:p w:rsidR="00000000" w:rsidDel="00000000" w:rsidP="00000000" w:rsidRDefault="00000000" w:rsidRPr="00000000" ns1:paraId="0000005E">
      <w:pPr>
        <w:spacing w:after="160" w:before="160" w:lineRule="auto"/>
        <w:rPr>
          <w:sz w:val="24"/>
          <w:szCs w:val="24"/>
        </w:rPr>
      </w:pPr>
      <w:r w:rsidDel="00000000" w:rsidR="00000000" w:rsidRPr="00000000">
        <w:rPr>
          <w:sz w:val="24"/>
          <w:szCs w:val="24"/>
          <w:rtl w:val="0"/>
        </w:rPr>
        <w:t xml:space="preserve">where X^{+} denotes the Moore–Penrose pseudoinverse and ‖·‖_F the Frobenius norm. In practice we never solve this at full dimension dp. We first take the (economy) singular value decomposition X = U S V^T, retain only its leading r columns (U_r, S_r, V_r), and fit a reduced r × r operator</w:t>
      </w:r>
    </w:p>
    <w:p w:rsidR="00000000" w:rsidDel="00000000" w:rsidP="00000000" w:rsidRDefault="00000000" w:rsidRPr="00000000" ns1:paraId="0000005F">
      <w:pPr>
        <w:spacing w:after="160" w:before="16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Ã = U_r^T Y V_r S_r^{−1}</w:t>
      </w:r>
    </w:p>
    <w:p w:rsidR="00000000" w:rsidDel="00000000" w:rsidP="00000000" w:rsidRDefault="00000000" w:rsidRPr="00000000" ns1:paraId="00000060">
      <w:pPr>
        <w:spacing w:after="160" w:before="160" w:lineRule="auto"/>
        <w:rPr>
          <w:sz w:val="24"/>
          <w:szCs w:val="24"/>
        </w:rPr>
      </w:pPr>
      <w:r w:rsidDel="00000000" w:rsidR="00000000" w:rsidRPr="00000000">
        <w:rPr>
          <w:sz w:val="24"/>
          <w:szCs w:val="24"/>
          <w:rtl w:val="0"/>
        </w:rPr>
        <w:t xml:space="preserve">which is the standard "exact DMD" algorithm </w:t>
      </w:r>
      <w:r w:rsidDel="00000000" w:rsidR="00000000" w:rsidRPr="00000000">
        <w:rPr>
          <w:i w:val="1"/>
          <w:iCs w:val="1"/>
          <w:sz w:val="24"/>
          <w:szCs w:val="24"/>
          <w:rtl w:val="0"/>
        </w:rPr>
        <w:t xml:space="preserve">[CITE – Tu et al. 2014]</w:t>
      </w:r>
      <w:r w:rsidDel="00000000" w:rsidR="00000000" w:rsidRPr="00000000">
        <w:rPr>
          <w:sz w:val="24"/>
          <w:szCs w:val="24"/>
          <w:rtl w:val="0"/>
        </w:rPr>
        <w:t xml:space="preserve">: a regularization step that avoids overfitting the high-dimensional, noisy delay coordinates by working in the r-dimensional subspace that captures most of the recorded variance. We fix r = 70 for every human model (see "Choosing model complexity" below).</w:t>
      </w:r>
    </w:p>
    <w:p w:rsidR="00000000" w:rsidDel="00000000" w:rsidP="00000000" w:rsidRDefault="00000000" w:rsidRPr="00000000" ns1:paraId="00000061">
      <w:pPr>
        <w:spacing w:after="160" w:before="160" w:lineRule="auto"/>
        <w:rPr>
          <w:sz w:val="24"/>
          <w:szCs w:val="24"/>
        </w:rPr>
      </w:pPr>
      <w:r w:rsidDel="00000000" w:rsidR="00000000" w:rsidRPr="00000000">
        <w:rPr>
          <w:rFonts w:ascii="Arial Unicode MS" w:cs="Arial Unicode MS" w:eastAsia="Arial Unicode MS" w:hAnsi="Arial Unicode MS"/>
          <w:sz w:val="24"/>
          <w:szCs w:val="24"/>
          <w:rtl w:val="0"/>
        </w:rPr>
        <w:t xml:space="preserve">Because Ã is fit from noisy, finite data, some of its eigenvalues can fall just outside the unit circle even when the underlying system is not actually unstable, which would make multi-cycle forecasts blow up. We correct this with a standard stabilization step: writing the eigendecomposition Ã = WΛW^{−1}, any eigenvalue λ_j with |λ_j| &gt; 1 is rescaled to λ_j/|λ_j| (preserving its direction but pinning its magnitude to the unit circle) before reconstructing Ã. This step is applied uniformly, and every response measure below is computed from the stabilized operator.</w:t>
      </w:r>
    </w:p>
    <w:p w:rsidR="00000000" w:rsidDel="00000000" w:rsidP="00000000" w:rsidRDefault="00000000" w:rsidRPr="00000000" ns1:paraId="00000062">
      <w:pPr>
        <w:pStyle w:val="Heading3"/>
        <w:keepNext w:val="0"/>
        <w:keepLines w:val="0"/>
        <w:spacing w:after="140" w:before="400" w:line="335.99999999999994" w:lineRule="auto"/>
        <w:rPr>
          <w:b w:val="1"/>
          <w:bCs w:val="1"/>
          <w:color w:val="000000"/>
          <w:sz w:val="30"/>
          <w:szCs w:val="30"/>
        </w:rPr>
      </w:pPr>
      <w:bookmarkStart w:colFirst="0" w:colLast="0" w:name="_spc8x4ghemae" w:id="18"/>
      <w:bookmarkEnd w:id="18"/>
      <w:r w:rsidDel="00000000" w:rsidR="00000000" w:rsidRPr="00000000">
        <w:rPr>
          <w:b w:val="1"/>
          <w:bCs w:val="1"/>
          <w:color w:val="000000"/>
          <w:sz w:val="30"/>
          <w:szCs w:val="30"/>
          <w:rtl w:val="0"/>
        </w:rPr>
        <w:t xml:space="preserve">Forecasting</w:t>
      </w:r>
    </w:p>
    <w:p w:rsidR="00000000" w:rsidDel="00000000" w:rsidP="00000000" w:rsidRDefault="00000000" w:rsidRPr="00000000" ns1:paraId="00000063">
      <w:pPr>
        <w:spacing w:after="160" w:before="160" w:lineRule="auto"/>
        <w:rPr>
          <w:sz w:val="24"/>
          <w:szCs w:val="24"/>
        </w:rPr>
      </w:pPr>
      <w:r w:rsidDel="00000000" w:rsidR="00000000" w:rsidRPr="00000000">
        <w:rPr>
          <w:sz w:val="24"/>
          <w:szCs w:val="24"/>
          <w:rtl w:val="0"/>
        </w:rPr>
        <w:t xml:space="preserve">To forecast forward from an observed initial history window x_0, we project it onto the reduced coordinates, z_0 = U_r^T x_0, iterate z_k = Ã z_{k−1} for the desired number of steps, and reconstruct the corresponding joint angles by mapping back, ŷ_k = (U_r z_k)_{1:p} (the first p entries of the reconstructed delay-coordinate state, i.e. the current, non-delayed sample). Forecast accuracy is reported as normalized root-mean-square error over the forecast window,</w:t>
      </w:r>
    </w:p>
    <w:p w:rsidR="00000000" w:rsidDel="00000000" w:rsidP="00000000" w:rsidRDefault="00000000" w:rsidRPr="00000000" ns1:paraId="00000064">
      <w:pPr>
        <w:spacing w:after="160" w:before="160" w:lineRule="auto"/>
        <w:rPr>
          <w:i w:val="1"/>
          <w:iCs w:val="1"/>
          <w:sz w:val="24"/>
          <w:szCs w:val="24"/>
        </w:rPr>
      </w:pPr>
      <w:r w:rsidDel="00000000" w:rsidR="00000000" w:rsidRPr="00000000">
        <w:rPr>
          <w:i w:val="1"/>
          <w:iCs w:val="1"/>
          <w:sz w:val="24"/>
          <w:szCs w:val="24"/>
          <w:rtl w:val="0"/>
        </w:rPr>
        <w:t xml:space="preserve">NRMSE = RMS(ŷ − y) / RMS(y)</w:t>
      </w:r>
    </w:p>
    <w:p w:rsidR="00000000" w:rsidDel="00000000" w:rsidP="00000000" w:rsidRDefault="00000000" w:rsidRPr="00000000" ns1:paraId="00000065">
      <w:pPr>
        <w:spacing w:after="160" w:before="160" w:lineRule="auto"/>
        <w:rPr>
          <w:sz w:val="24"/>
          <w:szCs w:val="24"/>
        </w:rPr>
      </w:pPr>
      <w:r w:rsidDel="00000000" w:rsidR="00000000" w:rsidRPr="00000000">
        <w:rPr>
          <w:sz w:val="24"/>
          <w:szCs w:val="24"/>
          <w:rtl w:val="0"/>
        </w:rPr>
        <w:t xml:space="preserve">where RMS(·) is the root-mean-square taken over both time and joint channels in the forecast window, so an NRMSE of 1 is equivalent in scale to simply reporting zero for every channel.</w:t>
      </w:r>
    </w:p>
    <w:p w:rsidR="00000000" w:rsidDel="00000000" w:rsidP="00000000" w:rsidRDefault="00000000" w:rsidRPr="00000000" ns1:paraId="00000066">
      <w:pPr>
        <w:pStyle w:val="Heading3"/>
        <w:keepNext w:val="0"/>
        <w:keepLines w:val="0"/>
        <w:spacing w:after="140" w:before="400" w:line="335.99999999999994" w:lineRule="auto"/>
        <w:rPr>
          <w:b w:val="1"/>
          <w:bCs w:val="1"/>
          <w:color w:val="000000"/>
          <w:sz w:val="30"/>
          <w:szCs w:val="30"/>
        </w:rPr>
      </w:pPr>
      <w:bookmarkStart w:colFirst="0" w:colLast="0" w:name="_l4xt03dyn1pc" w:id="19"/>
      <w:bookmarkEnd w:id="19"/>
      <w:r w:rsidDel="00000000" w:rsidR="00000000" w:rsidRPr="00000000">
        <w:rPr>
          <w:b w:val="1"/>
          <w:bCs w:val="1"/>
          <w:color w:val="000000"/>
          <w:sz w:val="30"/>
          <w:szCs w:val="30"/>
          <w:rtl w:val="0"/>
        </w:rPr>
        <w:t xml:space="preserve">Response measures</w:t>
      </w:r>
    </w:p>
    <w:p w:rsidR="00000000" w:rsidDel="00000000" w:rsidP="00000000" w:rsidRDefault="00000000" w:rsidRPr="00000000" ns1:paraId="00000067">
      <w:pPr>
        <w:spacing w:after="160" w:before="160" w:lineRule="auto"/>
        <w:rPr>
          <w:sz w:val="24"/>
          <w:szCs w:val="24"/>
        </w:rPr>
      </w:pPr>
      <w:r w:rsidDel="00000000" w:rsidR="00000000" w:rsidRPr="00000000">
        <w:rPr>
          <w:sz w:val="24"/>
          <w:szCs w:val="24"/>
          <w:rtl w:val="0"/>
        </w:rPr>
        <w:t xml:space="preserve">Transient amplification. We compute the operator 2-norm (largest singular value) ‖Ã^k‖_2 for every whole number of steps k from 0 up to K, and report the maximum:</w:t>
      </w:r>
    </w:p>
    <w:p w:rsidR="00000000" w:rsidDel="00000000" w:rsidP="00000000" w:rsidRDefault="00000000" w:rsidRPr="00000000" ns1:paraId="00000068">
      <w:pPr>
        <w:spacing w:after="160" w:before="160" w:lineRule="auto"/>
        <w:rPr>
          <w:i w:val="1"/>
          <w:iCs w:val="1"/>
          <w:sz w:val="24"/>
          <w:szCs w:val="24"/>
        </w:rPr>
      </w:pPr>
      <w:r w:rsidDel="00000000" w:rsidR="00000000" w:rsidRPr="00000000">
        <w:rPr>
          <w:i w:val="1"/>
          <w:iCs w:val="1"/>
          <w:sz w:val="24"/>
          <w:szCs w:val="24"/>
          <w:rtl w:val="0"/>
        </w:rPr>
        <w:t xml:space="preserve">TG = max_{k=0,…,K} ‖Ã^k‖_2</w:t>
      </w:r>
    </w:p>
    <w:p w:rsidR="00000000" w:rsidDel="00000000" w:rsidP="00000000" w:rsidRDefault="00000000" w:rsidRPr="00000000" ns1:paraId="00000069">
      <w:pPr>
        <w:spacing w:after="160" w:before="160" w:lineRule="auto"/>
        <w:rPr>
          <w:sz w:val="24"/>
          <w:szCs w:val="24"/>
        </w:rPr>
      </w:pPr>
      <w:r w:rsidDel="00000000" w:rsidR="00000000" w:rsidRPr="00000000">
        <w:rPr>
          <w:sz w:val="24"/>
          <w:szCs w:val="24"/>
          <w:rtl w:val="0"/>
        </w:rPr>
        <w:t xml:space="preserve">We use K = 3d for human models (three history windows, roughly one second, chosen to span at least one full gait cycle at typical walking speeds) and K = 4d for robot models.</w:t>
      </w:r>
    </w:p>
    <w:p w:rsidR="00000000" w:rsidDel="00000000" w:rsidP="00000000" w:rsidRDefault="00000000" w:rsidRPr="00000000" ns1:paraId="0000006A">
      <w:pPr>
        <w:spacing w:after="160" w:before="160" w:lineRule="auto"/>
        <w:rPr>
          <w:sz w:val="24"/>
          <w:szCs w:val="24"/>
        </w:rPr>
      </w:pPr>
      <w:r w:rsidDel="00000000" w:rsidR="00000000" w:rsidRPr="00000000">
        <w:rPr>
          <w:sz w:val="24"/>
          <w:szCs w:val="24"/>
          <w:rtl w:val="0"/>
        </w:rPr>
        <w:t xml:space="preserve">Departure from normality. A matrix is "normal" if it commutes with its own transpose (A^TA = AA^T), in which case its eigenvectors can be chosen orthogonal and its eigenvalues fully determine its transient behavior. We measure departure from this condition – the imbalance responsible for the "fishtailing car" behavior discussed in the Introduction – using a standard normalized commutator norm:</w:t>
      </w:r>
    </w:p>
    <w:p w:rsidR="00000000" w:rsidDel="00000000" w:rsidP="00000000" w:rsidRDefault="00000000" w:rsidRPr="00000000" ns1:paraId="0000006B">
      <w:pPr>
        <w:spacing w:after="160" w:before="16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dep(Ã) = ‖Ã^TÃ − ÃÃ^T‖_2 / ‖Ã‖_2^2</w:t>
      </w:r>
    </w:p>
    <w:p w:rsidR="00000000" w:rsidDel="00000000" w:rsidP="00000000" w:rsidRDefault="00000000" w:rsidRPr="00000000" ns1:paraId="0000006C">
      <w:pPr>
        <w:spacing w:after="160" w:before="160" w:lineRule="auto"/>
        <w:rPr>
          <w:sz w:val="24"/>
          <w:szCs w:val="24"/>
        </w:rPr>
      </w:pPr>
      <w:r w:rsidDel="00000000" w:rsidR="00000000" w:rsidRPr="00000000">
        <w:rPr>
          <w:sz w:val="24"/>
          <w:szCs w:val="24"/>
          <w:rtl w:val="0"/>
        </w:rPr>
        <w:t xml:space="preserve">which is 0 exactly when Ã is normal and increases toward 1 as its eigenvectors become more skewed relative to one another.</w:t>
      </w:r>
    </w:p>
    <w:p w:rsidR="00000000" w:rsidDel="00000000" w:rsidP="00000000" w:rsidRDefault="00000000" w:rsidRPr="00000000" ns1:paraId="0000006D">
      <w:pPr>
        <w:spacing w:after="160" w:before="160" w:lineRule="auto"/>
        <w:rPr>
          <w:sz w:val="24"/>
          <w:szCs w:val="24"/>
        </w:rPr>
      </w:pPr>
      <w:r w:rsidDel="00000000" w:rsidR="00000000" w:rsidRPr="00000000">
        <w:rPr>
          <w:sz w:val="24"/>
          <w:szCs w:val="24"/>
          <w:rtl w:val="0"/>
        </w:rPr>
        <w:t xml:space="preserve">Frequency response. For a candidate frequency f (in Hz, with sampling rate f_s), we evaluate the resolvent of Ã on the unit circle at that frequency:</w:t>
      </w:r>
    </w:p>
    <w:p w:rsidR="00000000" w:rsidDel="00000000" w:rsidP="00000000" w:rsidRDefault="00000000" w:rsidRPr="00000000" ns1:paraId="0000006E">
      <w:pPr>
        <w:spacing w:after="160" w:before="16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z = exp(i·2π·f / f_s), gain(f) = ‖(zI − Ã)^{−1}‖_2 = 1 / σ_{min}(zI − Ã)</w:t>
      </w:r>
    </w:p>
    <w:p w:rsidR="00000000" w:rsidDel="00000000" w:rsidP="00000000" w:rsidRDefault="00000000" w:rsidRPr="00000000" ns1:paraId="0000006F">
      <w:pPr>
        <w:spacing w:after="160" w:before="160" w:lineRule="auto"/>
        <w:rPr>
          <w:sz w:val="24"/>
          <w:szCs w:val="24"/>
        </w:rPr>
      </w:pPr>
      <w:r w:rsidDel="00000000" w:rsidR="00000000" w:rsidRPr="00000000">
        <w:rPr>
          <w:rFonts w:ascii="Arial Unicode MS" w:cs="Arial Unicode MS" w:eastAsia="Arial Unicode MS" w:hAnsi="Arial Unicode MS"/>
          <w:sz w:val="24"/>
          <w:szCs w:val="24"/>
          <w:rtl w:val="0"/>
        </w:rPr>
        <w:t xml:space="preserve">where σ_{min} is the smallest singular value. Scanning f finely from 0 up to the Nyquist frequency gives the full frequency-response curve; its maximum defines the peak gain and peak frequency. Harmonic gains are this same quantity evaluated only at integer multiples of the trial's own estimated stride frequency f_0 (f = f_0, 2f_0, 3f_0, …), and tuning sharpness (the "Q-factor") is defined, as in standard engineering usage, as the ratio of the peak frequency to the width of the frequency band around it over which gain stays above the peak value divided by √2 (the conventional half-power bandwidth):</w:t>
      </w:r>
    </w:p>
    <w:p w:rsidR="00000000" w:rsidDel="00000000" w:rsidP="00000000" w:rsidRDefault="00000000" w:rsidRPr="00000000" ns1:paraId="00000070">
      <w:pPr>
        <w:spacing w:after="160" w:before="16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Q = f_{peak} / (f_{right} − f_{left}), gain(f_{left}) = gain(f_{right}) = gain(f_{peak})/√2</w:t>
      </w:r>
    </w:p>
    <w:p w:rsidR="00000000" w:rsidDel="00000000" w:rsidP="00000000" w:rsidRDefault="00000000" w:rsidRPr="00000000" ns1:paraId="00000071">
      <w:pPr>
        <w:spacing w:after="160" w:before="160" w:lineRule="auto"/>
        <w:rPr>
          <w:sz w:val="24"/>
          <w:szCs w:val="24"/>
        </w:rPr>
      </w:pPr>
      <w:r w:rsidDel="00000000" w:rsidR="00000000" w:rsidRPr="00000000">
        <w:rPr>
          <w:sz w:val="24"/>
          <w:szCs w:val="24"/>
          <w:rtl w:val="0"/>
        </w:rPr>
        <w:t xml:space="preserve">For the calibration analysis in Figure 2E, this quantity is only meaningful if the underlying trajectory actually contains a disturbance for shear-induced phase drift to act on; a trajectory integrated with zero noise carries no such information regardless of the true underlying physics (see Discussion). We therefore compute Figure 2E from trajectories simulated with additive process noise (not measurement noise added after the fact), averaged over 8 noise realizations per grid cell; every other figure's Q-factor is computed directly from the recorded or simulated trial as described above.</w:t>
      </w:r>
    </w:p>
    <w:p w:rsidR="00000000" w:rsidDel="00000000" w:rsidP="00000000" w:rsidRDefault="00000000" w:rsidRPr="00000000" ns1:paraId="00000072">
      <w:pPr>
        <w:spacing w:after="160" w:before="160" w:lineRule="auto"/>
        <w:rPr>
          <w:sz w:val="24"/>
          <w:szCs w:val="24"/>
        </w:rPr>
      </w:pPr>
      <w:r w:rsidDel="00000000" w:rsidR="00000000" w:rsidRPr="00000000">
        <w:rPr>
          <w:sz w:val="24"/>
          <w:szCs w:val="24"/>
          <w:rtl w:val="0"/>
        </w:rPr>
        <w:t xml:space="preserve">Coordination dimensionality. From the singular values σ_1, σ_2, … of the delay-coordinate data matrix X used to fit the model, we compute the participation ratio</w:t>
      </w:r>
    </w:p>
    <w:p w:rsidR="00000000" w:rsidDel="00000000" w:rsidP="00000000" w:rsidRDefault="00000000" w:rsidRPr="00000000" ns1:paraId="00000073">
      <w:pPr>
        <w:spacing w:after="160" w:before="160" w:lineRule="auto"/>
        <w:rPr>
          <w:i w:val="1"/>
          <w:iCs w:val="1"/>
          <w:sz w:val="24"/>
          <w:szCs w:val="24"/>
        </w:rPr>
      </w:pPr>
      <w:r w:rsidDel="00000000" w:rsidR="00000000" w:rsidRPr="00000000">
        <w:rPr>
          <w:i w:val="1"/>
          <w:iCs w:val="1"/>
          <w:sz w:val="24"/>
          <w:szCs w:val="24"/>
          <w:rtl w:val="0"/>
        </w:rPr>
        <w:t xml:space="preserve">PR = (Σᵢ σᵢ)² / Σᵢ σᵢ²</w:t>
      </w:r>
    </w:p>
    <w:p w:rsidR="00000000" w:rsidDel="00000000" w:rsidP="00000000" w:rsidRDefault="00000000" w:rsidRPr="00000000" ns1:paraId="00000074">
      <w:pPr>
        <w:spacing w:after="160" w:before="160" w:lineRule="auto"/>
        <w:rPr>
          <w:sz w:val="24"/>
          <w:szCs w:val="24"/>
        </w:rPr>
      </w:pPr>
      <w:r w:rsidDel="00000000" w:rsidR="00000000" w:rsidRPr="00000000">
        <w:rPr>
          <w:sz w:val="24"/>
          <w:szCs w:val="24"/>
          <w:rtl w:val="0"/>
        </w:rPr>
        <w:t xml:space="preserve">which equals the true rank if all retained singular values are equal, and falls toward 1 as the variance concentrates onto a single dominant direction; it is a continuous, data-driven stand-in for "how many effective coordination patterns" the recording actually uses.</w:t>
      </w:r>
    </w:p>
    <w:p w:rsidR="00000000" w:rsidDel="00000000" w:rsidP="00000000" w:rsidRDefault="00000000" w:rsidRPr="00000000" ns1:paraId="00000075">
      <w:pPr>
        <w:spacing w:after="160" w:before="160" w:lineRule="auto"/>
        <w:rPr>
          <w:sz w:val="24"/>
          <w:szCs w:val="24"/>
        </w:rPr>
      </w:pPr>
      <w:r w:rsidDel="00000000" w:rsidR="00000000" w:rsidRPr="00000000">
        <w:rPr>
          <w:rFonts w:ascii="Arial Unicode MS" w:cs="Arial Unicode MS" w:eastAsia="Arial Unicode MS" w:hAnsi="Arial Unicode MS"/>
          <w:sz w:val="24"/>
          <w:szCs w:val="24"/>
          <w:rtl w:val="0"/>
        </w:rPr>
        <w:t xml:space="preserve">Joint-to-joint routing. For two joints (an "input" joint and an "output" joint, possibly the same joint), we evaluate how strongly the resolvent (zI − Ã)^{−1} at the trial's stride frequency maps the input joint's delay-coordinate block onto the output joint's delay-coordinate block, after projecting through the same reduced subspace U_r used to fit the model:</w:t>
      </w:r>
    </w:p>
    <w:p w:rsidR="00000000" w:rsidDel="00000000" w:rsidP="00000000" w:rsidRDefault="00000000" w:rsidRPr="00000000" ns1:paraId="00000076">
      <w:pPr>
        <w:spacing w:after="160" w:before="16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G_{out,in} = ‖ C_{out} (zI − Ã)^{−1} B_{in} ‖_2</w:t>
      </w:r>
    </w:p>
    <w:p w:rsidR="00000000" w:rsidDel="00000000" w:rsidP="00000000" w:rsidRDefault="00000000" w:rsidRPr="00000000" ns1:paraId="00000077">
      <w:pPr>
        <w:spacing w:after="160" w:before="160" w:lineRule="auto"/>
        <w:rPr>
          <w:sz w:val="24"/>
          <w:szCs w:val="24"/>
        </w:rPr>
      </w:pPr>
      <w:r w:rsidDel="00000000" w:rsidR="00000000" w:rsidRPr="00000000">
        <w:rPr>
          <w:sz w:val="24"/>
          <w:szCs w:val="24"/>
          <w:rtl w:val="0"/>
        </w:rPr>
        <w:t xml:space="preserve">where B_{in} and C_{out} select the rows of U_r corresponding to the input and output joints' delay coordinates, respectively (equivalently, all d delayed copies of that joint's channel). Collecting G_{out,in} for every pair of the p joints gives a p × p routing matrix; throughout the paper this matrix is normalized by its own total (so that its entries sum to 1) before comparison across trials, which is what lets routing – unlike the response measures above – be compared safely across recordings with different overall response scales (see "Why routing, not magnitude, is compared across studies" below).</w:t>
      </w:r>
    </w:p>
    <w:p w:rsidR="00000000" w:rsidDel="00000000" w:rsidP="00000000" w:rsidRDefault="00000000" w:rsidRPr="00000000" ns1:paraId="00000078">
      <w:pPr>
        <w:pStyle w:val="Heading3"/>
        <w:keepNext w:val="0"/>
        <w:keepLines w:val="0"/>
        <w:spacing w:after="140" w:before="400" w:line="335.99999999999994" w:lineRule="auto"/>
        <w:rPr>
          <w:b w:val="1"/>
          <w:bCs w:val="1"/>
          <w:color w:val="000000"/>
          <w:sz w:val="30"/>
          <w:szCs w:val="30"/>
        </w:rPr>
      </w:pPr>
      <w:bookmarkStart w:colFirst="0" w:colLast="0" w:name="_6on9fn60v4g8" w:id="20"/>
      <w:bookmarkEnd w:id="20"/>
      <w:r w:rsidDel="00000000" w:rsidR="00000000" w:rsidRPr="00000000">
        <w:rPr>
          <w:b w:val="1"/>
          <w:bCs w:val="1"/>
          <w:color w:val="000000"/>
          <w:sz w:val="30"/>
          <w:szCs w:val="30"/>
          <w:rtl w:val="0"/>
        </w:rPr>
        <w:t xml:space="preserve">Choosing model complexity</w:t>
      </w:r>
    </w:p>
    <w:p w:rsidR="00000000" w:rsidDel="00000000" w:rsidP="00000000" w:rsidRDefault="00000000" w:rsidRPr="00000000" ns1:paraId="00000079">
      <w:pPr>
        <w:spacing w:after="160" w:before="160" w:lineRule="auto"/>
        <w:rPr>
          <w:sz w:val="24"/>
          <w:szCs w:val="24"/>
        </w:rPr>
      </w:pPr>
      <w:r w:rsidDel="00000000" w:rsidR="00000000" w:rsidRPr="00000000">
        <w:rPr>
          <w:rFonts w:ascii="Arial Unicode MS" w:cs="Arial Unicode MS" w:eastAsia="Arial Unicode MS" w:hAnsi="Arial Unicode MS"/>
          <w:sz w:val="24"/>
          <w:szCs w:val="24"/>
          <w:rtl w:val="0"/>
        </w:rPr>
        <w:t xml:space="preserve">Two settings are fixed throughout this paper: the delay count d and the retained rank r. We chose both a priori – d = 32 samples and r = 70 for every human model – rather than tuning them per trial or per group, and then tested the sensitivity of our conclusions to that choice across a grid of d ∈ {12, 16, 20, 26, 32, 40, 52, 64, 80} and r ∈ {10, 20, 30, 40, 50, 60, 70} (63 combinations; results in the Supplement). We looked for, but did not find, a data-driven rule that reliably selects a "best" complexity from these recordings. A standard model-selection criterion (the Bayesian information criterion, evaluated from the model's one-step prediction residuals with an effective parameter count of r² + 1) decreased monotonically across the entire tested range of r without a minimum, because the delay-coordinate construction repeats each of the underlying T measured samples once per delay, inflating the apparent number of independent observations well beyond the T×p values actually recorded and preventing the criterion's complexity penalty from ever catching up. Held-out forecast accuracy was more informative: one-step-ahead error continued to fall with increasing r, but multi-cycle rollout accuracy – the forecasts shown throughout this paper – plateaued above roughly r = 15. We therefore fixed r = 70 (comfortably inside the plateau, and consistent with the rank used in earlier drafts of this analysis) and confirmed that none of our qualitative conclusions changed across the tested grid.</w:t>
      </w:r>
    </w:p>
    <w:p w:rsidR="00000000" w:rsidDel="00000000" w:rsidP="00000000" w:rsidRDefault="00000000" w:rsidRPr="00000000" ns1:paraId="0000007A">
      <w:pPr>
        <w:pStyle w:val="Heading3"/>
        <w:keepNext w:val="0"/>
        <w:keepLines w:val="0"/>
        <w:spacing w:after="140" w:before="400" w:line="335.99999999999994" w:lineRule="auto"/>
        <w:rPr>
          <w:b w:val="1"/>
          <w:bCs w:val="1"/>
          <w:color w:val="000000"/>
          <w:sz w:val="30"/>
          <w:szCs w:val="30"/>
        </w:rPr>
      </w:pPr>
      <w:bookmarkStart w:colFirst="0" w:colLast="0" w:name="_vc2wvtyoubu8" w:id="21"/>
      <w:bookmarkEnd w:id="21"/>
      <w:r w:rsidDel="00000000" w:rsidR="00000000" w:rsidRPr="00000000">
        <w:rPr>
          <w:b w:val="1"/>
          <w:bCs w:val="1"/>
          <w:color w:val="000000"/>
          <w:sz w:val="30"/>
          <w:szCs w:val="30"/>
          <w:rtl w:val="0"/>
        </w:rPr>
        <w:t xml:space="preserve">Why routing, not magnitude, is compared across studies</w:t>
      </w:r>
    </w:p>
    <w:p w:rsidR="00000000" w:rsidDel="00000000" w:rsidP="00000000" w:rsidRDefault="00000000" w:rsidRPr="00000000" ns1:paraId="0000007B">
      <w:pPr>
        <w:spacing w:after="160" w:before="160" w:lineRule="auto"/>
        <w:rPr>
          <w:sz w:val="24"/>
          <w:szCs w:val="24"/>
        </w:rPr>
      </w:pPr>
      <w:r w:rsidDel="00000000" w:rsidR="00000000" w:rsidRPr="00000000">
        <w:rPr>
          <w:sz w:val="24"/>
          <w:szCs w:val="24"/>
          <w:rtl w:val="0"/>
        </w:rPr>
        <w:t xml:space="preserve">The two human source studies described above were preprocessed differently before we received them, and we found – using standard, non-dynamical gait metrics that overlapped completely between studies – that this was a difference in processing rather than in the underlying walking. It nonetheless changed how cleanly our delay-coordinate models could be fit, which shifts every response measure that depends on absolute response scale (transient amplification, frequency-response gain, departure from normality) in a way that mimics a large biological effect. The joint-to-joint routing matrix, once normalized to sum to 1 within each trial as described above, is far less sensitive to this difference (Figure 7A tests this directly). Group comparisons of scale-sensitive measures (Figures 5, 6) are therefore always made within a single source study; the individual-signature analysis (Figure 7), which uses only normalized routing, pools both studies and verifies the pooling is safe rather than assuming it.</w:t>
      </w:r>
    </w:p>
    <w:p w:rsidR="00000000" w:rsidDel="00000000" w:rsidP="00000000" w:rsidRDefault="00000000" w:rsidRPr="00000000" ns1:paraId="0000007C">
      <w:pPr>
        <w:pStyle w:val="Heading3"/>
        <w:keepNext w:val="0"/>
        <w:keepLines w:val="0"/>
        <w:spacing w:after="140" w:before="400" w:line="335.99999999999994" w:lineRule="auto"/>
        <w:rPr>
          <w:b w:val="1"/>
          <w:bCs w:val="1"/>
          <w:color w:val="000000"/>
          <w:sz w:val="30"/>
          <w:szCs w:val="30"/>
        </w:rPr>
      </w:pPr>
      <w:bookmarkStart w:colFirst="0" w:colLast="0" w:name="_gkj4o8ljc7b6" w:id="22"/>
      <w:bookmarkEnd w:id="22"/>
      <w:r w:rsidDel="00000000" w:rsidR="00000000" w:rsidRPr="00000000">
        <w:rPr>
          <w:b w:val="1"/>
          <w:bCs w:val="1"/>
          <w:color w:val="000000"/>
          <w:sz w:val="30"/>
          <w:szCs w:val="30"/>
          <w:rtl w:val="0"/>
        </w:rPr>
        <w:t xml:space="preserve">Statistics</w:t>
      </w:r>
    </w:p>
    <w:p w:rsidR="00000000" w:rsidDel="00000000" w:rsidP="00000000" w:rsidRDefault="00000000" w:rsidRPr="00000000" ns1:paraId="0000007D">
      <w:pPr>
        <w:spacing w:after="160" w:before="160" w:lineRule="auto"/>
        <w:rPr>
          <w:sz w:val="24"/>
          <w:szCs w:val="24"/>
        </w:rPr>
      </w:pPr>
      <w:r w:rsidDel="00000000" w:rsidR="00000000" w:rsidRPr="00000000">
        <w:rPr>
          <w:sz w:val="24"/>
          <w:szCs w:val="24"/>
          <w:rtl w:val="0"/>
        </w:rPr>
        <w:t xml:space="preserve">The independent unit is the subject. Group contrasts use permutation tests with subject-level labels and hierarchical bootstraps resampling subjects rather than trials; within-subject associations are computed per subject and combined across subjects. Where a candidate measure is selected from a screen of several (Figure 6I), the screen size is reported and standard multiple-comparison corrections are applied.</w:t>
      </w:r>
    </w:p>
    <w:p w:rsidR="00000000" w:rsidDel="00000000" w:rsidP="00000000" w:rsidRDefault="00000000" w:rsidRPr="00000000" ns1:paraId="0000007E">
      <w:pPr>
        <w:pStyle w:val="Heading3"/>
        <w:keepNext w:val="0"/>
        <w:keepLines w:val="0"/>
        <w:spacing w:after="140" w:before="400" w:line="335.99999999999994" w:lineRule="auto"/>
        <w:rPr>
          <w:b w:val="1"/>
          <w:bCs w:val="1"/>
          <w:color w:val="000000"/>
          <w:sz w:val="30"/>
          <w:szCs w:val="30"/>
        </w:rPr>
      </w:pPr>
      <w:bookmarkStart w:colFirst="0" w:colLast="0" w:name="_fvatfs3v3kj" w:id="23"/>
      <w:bookmarkEnd w:id="23"/>
      <w:r w:rsidDel="00000000" w:rsidR="00000000" w:rsidRPr="00000000">
        <w:rPr>
          <w:b w:val="1"/>
          <w:bCs w:val="1"/>
          <w:color w:val="000000"/>
          <w:sz w:val="30"/>
          <w:szCs w:val="30"/>
          <w:rtl w:val="0"/>
        </w:rPr>
        <w:t xml:space="preserve">Individual routing signatures</w:t>
      </w:r>
    </w:p>
    <w:p w:rsidR="00000000" w:rsidDel="00000000" w:rsidP="00000000" w:rsidRDefault="00000000" w:rsidRPr="00000000" ns1:paraId="0000007F">
      <w:pPr>
        <w:spacing w:after="160" w:before="160" w:lineRule="auto"/>
        <w:rPr>
          <w:sz w:val="24"/>
          <w:szCs w:val="24"/>
        </w:rPr>
      </w:pPr>
      <w:r w:rsidDel="00000000" w:rsidR="00000000" w:rsidRPr="00000000">
        <w:rPr>
          <w:sz w:val="24"/>
          <w:szCs w:val="24"/>
          <w:rtl w:val="0"/>
        </w:rPr>
        <w:t xml:space="preserve">Each trial's normalized joint-to-joint routing map is log-transformed and averaged within subject to give one 6×6 routing summary per subject, S. Writing S̄_{AB} and s_{AB} for the per-pathway mean and standard deviation of this summary across able-bodied subjects (using a leave-one-out reference when scoring an able-bodied subject, so that no subject is scored against a reference that includes themselves), each subject's deviation is</w:t>
      </w:r>
    </w:p>
    <w:p w:rsidR="00000000" w:rsidDel="00000000" w:rsidP="00000000" w:rsidRDefault="00000000" w:rsidRPr="00000000" ns1:paraId="00000080">
      <w:pPr>
        <w:spacing w:after="160" w:before="16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D = (S − S̄_{AB}) / s_{AB} (element-wise, one value per pathway)</w:t>
      </w:r>
    </w:p>
    <w:p w:rsidR="00000000" w:rsidDel="00000000" w:rsidP="00000000" w:rsidRDefault="00000000" w:rsidRPr="00000000" ns1:paraId="00000081">
      <w:pPr>
        <w:spacing w:after="160" w:before="160" w:lineRule="auto"/>
        <w:rPr>
          <w:sz w:val="24"/>
          <w:szCs w:val="24"/>
        </w:rPr>
      </w:pPr>
      <w:r w:rsidDel="00000000" w:rsidR="00000000" w:rsidRPr="00000000">
        <w:rPr>
          <w:sz w:val="24"/>
          <w:szCs w:val="24"/>
          <w:rtl w:val="0"/>
        </w:rPr>
        <w:t xml:space="preserve">and the abnormality score plotted in Figure 7B is its root-mean-square across all 36 pathways, ‖D‖_2 / 6. Shared deviation patterns (Figure 7C, 7D) are the leading right singular vectors of the matrix of stroke subjects' deviations D. Reproducibility (Figure 7E) is assessed by 200 repetitions of a random split: each subject's recordings are divided into two halves, a deviation vector is built from each half against a reference built from half of the able-bodied subjects, and we report the cosine similarity between same-subject halves versus different-subject halves, along with the rate at which a held-out half correctly identifies its own subject as the nearest match among all subjects.</w:t>
      </w:r>
    </w:p>
    <w:p w:rsidR="00000000" w:rsidDel="00000000" w:rsidP="00000000" w:rsidRDefault="00000000" w:rsidRPr="00000000" ns1:paraId="00000082">
      <w:pPr>
        <w:rPr>
          <w:sz w:val="26"/>
          <w:szCs w:val="26"/>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color w:val="fffff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4.png"/><Relationship Id="rId12" Type="http://schemas.openxmlformats.org/officeDocument/2006/relationships/image" Target="media/image1.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