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60" w:before="0"/>
      </w:pPr>
      <w:r>
        <w:rPr>
          <w:rFonts w:ascii="Arial" w:cs="Arial" w:eastAsia="Arial" w:hAnsi="Arial"/>
          <w:b/>
          <w:bCs/>
          <w:color w:val="FFFFFF"/>
          <w:sz w:val="52"/>
          <w:szCs w:val="52"/>
        </w:rPr>
        <w:t xml:space="preserve">  Casuals Manager App</w:t>
      </w:r>
    </w:p>
    <w:p>
      <w:pPr>
        <w:shd w:fill="2E5FA3" w:val="clear"/>
        <w:spacing w:after="60"/>
      </w:pPr>
      <w:r>
        <w:rPr>
          <w:rFonts w:ascii="Arial" w:cs="Arial" w:eastAsia="Arial" w:hAnsi="Arial"/>
          <w:color w:val="FFFFFF"/>
          <w:sz w:val="30"/>
          <w:szCs w:val="30"/>
        </w:rPr>
        <w:t xml:space="preserve">  Kenya Market &amp; Tax Compliance Analysis</w:t>
      </w:r>
    </w:p>
    <w:p>
      <w:pPr>
        <w:shd w:fill="4A7FC1" w:val="clear"/>
        <w:spacing w:after="280"/>
      </w:pPr>
      <w:r>
        <w:rPr>
          <w:rFonts w:ascii="Arial" w:cs="Arial" w:eastAsia="Arial" w:hAnsi="Arial"/>
          <w:color w:val="FFFFFF"/>
          <w:sz w:val="18"/>
          <w:szCs w:val="18"/>
        </w:rPr>
        <w:t xml:space="preserve">  Prepared: June 2026  |  Jurisdiction: Republic of Kenya  |  Applicable Law: Finance Act 2023, Tax Laws (Amendment) Act 2024</w:t>
      </w:r>
    </w:p>
    <w:p>
      <w:pPr>
        <w:pStyle w:val="Heading1"/>
        <w:spacing w:after="120" w:before="360"/>
      </w:pPr>
      <w:r>
        <w:rPr>
          <w:rFonts w:ascii="Arial" w:cs="Arial" w:eastAsia="Arial" w:hAnsi="Arial"/>
          <w:b/>
          <w:bCs/>
          <w:color w:val="1A3C6E"/>
          <w:sz w:val="32"/>
          <w:szCs w:val="32"/>
        </w:rPr>
        <w:t xml:space="preserve">Executive Summary</w:t>
      </w:r>
    </w:p>
    <w:p>
      <w:pPr>
        <w:spacing w:after="120"/>
      </w:pPr>
      <w:r>
        <w:rPr>
          <w:rFonts w:ascii="Arial" w:cs="Arial" w:eastAsia="Arial" w:hAnsi="Arial"/>
          <w:sz w:val="22"/>
          <w:szCs w:val="22"/>
        </w:rPr>
        <w:t xml:space="preserve">This analysis reviews a Flutter/Dart mobile payroll application (the "Casuals Manager App") designed to manage casual workers, attendance, shifts, and payroll generation. The codebase has been assessed against Kenya's current statutory framework including the Income Tax Act (Cap. 470), Finance Act 2023, Tax Laws (Amendment) Act 2024, NSSF Act 2013, Social Health Insurance Act 2024 (SHIF), and the Affordable Housing Act 2024.</w:t>
      </w:r>
    </w:p>
    <w:p>
      <w:pPr>
        <w:spacing w:after="120"/>
      </w:pPr>
      <w:r>
        <w:rPr>
          <w:rFonts w:ascii="Arial" w:cs="Arial" w:eastAsia="Arial" w:hAnsi="Arial"/>
          <w:sz w:val="22"/>
          <w:szCs w:val="22"/>
        </w:rPr>
        <w:t xml:space="preserve">The application is well-suited to Kenya's informal and casual labour market, but contains several critical compliance gaps that expose employers to KRA penalties and reputational risk. Six high-priority issues require remediation before the app can be considered fully tax-compliant.</w:t>
      </w:r>
    </w:p>
    <w:p>
      <w:pPr>
        <w:pBdr>
          <w:bottom w:val="single" w:color="2E5FA3" w:sz="4" w:space="1"/>
        </w:pBdr>
        <w:spacing w:after="160"/>
      </w:pPr>
      <w:r>
        <w:t xml:space="preserve"/>
      </w:r>
    </w:p>
    <w:p>
      <w:pPr>
        <w:pStyle w:val="Heading1"/>
        <w:spacing w:after="120" w:before="360"/>
      </w:pPr>
      <w:r>
        <w:rPr>
          <w:rFonts w:ascii="Arial" w:cs="Arial" w:eastAsia="Arial" w:hAnsi="Arial"/>
          <w:b/>
          <w:bCs/>
          <w:color w:val="1A3C6E"/>
          <w:sz w:val="32"/>
          <w:szCs w:val="32"/>
        </w:rPr>
        <w:t xml:space="preserve">1. Market Relevance to Kenya</w:t>
      </w:r>
    </w:p>
    <w:p>
      <w:pPr>
        <w:pStyle w:val="Heading2"/>
        <w:spacing w:after="100" w:before="240"/>
      </w:pPr>
      <w:r>
        <w:rPr>
          <w:rFonts w:ascii="Arial" w:cs="Arial" w:eastAsia="Arial" w:hAnsi="Arial"/>
          <w:b/>
          <w:bCs/>
          <w:color w:val="2E5FA3"/>
          <w:sz w:val="26"/>
          <w:szCs w:val="26"/>
        </w:rPr>
        <w:t xml:space="preserve">1.1 Target Sector Fit</w:t>
      </w:r>
    </w:p>
    <w:p>
      <w:pPr>
        <w:spacing w:after="120"/>
      </w:pPr>
      <w:r>
        <w:rPr>
          <w:rFonts w:ascii="Arial" w:cs="Arial" w:eastAsia="Arial" w:hAnsi="Arial"/>
          <w:sz w:val="22"/>
          <w:szCs w:val="22"/>
        </w:rPr>
        <w:t xml:space="preserve">Kenya's labour market is characterised by a large casual workforce. Industries such as construction, manufacturing, agriculture, warehousing, hospitality, and security rely heavily on daily-rated and hourly casual workers. The app directly addresses this segment with features including:</w:t>
      </w:r>
    </w:p>
    <w:p>
      <w:pPr>
        <w:pStyle w:val="ListParagraph"/>
        <w:numPr>
          <w:ilvl w:val="0"/>
          <w:numId w:val="2"/>
        </w:numPr>
        <w:spacing w:after="80"/>
      </w:pPr>
      <w:r>
        <w:rPr>
          <w:rFonts w:ascii="Arial" w:cs="Arial" w:eastAsia="Arial" w:hAnsi="Arial"/>
          <w:color w:val="000000"/>
          <w:sz w:val="22"/>
          <w:szCs w:val="22"/>
        </w:rPr>
        <w:t xml:space="preserve">Daily-rate (isHourly = false) and hourly-rate pay modes — matching the two dominant pay structures for casual labour in Kenya.</w:t>
      </w:r>
    </w:p>
    <w:p>
      <w:pPr>
        <w:pStyle w:val="ListParagraph"/>
        <w:numPr>
          <w:ilvl w:val="0"/>
          <w:numId w:val="2"/>
        </w:numPr>
        <w:spacing w:after="80"/>
      </w:pPr>
      <w:r>
        <w:rPr>
          <w:rFonts w:ascii="Arial" w:cs="Arial" w:eastAsia="Arial" w:hAnsi="Arial"/>
          <w:color w:val="000000"/>
          <w:sz w:val="22"/>
          <w:szCs w:val="22"/>
        </w:rPr>
        <w:t xml:space="preserve">Mobile Money (M-Pesa) payment tracking alongside cash — reflecting the reality that most Kenyan casual workers are paid via M-Pesa.</w:t>
      </w:r>
    </w:p>
    <w:p>
      <w:pPr>
        <w:pStyle w:val="ListParagraph"/>
        <w:numPr>
          <w:ilvl w:val="0"/>
          <w:numId w:val="2"/>
        </w:numPr>
        <w:spacing w:after="80"/>
      </w:pPr>
      <w:r>
        <w:rPr>
          <w:rFonts w:ascii="Arial" w:cs="Arial" w:eastAsia="Arial" w:hAnsi="Arial"/>
          <w:color w:val="000000"/>
          <w:sz w:val="22"/>
          <w:szCs w:val="22"/>
        </w:rPr>
        <w:t xml:space="preserve">KES as the native currency — correctly localised for the Kenyan market.</w:t>
      </w:r>
    </w:p>
    <w:p>
      <w:pPr>
        <w:pStyle w:val="ListParagraph"/>
        <w:numPr>
          <w:ilvl w:val="0"/>
          <w:numId w:val="2"/>
        </w:numPr>
        <w:spacing w:after="80"/>
      </w:pPr>
      <w:r>
        <w:rPr>
          <w:rFonts w:ascii="Arial" w:cs="Arial" w:eastAsia="Arial" w:hAnsi="Arial"/>
          <w:color w:val="000000"/>
          <w:sz w:val="22"/>
          <w:szCs w:val="22"/>
        </w:rPr>
        <w:t xml:space="preserve">Kenyan sample worker names (Kamau, Wanjiru, Ochieng, Akinyi, Mutua) suggesting local-first design intent.</w:t>
      </w:r>
    </w:p>
    <w:p>
      <w:pPr>
        <w:pStyle w:val="ListParagraph"/>
        <w:numPr>
          <w:ilvl w:val="0"/>
          <w:numId w:val="2"/>
        </w:numPr>
        <w:spacing w:after="80"/>
      </w:pPr>
      <w:r>
        <w:rPr>
          <w:rFonts w:ascii="Arial" w:cs="Arial" w:eastAsia="Arial" w:hAnsi="Arial"/>
          <w:color w:val="000000"/>
          <w:sz w:val="22"/>
          <w:szCs w:val="22"/>
        </w:rPr>
        <w:t xml:space="preserve">Roles common in Kenyan casual markets: General Labourer, Supervisor, Machine Operator, Cleaner, Security Guard.</w:t>
      </w:r>
    </w:p>
    <w:p>
      <w:pPr>
        <w:pStyle w:val="ListParagraph"/>
        <w:numPr>
          <w:ilvl w:val="0"/>
          <w:numId w:val="2"/>
        </w:numPr>
        <w:spacing w:after="80"/>
      </w:pPr>
      <w:r>
        <w:rPr>
          <w:rFonts w:ascii="Arial" w:cs="Arial" w:eastAsia="Arial" w:hAnsi="Arial"/>
          <w:color w:val="000000"/>
          <w:sz w:val="22"/>
          <w:szCs w:val="22"/>
        </w:rPr>
        <w:t xml:space="preserve">Shift scheduling with clock-in/clock-out attendance — aligned with Kenya's Employment Act requirement to maintain work records.</w:t>
      </w:r>
    </w:p>
    <w:p>
      <w:pPr>
        <w:pStyle w:val="ListParagraph"/>
        <w:numPr>
          <w:ilvl w:val="0"/>
          <w:numId w:val="2"/>
        </w:numPr>
        <w:spacing w:after="80"/>
      </w:pPr>
      <w:r>
        <w:rPr>
          <w:rFonts w:ascii="Arial" w:cs="Arial" w:eastAsia="Arial" w:hAnsi="Arial"/>
          <w:color w:val="000000"/>
          <w:sz w:val="22"/>
          <w:szCs w:val="22"/>
        </w:rPr>
        <w:t xml:space="preserve">PDF payslip generation — supports the Employment Act (Cap. 226), Section 14 obligation to provide itemised pay statements.</w:t>
      </w:r>
    </w:p>
    <w:p>
      <w:pPr>
        <w:pStyle w:val="Heading2"/>
        <w:spacing w:after="100" w:before="240"/>
      </w:pPr>
      <w:r>
        <w:rPr>
          <w:rFonts w:ascii="Arial" w:cs="Arial" w:eastAsia="Arial" w:hAnsi="Arial"/>
          <w:b/>
          <w:bCs/>
          <w:color w:val="2E5FA3"/>
          <w:sz w:val="26"/>
          <w:szCs w:val="26"/>
        </w:rPr>
        <w:t xml:space="preserve">1.2 App Architecture Assessment</w:t>
      </w:r>
    </w:p>
    <w:p>
      <w:pPr>
        <w:spacing w:after="120"/>
      </w:pPr>
      <w:r>
        <w:rPr>
          <w:rFonts w:ascii="Arial" w:cs="Arial" w:eastAsia="Arial" w:hAnsi="Arial"/>
          <w:sz w:val="22"/>
          <w:szCs w:val="22"/>
        </w:rPr>
        <w:t xml:space="preserve">The app is built with Flutter (Dart), uses Riverpod for state management and Hive for local offline storage. This offline-first architecture is appropriate for Kenya given variable internet connectivity in many work sites. The modular structure (workers / attendance / shifts / payroll / core) is clean and maintainable.</w:t>
      </w:r>
    </w:p>
    <w:p>
      <w:pPr>
        <w:pBdr>
          <w:bottom w:val="single" w:color="2E5FA3" w:sz="4" w:space="1"/>
        </w:pBdr>
        <w:spacing w:after="160"/>
      </w:pPr>
      <w:r>
        <w:t xml:space="preserve"/>
      </w:r>
    </w:p>
    <w:p>
      <w:pPr>
        <w:pStyle w:val="Heading1"/>
        <w:spacing w:after="120" w:before="360"/>
      </w:pPr>
      <w:r>
        <w:rPr>
          <w:rFonts w:ascii="Arial" w:cs="Arial" w:eastAsia="Arial" w:hAnsi="Arial"/>
          <w:b/>
          <w:bCs/>
          <w:color w:val="1A3C6E"/>
          <w:sz w:val="32"/>
          <w:szCs w:val="32"/>
        </w:rPr>
        <w:t xml:space="preserve">2. Tax Compliance Analysis</w:t>
      </w:r>
    </w:p>
    <w:p>
      <w:pPr>
        <w:pStyle w:val="Heading2"/>
        <w:spacing w:after="100" w:before="240"/>
      </w:pPr>
      <w:r>
        <w:rPr>
          <w:rFonts w:ascii="Arial" w:cs="Arial" w:eastAsia="Arial" w:hAnsi="Arial"/>
          <w:b/>
          <w:bCs/>
          <w:color w:val="2E5FA3"/>
          <w:sz w:val="26"/>
          <w:szCs w:val="26"/>
        </w:rPr>
        <w:t xml:space="preserve">2.1 PAYE — Pay As You Earn (Critical Gap)</w:t>
      </w:r>
    </w:p>
    <w:p>
      <w:pPr>
        <w:spacing w:after="120"/>
      </w:pPr>
      <w:r>
        <w:rPr>
          <w:rFonts w:ascii="Arial" w:cs="Arial" w:eastAsia="Arial" w:hAnsi="Arial"/>
          <w:sz w:val="22"/>
          <w:szCs w:val="22"/>
        </w:rPr>
        <w:t xml:space="preserve">The app applies a flat 16% tax rate to all taxable workers:</w:t>
      </w:r>
    </w:p>
    <w:p>
      <w:pPr>
        <w:shd w:fill="FFF8E1" w:val="clear"/>
        <w:spacing w:after="100"/>
      </w:pPr>
      <w:r>
        <w:rPr>
          <w:rFonts w:ascii="Courier New" w:cs="Courier New" w:eastAsia="Courier New" w:hAnsi="Courier New"/>
          <w:color w:val="B71C1C"/>
          <w:sz w:val="20"/>
          <w:szCs w:val="20"/>
        </w:rPr>
        <w:t xml:space="preserve">  // Tax rate - 16% for demonstration (PAYE simplified)
  const double kTaxRate = 0.16;</w:t>
      </w:r>
    </w:p>
    <w:p>
      <w:pPr>
        <w:spacing w:after="120"/>
      </w:pPr>
      <w:r>
        <w:rPr>
          <w:rFonts w:ascii="Arial" w:cs="Arial" w:eastAsia="Arial" w:hAnsi="Arial"/>
          <w:sz w:val="22"/>
          <w:szCs w:val="22"/>
        </w:rPr>
        <w:t xml:space="preserve">This is NON-COMPLIANT. Kenya's PAYE system under Finance Act 2023 (effective 1 July 2023) is progressive. The correct monthly bands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rPr>
          <w:tblHeader/>
        </w:trP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Monthly Income Band (KES)</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Annual Equivalent</w:t>
            </w:r>
          </w:p>
        </w:tc>
        <w:tc>
          <w:tcPr>
            <w:tcW w:type="dxa" w:w="2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Tax Rate</w:t>
            </w:r>
          </w:p>
        </w:tc>
        <w:tc>
          <w:tcPr>
            <w:tcW w:type="dxa" w:w="22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Tax on Band (KES)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24,000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288,000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8,333 (24,001–32,333)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288,001–388,000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2,083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467,667 (32,334–500,000)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388,001–6,000,000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140,300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300,000 (500,001–800,000)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6,000,001–9,600,000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97,500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800,000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Above 9,600,000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bl>
    <w:p>
      <w:pPr>
        <w:spacing w:after="160"/>
      </w:pPr>
    </w:p>
    <w:p>
      <w:pPr>
        <w:spacing w:after="120"/>
      </w:pPr>
      <w:r>
        <w:rPr>
          <w:rFonts w:ascii="Arial" w:cs="Arial" w:eastAsia="Arial" w:hAnsi="Arial"/>
          <w:sz w:val="22"/>
          <w:szCs w:val="22"/>
        </w:rPr>
        <w:t xml:space="preserve">Additionally, every employee is entitled to a Personal Relief of KES 2,400 per month (KES 28,800/year), which is deducted from the computed tax — not from taxable income. This effectively means income up to KES 24,000/month bears zero net PAYE liability.</w:t>
      </w:r>
    </w:p>
    <w:p>
      <w:pPr>
        <w:spacing w:after="120"/>
      </w:pPr>
      <w:r>
        <w:rPr>
          <w:rFonts w:ascii="Arial" w:cs="Arial" w:eastAsia="Arial" w:hAnsi="Arial"/>
          <w:sz w:val="22"/>
          <w:szCs w:val="22"/>
        </w:rPr>
        <w:t xml:space="preserve">Impact for casual workers: most daily-rated workers earning KES 300–400/day for 20–26 days/month gross KES 6,000–10,400/month — well below the effective PAYE threshold. The app unnecessarily over-deducts by applying 16% to workers who owe zero tax, which is both illegal and unfair to workers.</w:t>
      </w:r>
    </w:p>
    <w:p>
      <w:pPr>
        <w:pStyle w:val="Heading2"/>
        <w:spacing w:after="100" w:before="240"/>
      </w:pPr>
      <w:r>
        <w:rPr>
          <w:rFonts w:ascii="Arial" w:cs="Arial" w:eastAsia="Arial" w:hAnsi="Arial"/>
          <w:b/>
          <w:bCs/>
          <w:color w:val="2E5FA3"/>
          <w:sz w:val="26"/>
          <w:szCs w:val="26"/>
        </w:rPr>
        <w:t xml:space="preserve">2.2 Missing Statutory Deductions (Critical Gap)</w:t>
      </w:r>
    </w:p>
    <w:p>
      <w:pPr>
        <w:spacing w:after="120"/>
      </w:pPr>
      <w:r>
        <w:rPr>
          <w:rFonts w:ascii="Arial" w:cs="Arial" w:eastAsia="Arial" w:hAnsi="Arial"/>
          <w:sz w:val="22"/>
          <w:szCs w:val="22"/>
        </w:rPr>
        <w:t xml:space="preserve">The app computes only one deduction: a flat tax percentage. Kenya law mandates three additional statutory deductions for all employees under a contract of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Deduction</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Rate / Amount</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Employer Match?</w:t>
            </w:r>
          </w:p>
        </w:tc>
        <w:tc>
          <w:tcPr>
            <w:tcW w:type="dxa" w:w="22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App Status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NSSF (Tier I+II)</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6% of pay; Tier I up to KES 8,000 (max KES 480); Tier II on next KES 100,000 (max KES 6,480 from Feb 2026)</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Yes — equal contribution</w:t>
            </w:r>
          </w:p>
        </w:tc>
        <w:tc>
          <w:tcPr>
            <w:tcW w:type="dxa" w:w="2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ABSENT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SHIF (replaces NHIF)</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2.75% of gross pay; min KES 300; no upper cap</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 — employee only deducted, employer remits</w:t>
            </w:r>
          </w:p>
        </w:tc>
        <w:tc>
          <w:tcPr>
            <w:tcW w:type="dxa" w:w="2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ABSENT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Affordable Housing Levy (AHL)</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1.5% of gross pay (employee); employer contributes matching 1.5%</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Yes — equal contribution</w:t>
            </w:r>
          </w:p>
        </w:tc>
        <w:tc>
          <w:tcPr>
            <w:tcW w:type="dxa" w:w="2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ABSENT</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PAYE (progressive)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10%–35% per bands above, less KES 2,400 personal relief</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No</w:t>
            </w:r>
          </w:p>
        </w:tc>
        <w:tc>
          <w:tcPr>
            <w:tcW w:type="dxa" w:w="2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INCORRECT (flat 16%)</w:t>
            </w:r>
          </w:p>
        </w:tc>
      </w:tr>
    </w:tbl>
    <w:p>
      <w:pPr>
        <w:spacing w:after="160"/>
      </w:pPr>
    </w:p>
    <w:p>
      <w:pPr>
        <w:spacing w:after="120"/>
      </w:pPr>
      <w:r>
        <w:rPr>
          <w:rFonts w:ascii="Arial" w:cs="Arial" w:eastAsia="Arial" w:hAnsi="Arial"/>
          <w:sz w:val="22"/>
          <w:szCs w:val="22"/>
        </w:rPr>
        <w:t xml:space="preserve">Failure to deduct and remit NSSF, SHIF, and AHL exposes employers to penalties of up to KES 2,000,000 or three years imprisonment (SHIF), and proportional penalties for NSSF and AHL non-remittance. All three must be remitted to the respective authority by the 9th day of the following month.</w:t>
      </w:r>
    </w:p>
    <w:p>
      <w:pPr>
        <w:spacing w:after="120"/>
      </w:pPr>
      <w:r>
        <w:rPr>
          <w:rFonts w:ascii="Arial" w:cs="Arial" w:eastAsia="Arial" w:hAnsi="Arial"/>
          <w:sz w:val="22"/>
          <w:szCs w:val="22"/>
        </w:rPr>
        <w:t xml:space="preserve">Note on AHL tax deductibility: the Tax Laws (Amendment) Act 2024 (effective 27 December 2024) removed AHL as an allowable deduction for PAYE purposes. The app should therefore deduct AHL from net pay, not from taxable income.</w:t>
      </w:r>
    </w:p>
    <w:p>
      <w:pPr>
        <w:pStyle w:val="Heading2"/>
        <w:spacing w:after="100" w:before="240"/>
      </w:pPr>
      <w:r>
        <w:rPr>
          <w:rFonts w:ascii="Arial" w:cs="Arial" w:eastAsia="Arial" w:hAnsi="Arial"/>
          <w:b/>
          <w:bCs/>
          <w:color w:val="2E5FA3"/>
          <w:sz w:val="26"/>
          <w:szCs w:val="26"/>
        </w:rPr>
        <w:t xml:space="preserve">2.3 PAYE Taxability Toggle — Partial Compliance</w:t>
      </w:r>
    </w:p>
    <w:p>
      <w:pPr>
        <w:spacing w:after="120"/>
      </w:pPr>
      <w:r>
        <w:rPr>
          <w:rFonts w:ascii="Arial" w:cs="Arial" w:eastAsia="Arial" w:hAnsi="Arial"/>
          <w:sz w:val="22"/>
          <w:szCs w:val="22"/>
        </w:rPr>
        <w:t xml:space="preserve">The Worker model includes a taxApplicable boolean field. This is appropriate — casual workers earning below the effective threshold should not have PAYE deducted. However, the implementation simply multiplies by 16% when true, which remains incorrect. The toggle should gate the progressive PAYE calculation, not a flat rate.</w:t>
      </w:r>
    </w:p>
    <w:p>
      <w:pPr>
        <w:spacing w:after="120"/>
      </w:pPr>
      <w:r>
        <w:rPr>
          <w:rFonts w:ascii="Arial" w:cs="Arial" w:eastAsia="Arial" w:hAnsi="Arial"/>
          <w:sz w:val="22"/>
          <w:szCs w:val="22"/>
        </w:rPr>
        <w:t xml:space="preserve">Additionally, sample data shows workers like Peter Ochieng (Machine Operator, KES 120/hr) and Mary Akinyi (Cleaner, KES 300/day) marked as taxApplicable = false while James Mutua (Security Guard, KES 400/day) is marked true. This selective approach is reasonable, but the determination should be based on projected monthly income vs. the KES 24,000 threshold, not manual toggle.</w:t>
      </w:r>
    </w:p>
    <w:p>
      <w:pPr>
        <w:pStyle w:val="Heading2"/>
        <w:spacing w:after="100" w:before="240"/>
      </w:pPr>
      <w:r>
        <w:rPr>
          <w:rFonts w:ascii="Arial" w:cs="Arial" w:eastAsia="Arial" w:hAnsi="Arial"/>
          <w:b/>
          <w:bCs/>
          <w:color w:val="2E5FA3"/>
          <w:sz w:val="26"/>
          <w:szCs w:val="26"/>
        </w:rPr>
        <w:t xml:space="preserve">2.4 Payslip &amp; Record-Keeping — Largely Compliant</w:t>
      </w:r>
    </w:p>
    <w:p>
      <w:pPr>
        <w:spacing w:after="120"/>
      </w:pPr>
      <w:r>
        <w:rPr>
          <w:rFonts w:ascii="Arial" w:cs="Arial" w:eastAsia="Arial" w:hAnsi="Arial"/>
          <w:sz w:val="22"/>
          <w:szCs w:val="22"/>
        </w:rPr>
        <w:t xml:space="preserve">The PDF payslip service (pdf_service.dart) generates per-worker payslips showing gross pay, tax, net pay, pay period, and payment method. This satisfies the Employment Act Section 14 requirement for itemised pay statements. However, the payslip should also display:</w:t>
      </w:r>
    </w:p>
    <w:p>
      <w:pPr>
        <w:pStyle w:val="ListParagraph"/>
        <w:numPr>
          <w:ilvl w:val="0"/>
          <w:numId w:val="2"/>
        </w:numPr>
        <w:spacing w:after="80"/>
      </w:pPr>
      <w:r>
        <w:rPr>
          <w:rFonts w:ascii="Arial" w:cs="Arial" w:eastAsia="Arial" w:hAnsi="Arial"/>
          <w:color w:val="000000"/>
          <w:sz w:val="22"/>
          <w:szCs w:val="22"/>
        </w:rPr>
        <w:t xml:space="preserve">NSSF deduction amount (employee share) and NSSF registration number.</w:t>
      </w:r>
    </w:p>
    <w:p>
      <w:pPr>
        <w:pStyle w:val="ListParagraph"/>
        <w:numPr>
          <w:ilvl w:val="0"/>
          <w:numId w:val="2"/>
        </w:numPr>
        <w:spacing w:after="80"/>
      </w:pPr>
      <w:r>
        <w:rPr>
          <w:rFonts w:ascii="Arial" w:cs="Arial" w:eastAsia="Arial" w:hAnsi="Arial"/>
          <w:color w:val="000000"/>
          <w:sz w:val="22"/>
          <w:szCs w:val="22"/>
        </w:rPr>
        <w:t xml:space="preserve">SHIF deduction amount.</w:t>
      </w:r>
    </w:p>
    <w:p>
      <w:pPr>
        <w:pStyle w:val="ListParagraph"/>
        <w:numPr>
          <w:ilvl w:val="0"/>
          <w:numId w:val="2"/>
        </w:numPr>
        <w:spacing w:after="80"/>
      </w:pPr>
      <w:r>
        <w:rPr>
          <w:rFonts w:ascii="Arial" w:cs="Arial" w:eastAsia="Arial" w:hAnsi="Arial"/>
          <w:color w:val="000000"/>
          <w:sz w:val="22"/>
          <w:szCs w:val="22"/>
        </w:rPr>
        <w:t xml:space="preserve">AHL deduction amount (both employee and employer contributions).</w:t>
      </w:r>
    </w:p>
    <w:p>
      <w:pPr>
        <w:pStyle w:val="ListParagraph"/>
        <w:numPr>
          <w:ilvl w:val="0"/>
          <w:numId w:val="2"/>
        </w:numPr>
        <w:spacing w:after="80"/>
      </w:pPr>
      <w:r>
        <w:rPr>
          <w:rFonts w:ascii="Arial" w:cs="Arial" w:eastAsia="Arial" w:hAnsi="Arial"/>
          <w:color w:val="000000"/>
          <w:sz w:val="22"/>
          <w:szCs w:val="22"/>
        </w:rPr>
        <w:t xml:space="preserve">Employer PIN (KRA PIN) for the remitting entity.</w:t>
      </w:r>
    </w:p>
    <w:p>
      <w:pPr>
        <w:pStyle w:val="ListParagraph"/>
        <w:numPr>
          <w:ilvl w:val="0"/>
          <w:numId w:val="2"/>
        </w:numPr>
        <w:spacing w:after="80"/>
      </w:pPr>
      <w:r>
        <w:rPr>
          <w:rFonts w:ascii="Arial" w:cs="Arial" w:eastAsia="Arial" w:hAnsi="Arial"/>
          <w:color w:val="000000"/>
          <w:sz w:val="22"/>
          <w:szCs w:val="22"/>
        </w:rPr>
        <w:t xml:space="preserve">Employee KRA PIN or National ID (for KRA P9 form reconciliation).</w:t>
      </w:r>
    </w:p>
    <w:p>
      <w:pPr>
        <w:pStyle w:val="Heading2"/>
        <w:spacing w:after="100" w:before="240"/>
      </w:pPr>
      <w:r>
        <w:rPr>
          <w:rFonts w:ascii="Arial" w:cs="Arial" w:eastAsia="Arial" w:hAnsi="Arial"/>
          <w:b/>
          <w:bCs/>
          <w:color w:val="2E5FA3"/>
          <w:sz w:val="26"/>
          <w:szCs w:val="26"/>
        </w:rPr>
        <w:t xml:space="preserve">2.5 Overtime Calculation — Aligned with Employment Act</w:t>
      </w:r>
    </w:p>
    <w:p>
      <w:pPr>
        <w:spacing w:after="120"/>
      </w:pPr>
      <w:r>
        <w:rPr>
          <w:rFonts w:ascii="Arial" w:cs="Arial" w:eastAsia="Arial" w:hAnsi="Arial"/>
          <w:sz w:val="22"/>
          <w:szCs w:val="22"/>
        </w:rPr>
        <w:t xml:space="preserve">The app calculates overtime at 1.5x the regular rate (kOvertimeMultiplier = 1.5) for hours beyond 8 in a day (kOvertimeThreshold = 8.0). This is consistent with Kenya's Employment Act which requires overtime to be compensated at a rate agreed between the parties but not less than 1.5x the normal hourly rate for work beyond 8 hours/day. This aspect of the implementation is compliant.</w:t>
      </w:r>
    </w:p>
    <w:p>
      <w:pPr>
        <w:pStyle w:val="Heading2"/>
        <w:spacing w:after="100" w:before="240"/>
      </w:pPr>
      <w:r>
        <w:rPr>
          <w:rFonts w:ascii="Arial" w:cs="Arial" w:eastAsia="Arial" w:hAnsi="Arial"/>
          <w:b/>
          <w:bCs/>
          <w:color w:val="2E5FA3"/>
          <w:sz w:val="26"/>
          <w:szCs w:val="26"/>
        </w:rPr>
        <w:t xml:space="preserve">2.6 Minimum Wage Compliance — No Validation</w:t>
      </w:r>
    </w:p>
    <w:p>
      <w:pPr>
        <w:spacing w:after="120"/>
      </w:pPr>
      <w:r>
        <w:rPr>
          <w:rFonts w:ascii="Arial" w:cs="Arial" w:eastAsia="Arial" w:hAnsi="Arial"/>
          <w:sz w:val="22"/>
          <w:szCs w:val="22"/>
        </w:rPr>
        <w:t xml:space="preserve">The app sets no minimum pay rate validation. As of November 2024, Kenya's minimum wage ranges from KES 16,113.75/month in cities (Nairobi, Mombasa, Kisumu, Nakuru, Eldoret) to KES 7,997.33 in rural areas. For daily-rated workers, this translates to roughly KES 620–736/day (based on a 22-working-day month).</w:t>
      </w:r>
    </w:p>
    <w:p>
      <w:pPr>
        <w:spacing w:after="120"/>
      </w:pPr>
      <w:r>
        <w:rPr>
          <w:rFonts w:ascii="Arial" w:cs="Arial" w:eastAsia="Arial" w:hAnsi="Arial"/>
          <w:sz w:val="22"/>
          <w:szCs w:val="22"/>
        </w:rPr>
        <w:t xml:space="preserve">The sample data includes workers at KES 300/day and KES 350/day — potentially below minimum wage depending on the sector and location. The app should include a warning when a pay rate is set below the applicable minimum wage for the worker's location/role.</w:t>
      </w:r>
    </w:p>
    <w:p>
      <w:pPr>
        <w:pBdr>
          <w:bottom w:val="single" w:color="2E5FA3" w:sz="4" w:space="1"/>
        </w:pBdr>
        <w:spacing w:after="160"/>
      </w:pPr>
      <w:r>
        <w:t xml:space="preserve"/>
      </w:r>
    </w:p>
    <w:p>
      <w:pPr>
        <w:pStyle w:val="Heading1"/>
        <w:spacing w:after="120" w:before="360"/>
      </w:pPr>
      <w:r>
        <w:rPr>
          <w:rFonts w:ascii="Arial" w:cs="Arial" w:eastAsia="Arial" w:hAnsi="Arial"/>
          <w:b/>
          <w:bCs/>
          <w:color w:val="1A3C6E"/>
          <w:sz w:val="32"/>
          <w:szCs w:val="32"/>
        </w:rPr>
        <w:t xml:space="preserve">3. Compliance Scorecard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tblHeader/>
        </w:trPr>
        <w:tc>
          <w:tcPr>
            <w:tcW w:type="dxa" w:w="3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Compliance Area</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PAYE — Progressive bands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FAIL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 16% used; must implement 5-band progressive system + KES 2,400 personal relief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NSSF deduction &amp; remittance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ABSENT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NSSF calculation or field in payroll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SHIF deduction &amp; remittance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ABSENT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SHIF (2.75% of gross) calculation present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Affordable Housing Levy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ABSENT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AHL (1.5%) calculation; AHL not tax-deductible post-Dec 2024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PAYE taxability toggle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PARTIAL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Toggle exists but applies wrong rate when enabled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Itemised payslip 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PARTIAL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exists but omits NSSF, SHIF, AHL, employer/employee PINs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Overtime calculation (1.5x)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Compliant with Employment Act requirements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vs hourly pay modes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modes correctly implemented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Money payment support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PASS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M-Pesa integration design is market-appropriate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wage validation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ABSENT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floor validation; sample rates may breach minimum wage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KRA remittance deadlines (9th)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ABSENT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remittance reminder or deadline tracking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KRA PIN 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ABSENT</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model has no KRA PIN field for P9 reconciliation</w:t>
            </w:r>
          </w:p>
        </w:tc>
      </w:tr>
    </w:tbl>
    <w:p>
      <w:pPr>
        <w:spacing w:after="200"/>
      </w:pPr>
    </w:p>
    <w:p>
      <w:pPr>
        <w:pBdr>
          <w:bottom w:val="single" w:color="2E5FA3" w:sz="4" w:space="1"/>
        </w:pBdr>
        <w:spacing w:after="160"/>
      </w:pPr>
      <w:r>
        <w:t xml:space="preserve"/>
      </w:r>
    </w:p>
    <w:p>
      <w:pPr>
        <w:pStyle w:val="Heading1"/>
        <w:spacing w:after="120" w:before="360"/>
      </w:pPr>
      <w:r>
        <w:rPr>
          <w:rFonts w:ascii="Arial" w:cs="Arial" w:eastAsia="Arial" w:hAnsi="Arial"/>
          <w:b/>
          <w:bCs/>
          <w:color w:val="1A3C6E"/>
          <w:sz w:val="32"/>
          <w:szCs w:val="32"/>
        </w:rPr>
        <w:t xml:space="preserve">4. Recommendations</w:t>
      </w:r>
    </w:p>
    <w:p>
      <w:pPr>
        <w:pStyle w:val="Heading2"/>
        <w:spacing w:after="100" w:before="240"/>
      </w:pPr>
      <w:r>
        <w:rPr>
          <w:rFonts w:ascii="Arial" w:cs="Arial" w:eastAsia="Arial" w:hAnsi="Arial"/>
          <w:b/>
          <w:bCs/>
          <w:color w:val="2E5FA3"/>
          <w:sz w:val="26"/>
          <w:szCs w:val="26"/>
        </w:rPr>
        <w:t xml:space="preserve">Priority 1 — Critical (Must Fix Before Production)</w:t>
      </w:r>
    </w:p>
    <w:p>
      <w:pPr>
        <w:pStyle w:val="ListParagraph"/>
        <w:numPr>
          <w:ilvl w:val="0"/>
          <w:numId w:val="3"/>
        </w:numPr>
        <w:spacing w:after="80"/>
      </w:pPr>
      <w:r>
        <w:rPr>
          <w:rFonts w:ascii="Arial" w:cs="Arial" w:eastAsia="Arial" w:hAnsi="Arial"/>
          <w:b/>
          <w:bCs/>
          <w:sz w:val="22"/>
          <w:szCs w:val="22"/>
        </w:rPr>
        <w:t xml:space="preserve">Replace flat tax rate with progressive PAYE bands:</w:t>
      </w:r>
    </w:p>
    <w:p>
      <w:pPr>
        <w:pStyle w:val="ListParagraph"/>
        <w:numPr>
          <w:ilvl w:val="0"/>
          <w:numId w:val="2"/>
        </w:numPr>
        <w:spacing w:after="80"/>
      </w:pPr>
      <w:r>
        <w:rPr>
          <w:rFonts w:ascii="Arial" w:cs="Arial" w:eastAsia="Arial" w:hAnsi="Arial"/>
          <w:color w:val="333333"/>
          <w:sz w:val="22"/>
          <w:szCs w:val="22"/>
        </w:rPr>
        <w:t xml:space="preserve">Implement the 5-band table (10% / 25% / 30% / 32.5% / 35%) with the KES 2,400/month personal relief deducted from computed tax.</w:t>
      </w:r>
    </w:p>
    <w:p>
      <w:pPr>
        <w:pStyle w:val="ListParagraph"/>
        <w:numPr>
          <w:ilvl w:val="0"/>
          <w:numId w:val="2"/>
        </w:numPr>
        <w:spacing w:after="80"/>
      </w:pPr>
      <w:r>
        <w:rPr>
          <w:rFonts w:ascii="Arial" w:cs="Arial" w:eastAsia="Arial" w:hAnsi="Arial"/>
          <w:color w:val="333333"/>
          <w:sz w:val="22"/>
          <w:szCs w:val="22"/>
        </w:rPr>
        <w:t xml:space="preserve">Only apply PAYE when the projected monthly gross exceeds KES 24,000 (the effective zero-tax threshold after personal relief).</w:t>
      </w:r>
    </w:p>
    <w:p>
      <w:pPr>
        <w:pStyle w:val="ListParagraph"/>
        <w:numPr>
          <w:ilvl w:val="0"/>
          <w:numId w:val="3"/>
        </w:numPr>
        <w:spacing w:after="80"/>
      </w:pPr>
      <w:r>
        <w:rPr>
          <w:rFonts w:ascii="Arial" w:cs="Arial" w:eastAsia="Arial" w:hAnsi="Arial"/>
          <w:b/>
          <w:bCs/>
          <w:sz w:val="22"/>
          <w:szCs w:val="22"/>
        </w:rPr>
        <w:t xml:space="preserve">Add NSSF, SHIF, and AHL calculations to PayCalculation and PayrollEntry:</w:t>
      </w:r>
    </w:p>
    <w:p>
      <w:pPr>
        <w:pStyle w:val="ListParagraph"/>
        <w:numPr>
          <w:ilvl w:val="0"/>
          <w:numId w:val="2"/>
        </w:numPr>
        <w:spacing w:after="80"/>
      </w:pPr>
      <w:r>
        <w:rPr>
          <w:rFonts w:ascii="Arial" w:cs="Arial" w:eastAsia="Arial" w:hAnsi="Arial"/>
          <w:color w:val="333333"/>
          <w:sz w:val="22"/>
          <w:szCs w:val="22"/>
        </w:rPr>
        <w:t xml:space="preserve">Add fields: nssfEmployee, nssfEmployer, shifEmployee, ahlEmployee, ahlEmployer to PayrollEntry.</w:t>
      </w:r>
    </w:p>
    <w:p>
      <w:pPr>
        <w:pStyle w:val="ListParagraph"/>
        <w:numPr>
          <w:ilvl w:val="0"/>
          <w:numId w:val="2"/>
        </w:numPr>
        <w:spacing w:after="80"/>
      </w:pPr>
      <w:r>
        <w:rPr>
          <w:rFonts w:ascii="Arial" w:cs="Arial" w:eastAsia="Arial" w:hAnsi="Arial"/>
          <w:color w:val="333333"/>
          <w:sz w:val="22"/>
          <w:szCs w:val="22"/>
        </w:rPr>
        <w:t xml:space="preserve">Implement two-tier NSSF: Tier I = 6% on pay up to KES 8,000; Tier II = 6% on pay between KES 8,000 and KES 108,000 (Year 4, from Feb 2026).</w:t>
      </w:r>
    </w:p>
    <w:p>
      <w:pPr>
        <w:pStyle w:val="ListParagraph"/>
        <w:numPr>
          <w:ilvl w:val="0"/>
          <w:numId w:val="2"/>
        </w:numPr>
        <w:spacing w:after="80"/>
      </w:pPr>
      <w:r>
        <w:rPr>
          <w:rFonts w:ascii="Arial" w:cs="Arial" w:eastAsia="Arial" w:hAnsi="Arial"/>
          <w:color w:val="333333"/>
          <w:sz w:val="22"/>
          <w:szCs w:val="22"/>
        </w:rPr>
        <w:t xml:space="preserve">SHIF = 2.75% of gross pay, minimum KES 300, no cap.</w:t>
      </w:r>
    </w:p>
    <w:p>
      <w:pPr>
        <w:pStyle w:val="ListParagraph"/>
        <w:numPr>
          <w:ilvl w:val="0"/>
          <w:numId w:val="2"/>
        </w:numPr>
        <w:spacing w:after="80"/>
      </w:pPr>
      <w:r>
        <w:rPr>
          <w:rFonts w:ascii="Arial" w:cs="Arial" w:eastAsia="Arial" w:hAnsi="Arial"/>
          <w:color w:val="333333"/>
          <w:sz w:val="22"/>
          <w:szCs w:val="22"/>
        </w:rPr>
        <w:t xml:space="preserve">AHL = 1.5% of gross pay (employee) + 1.5% (employer match). Deduct AHL from net pay — it is NOT subtracted from taxable income for PAYE.</w:t>
      </w:r>
    </w:p>
    <w:p>
      <w:pPr>
        <w:pStyle w:val="ListParagraph"/>
        <w:numPr>
          <w:ilvl w:val="0"/>
          <w:numId w:val="3"/>
        </w:numPr>
        <w:spacing w:after="80"/>
      </w:pPr>
      <w:r>
        <w:rPr>
          <w:rFonts w:ascii="Arial" w:cs="Arial" w:eastAsia="Arial" w:hAnsi="Arial"/>
          <w:b/>
          <w:bCs/>
          <w:sz w:val="22"/>
          <w:szCs w:val="22"/>
        </w:rPr>
        <w:t xml:space="preserve">Update payslip PDF to include all statutory line items:</w:t>
      </w:r>
    </w:p>
    <w:p>
      <w:pPr>
        <w:pStyle w:val="ListParagraph"/>
        <w:numPr>
          <w:ilvl w:val="0"/>
          <w:numId w:val="2"/>
        </w:numPr>
        <w:spacing w:after="80"/>
      </w:pPr>
      <w:r>
        <w:rPr>
          <w:rFonts w:ascii="Arial" w:cs="Arial" w:eastAsia="Arial" w:hAnsi="Arial"/>
          <w:color w:val="333333"/>
          <w:sz w:val="22"/>
          <w:szCs w:val="22"/>
        </w:rPr>
        <w:t xml:space="preserve">Gross pay, NSSF (employee), SHIF, AHL (employee), PAYE, total deductions, net pay.</w:t>
      </w:r>
    </w:p>
    <w:p>
      <w:pPr>
        <w:pStyle w:val="ListParagraph"/>
        <w:numPr>
          <w:ilvl w:val="0"/>
          <w:numId w:val="2"/>
        </w:numPr>
        <w:spacing w:after="80"/>
      </w:pPr>
      <w:r>
        <w:rPr>
          <w:rFonts w:ascii="Arial" w:cs="Arial" w:eastAsia="Arial" w:hAnsi="Arial"/>
          <w:color w:val="333333"/>
          <w:sz w:val="22"/>
          <w:szCs w:val="22"/>
        </w:rPr>
        <w:t xml:space="preserve">Employer contributions section: NSSF employer, AHL employer.</w:t>
      </w:r>
    </w:p>
    <w:p>
      <w:pPr>
        <w:pStyle w:val="ListParagraph"/>
        <w:numPr>
          <w:ilvl w:val="0"/>
          <w:numId w:val="2"/>
        </w:numPr>
        <w:spacing w:after="80"/>
      </w:pPr>
      <w:r>
        <w:rPr>
          <w:rFonts w:ascii="Arial" w:cs="Arial" w:eastAsia="Arial" w:hAnsi="Arial"/>
          <w:color w:val="333333"/>
          <w:sz w:val="22"/>
          <w:szCs w:val="22"/>
        </w:rPr>
        <w:t xml:space="preserve">Employer KRA PIN field and employee KRA PIN / ID number field.</w:t>
      </w:r>
    </w:p>
    <w:p>
      <w:pPr>
        <w:pStyle w:val="Heading2"/>
        <w:spacing w:after="100" w:before="240"/>
      </w:pPr>
      <w:r>
        <w:rPr>
          <w:rFonts w:ascii="Arial" w:cs="Arial" w:eastAsia="Arial" w:hAnsi="Arial"/>
          <w:b/>
          <w:bCs/>
          <w:color w:val="2E5FA3"/>
          <w:sz w:val="26"/>
          <w:szCs w:val="26"/>
        </w:rPr>
        <w:t xml:space="preserve">Priority 2 — Important (Fix Within First Release Cycle)</w:t>
      </w:r>
    </w:p>
    <w:p>
      <w:pPr>
        <w:pStyle w:val="ListParagraph"/>
        <w:numPr>
          <w:ilvl w:val="0"/>
          <w:numId w:val="3"/>
        </w:numPr>
        <w:spacing w:after="80"/>
      </w:pPr>
      <w:r>
        <w:rPr>
          <w:rFonts w:ascii="Arial" w:cs="Arial" w:eastAsia="Arial" w:hAnsi="Arial"/>
          <w:b/>
          <w:bCs/>
          <w:sz w:val="22"/>
          <w:szCs w:val="22"/>
        </w:rPr>
        <w:t xml:space="preserve">Add KRA PIN and National ID fields to the Worker model.</w:t>
      </w:r>
    </w:p>
    <w:p>
      <w:pPr>
        <w:pStyle w:val="ListParagraph"/>
        <w:numPr>
          <w:ilvl w:val="0"/>
          <w:numId w:val="2"/>
        </w:numPr>
        <w:spacing w:after="80"/>
      </w:pPr>
      <w:r>
        <w:rPr>
          <w:rFonts w:ascii="Arial" w:cs="Arial" w:eastAsia="Arial" w:hAnsi="Arial"/>
          <w:color w:val="333333"/>
          <w:sz w:val="22"/>
          <w:szCs w:val="22"/>
        </w:rPr>
        <w:t xml:space="preserve">Required for KRA P9A form annual reconciliation submitted by employers.</w:t>
      </w:r>
    </w:p>
    <w:p>
      <w:pPr>
        <w:pStyle w:val="ListParagraph"/>
        <w:numPr>
          <w:ilvl w:val="0"/>
          <w:numId w:val="3"/>
        </w:numPr>
        <w:spacing w:after="80"/>
      </w:pPr>
      <w:r>
        <w:rPr>
          <w:rFonts w:ascii="Arial" w:cs="Arial" w:eastAsia="Arial" w:hAnsi="Arial"/>
          <w:b/>
          <w:bCs/>
          <w:sz w:val="22"/>
          <w:szCs w:val="22"/>
        </w:rPr>
        <w:t xml:space="preserve">Add minimum wage validation on worker creation/editing.</w:t>
      </w:r>
    </w:p>
    <w:p>
      <w:pPr>
        <w:pStyle w:val="ListParagraph"/>
        <w:numPr>
          <w:ilvl w:val="0"/>
          <w:numId w:val="2"/>
        </w:numPr>
        <w:spacing w:after="80"/>
      </w:pPr>
      <w:r>
        <w:rPr>
          <w:rFonts w:ascii="Arial" w:cs="Arial" w:eastAsia="Arial" w:hAnsi="Arial"/>
          <w:color w:val="333333"/>
          <w:sz w:val="22"/>
          <w:szCs w:val="22"/>
        </w:rPr>
        <w:t xml:space="preserve">Display a warning (not a hard block) when pay rate is below the sector/location minimum wage.</w:t>
      </w:r>
    </w:p>
    <w:p>
      <w:pPr>
        <w:pStyle w:val="ListParagraph"/>
        <w:numPr>
          <w:ilvl w:val="0"/>
          <w:numId w:val="2"/>
        </w:numPr>
        <w:spacing w:after="80"/>
      </w:pPr>
      <w:r>
        <w:rPr>
          <w:rFonts w:ascii="Arial" w:cs="Arial" w:eastAsia="Arial" w:hAnsi="Arial"/>
          <w:color w:val="333333"/>
          <w:sz w:val="22"/>
          <w:szCs w:val="22"/>
        </w:rPr>
        <w:t xml:space="preserve">Reference: KES 16,113.75/month city minimum (Nov 2024 gazette) = ~KES 736/day (22 days).</w:t>
      </w:r>
    </w:p>
    <w:p>
      <w:pPr>
        <w:pStyle w:val="ListParagraph"/>
        <w:numPr>
          <w:ilvl w:val="0"/>
          <w:numId w:val="3"/>
        </w:numPr>
        <w:spacing w:after="80"/>
      </w:pPr>
      <w:r>
        <w:rPr>
          <w:rFonts w:ascii="Arial" w:cs="Arial" w:eastAsia="Arial" w:hAnsi="Arial"/>
          <w:b/>
          <w:bCs/>
          <w:sz w:val="22"/>
          <w:szCs w:val="22"/>
        </w:rPr>
        <w:t xml:space="preserve">Add statutory remittance deadline reminders.</w:t>
      </w:r>
    </w:p>
    <w:p>
      <w:pPr>
        <w:pStyle w:val="ListParagraph"/>
        <w:numPr>
          <w:ilvl w:val="0"/>
          <w:numId w:val="2"/>
        </w:numPr>
        <w:spacing w:after="80"/>
      </w:pPr>
      <w:r>
        <w:rPr>
          <w:rFonts w:ascii="Arial" w:cs="Arial" w:eastAsia="Arial" w:hAnsi="Arial"/>
          <w:color w:val="333333"/>
          <w:sz w:val="22"/>
          <w:szCs w:val="22"/>
        </w:rPr>
        <w:t xml:space="preserve">All deductions (PAYE, NSSF, SHIF, AHL) must be remitted to KRA/relevant authority by the 9th of the following month.</w:t>
      </w:r>
    </w:p>
    <w:p>
      <w:pPr>
        <w:pStyle w:val="ListParagraph"/>
        <w:numPr>
          <w:ilvl w:val="0"/>
          <w:numId w:val="2"/>
        </w:numPr>
        <w:spacing w:after="80"/>
      </w:pPr>
      <w:r>
        <w:rPr>
          <w:rFonts w:ascii="Arial" w:cs="Arial" w:eastAsia="Arial" w:hAnsi="Arial"/>
          <w:color w:val="333333"/>
          <w:sz w:val="22"/>
          <w:szCs w:val="22"/>
        </w:rPr>
        <w:t xml:space="preserve">A dashboard notification or calendar export feature would help employers avoid late penalties.</w:t>
      </w:r>
    </w:p>
    <w:p>
      <w:pPr>
        <w:pStyle w:val="Heading2"/>
        <w:spacing w:after="100" w:before="240"/>
      </w:pPr>
      <w:r>
        <w:rPr>
          <w:rFonts w:ascii="Arial" w:cs="Arial" w:eastAsia="Arial" w:hAnsi="Arial"/>
          <w:b/>
          <w:bCs/>
          <w:color w:val="2E5FA3"/>
          <w:sz w:val="26"/>
          <w:szCs w:val="26"/>
        </w:rPr>
        <w:t xml:space="preserve">Priority 3 — Enhancement (Future Roadmap)</w:t>
      </w:r>
    </w:p>
    <w:p>
      <w:pPr>
        <w:pStyle w:val="ListParagraph"/>
        <w:numPr>
          <w:ilvl w:val="0"/>
          <w:numId w:val="2"/>
        </w:numPr>
        <w:spacing w:after="80"/>
      </w:pPr>
      <w:r>
        <w:rPr>
          <w:rFonts w:ascii="Arial" w:cs="Arial" w:eastAsia="Arial" w:hAnsi="Arial"/>
          <w:color w:val="000000"/>
          <w:sz w:val="22"/>
          <w:szCs w:val="22"/>
        </w:rPr>
        <w:t xml:space="preserve">KRA iTax integration for automated P10 (monthly PAYE returns) and P9A (annual returns) filing.</w:t>
      </w:r>
    </w:p>
    <w:p>
      <w:pPr>
        <w:pStyle w:val="ListParagraph"/>
        <w:numPr>
          <w:ilvl w:val="0"/>
          <w:numId w:val="2"/>
        </w:numPr>
        <w:spacing w:after="80"/>
      </w:pPr>
      <w:r>
        <w:rPr>
          <w:rFonts w:ascii="Arial" w:cs="Arial" w:eastAsia="Arial" w:hAnsi="Arial"/>
          <w:color w:val="000000"/>
          <w:sz w:val="22"/>
          <w:szCs w:val="22"/>
        </w:rPr>
        <w:t xml:space="preserve">NSSF online portal API integration for automated contribution remittance.</w:t>
      </w:r>
    </w:p>
    <w:p>
      <w:pPr>
        <w:pStyle w:val="ListParagraph"/>
        <w:numPr>
          <w:ilvl w:val="0"/>
          <w:numId w:val="2"/>
        </w:numPr>
        <w:spacing w:after="80"/>
      </w:pPr>
      <w:r>
        <w:rPr>
          <w:rFonts w:ascii="Arial" w:cs="Arial" w:eastAsia="Arial" w:hAnsi="Arial"/>
          <w:color w:val="000000"/>
          <w:sz w:val="22"/>
          <w:szCs w:val="22"/>
        </w:rPr>
        <w:t xml:space="preserve">SHA (SHIF) portal integration for health insurance deduction reporting.</w:t>
      </w:r>
    </w:p>
    <w:p>
      <w:pPr>
        <w:pStyle w:val="ListParagraph"/>
        <w:numPr>
          <w:ilvl w:val="0"/>
          <w:numId w:val="2"/>
        </w:numPr>
        <w:spacing w:after="80"/>
      </w:pPr>
      <w:r>
        <w:rPr>
          <w:rFonts w:ascii="Arial" w:cs="Arial" w:eastAsia="Arial" w:hAnsi="Arial"/>
          <w:color w:val="000000"/>
          <w:sz w:val="22"/>
          <w:szCs w:val="22"/>
        </w:rPr>
        <w:t xml:space="preserve">Multi-employer / multi-site support for contractors managing workers across projects.</w:t>
      </w:r>
    </w:p>
    <w:p>
      <w:pPr>
        <w:pStyle w:val="ListParagraph"/>
        <w:numPr>
          <w:ilvl w:val="0"/>
          <w:numId w:val="2"/>
        </w:numPr>
        <w:spacing w:after="80"/>
      </w:pPr>
      <w:r>
        <w:rPr>
          <w:rFonts w:ascii="Arial" w:cs="Arial" w:eastAsia="Arial" w:hAnsi="Arial"/>
          <w:color w:val="000000"/>
          <w:sz w:val="22"/>
          <w:szCs w:val="22"/>
        </w:rPr>
        <w:t xml:space="preserve">Export payroll data in KRA-compatible CSV format for bulk iTax upload.</w:t>
      </w:r>
    </w:p>
    <w:p>
      <w:pPr>
        <w:pBdr>
          <w:bottom w:val="single" w:color="2E5FA3" w:sz="4" w:space="1"/>
        </w:pBdr>
        <w:spacing w:after="160"/>
      </w:pPr>
      <w:r>
        <w:t xml:space="preserve"/>
      </w:r>
    </w:p>
    <w:p>
      <w:pPr>
        <w:pStyle w:val="Heading1"/>
        <w:spacing w:after="120" w:before="360"/>
      </w:pPr>
      <w:r>
        <w:rPr>
          <w:rFonts w:ascii="Arial" w:cs="Arial" w:eastAsia="Arial" w:hAnsi="Arial"/>
          <w:b/>
          <w:bCs/>
          <w:color w:val="1A3C6E"/>
          <w:sz w:val="32"/>
          <w:szCs w:val="32"/>
        </w:rPr>
        <w:t xml:space="preserve">5. Applicable Legal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Legislation</w:t>
            </w:r>
          </w:p>
        </w:tc>
        <w:tc>
          <w:tcPr>
            <w:tcW w:type="dxa" w:w="552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Tax Act (Cap. 470)</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Governs PAYE; employer obligation to deduct and remit tax on employment income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Act 2023 (effective 1 Jul 2023)</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5-band PAYE rates (10%–35%); KES 2,400 monthly personal relief</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 Laws (Amendment) Act 2024 (effective 27 Dec 2024)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AHL removed as allowable PAYE deduction; updated compliance requirements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NSSF Act 2013 (SC upheld 2024)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Mandatory two-tier retirement contributions; Year 4 UEL = KES 108,000 (Feb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Health Insurance Act 2024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NHIF replaced by SHIF; 2.75% of gross, min KES 300; effective Oct 2024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Affordable Housing Act 2024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AHL = 1.5% employee + 1.5% employer; not PAYE-deductible post-Dec 2024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 Act (Cap. 226), S.14</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Employer must provide itemised pay statements to every employee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Regulation of Wages (General) Order</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wage gazette; currently KES 16,113.75/month (city, Nov 2024)</w:t>
            </w:r>
          </w:p>
        </w:tc>
      </w:tr>
    </w:tbl>
    <w:p>
      <w:pPr>
        <w:spacing w:after="200"/>
      </w:pPr>
    </w:p>
    <w:p>
      <w:pPr>
        <w:pBdr>
          <w:bottom w:val="single" w:color="2E5FA3" w:sz="4" w:space="1"/>
        </w:pBdr>
        <w:spacing w:after="160"/>
      </w:pPr>
      <w:r>
        <w:t xml:space="preserve"/>
      </w:r>
    </w:p>
    <w:p>
      <w:pPr>
        <w:spacing w:after="60" w:before="160"/>
      </w:pPr>
      <w:r>
        <w:rPr>
          <w:rFonts w:ascii="Arial" w:cs="Arial" w:eastAsia="Arial" w:hAnsi="Arial"/>
          <w:i/>
          <w:iCs/>
          <w:color w:val="888888"/>
          <w:sz w:val="18"/>
          <w:szCs w:val="18"/>
        </w:rPr>
        <w:t xml:space="preserve">Disclaimer: This analysis is for informational purposes only and does not constitute legal or tax advice. Tax regulations change; always verify against the latest KRA guidelines and consult a qualified tax advisor before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2026-06-12T08:37:40.399Z</dcterms:created>
  <dcterms:modified xsi:type="dcterms:W3CDTF">2026-06-12T08:37:40.400Z</dcterms:modified>
</cp:coreProperties>
</file>

<file path=docProps/custom.xml><?xml version="1.0" encoding="utf-8"?>
<Properties xmlns="http://schemas.openxmlformats.org/officeDocument/2006/custom-properties" xmlns:vt="http://schemas.openxmlformats.org/officeDocument/2006/docPropsVTypes"/>
</file>